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B1BD57">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r>
      <w:r>
        <w:rPr>
          <w:rFonts w:ascii="Arial" w:hAnsi="Arial" w:cs="Arial"/>
          <w:b/>
          <w:sz w:val="28"/>
          <w:lang w:val="de-DE"/>
        </w:rPr>
        <w:t>R1-24</w:t>
      </w:r>
      <w:r>
        <w:rPr>
          <w:rFonts w:hint="eastAsia" w:ascii="Arial" w:hAnsi="Arial" w:cs="Arial"/>
          <w:b/>
          <w:sz w:val="28"/>
          <w:highlight w:val="yellow"/>
          <w:lang w:val="de-DE"/>
        </w:rPr>
        <w:t>XXXXX</w:t>
      </w:r>
    </w:p>
    <w:p w14:paraId="68242BDD">
      <w:pPr>
        <w:tabs>
          <w:tab w:val="center" w:pos="4536"/>
          <w:tab w:val="right" w:pos="9072"/>
        </w:tabs>
        <w:rPr>
          <w:rFonts w:ascii="Arial" w:hAnsi="Arial" w:eastAsia="MS Mincho" w:cs="Arial"/>
          <w:b/>
          <w:bCs/>
          <w:sz w:val="28"/>
        </w:rPr>
      </w:pPr>
      <w:r>
        <w:rPr>
          <w:rFonts w:ascii="Arial" w:hAnsi="Arial" w:eastAsia="MS Mincho" w:cs="Arial"/>
          <w:b/>
          <w:bCs/>
          <w:sz w:val="28"/>
        </w:rPr>
        <w:t>Hefei, China, October 14</w:t>
      </w:r>
      <w:r>
        <w:rPr>
          <w:rFonts w:hint="eastAsia" w:ascii="Malgun Gothic" w:hAnsi="Malgun Gothic" w:eastAsia="Malgun Gothic" w:cs="Malgun Gothic"/>
          <w:b/>
          <w:bCs/>
          <w:sz w:val="28"/>
          <w:vertAlign w:val="superscript"/>
          <w:lang w:eastAsia="ko-KR"/>
        </w:rPr>
        <w:t>th</w:t>
      </w:r>
      <w:r>
        <w:rPr>
          <w:rFonts w:ascii="Arial" w:hAnsi="Arial" w:eastAsia="MS Mincho"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hAnsi="Arial" w:eastAsia="MS Mincho" w:cs="Arial"/>
          <w:b/>
          <w:bCs/>
          <w:sz w:val="28"/>
        </w:rPr>
        <w:t>, 2024</w:t>
      </w:r>
      <w:bookmarkEnd w:id="0"/>
    </w:p>
    <w:p w14:paraId="2BEBE513">
      <w:pPr>
        <w:tabs>
          <w:tab w:val="center" w:pos="4536"/>
          <w:tab w:val="right" w:pos="9072"/>
        </w:tabs>
        <w:spacing w:line="276" w:lineRule="auto"/>
        <w:rPr>
          <w:rFonts w:ascii="Arial" w:hAnsi="Arial" w:eastAsia="MS Mincho" w:cs="Arial"/>
          <w:b/>
          <w:bCs/>
          <w:szCs w:val="24"/>
        </w:rPr>
      </w:pPr>
    </w:p>
    <w:p w14:paraId="237FE391">
      <w:pPr>
        <w:tabs>
          <w:tab w:val="left" w:pos="1985"/>
        </w:tabs>
        <w:spacing w:after="120" w:line="288" w:lineRule="auto"/>
        <w:ind w:left="2040" w:hanging="2041" w:hangingChars="850"/>
        <w:jc w:val="both"/>
        <w:rPr>
          <w:rFonts w:ascii="Arial" w:hAnsi="Arial" w:eastAsia="MS Mincho"/>
          <w:lang w:val="pt-BR"/>
        </w:rPr>
      </w:pPr>
      <w:r>
        <w:rPr>
          <w:rFonts w:ascii="Arial" w:hAnsi="Arial" w:eastAsia="Malgun Gothic"/>
          <w:b/>
          <w:lang w:val="pt-BR" w:eastAsia="en-US"/>
        </w:rPr>
        <w:t>Agenda item:</w:t>
      </w:r>
      <w:r>
        <w:rPr>
          <w:rFonts w:ascii="Arial" w:hAnsi="Arial" w:eastAsia="Malgun Gothic"/>
          <w:lang w:val="pt-BR" w:eastAsia="en-US"/>
        </w:rPr>
        <w:tab/>
      </w:r>
      <w:bookmarkStart w:id="1" w:name="Source"/>
      <w:bookmarkEnd w:id="1"/>
      <w:r>
        <w:rPr>
          <w:rFonts w:ascii="Arial" w:hAnsi="Arial" w:eastAsia="MS Mincho"/>
          <w:lang w:val="pt-BR"/>
        </w:rPr>
        <w:t>9</w:t>
      </w:r>
      <w:r>
        <w:rPr>
          <w:rFonts w:ascii="Arial" w:hAnsi="Arial" w:eastAsia="Malgun Gothic"/>
          <w:lang w:val="pt-BR" w:eastAsia="ko-KR"/>
        </w:rPr>
        <w:t>.1</w:t>
      </w:r>
      <w:r>
        <w:rPr>
          <w:rFonts w:hint="eastAsia" w:ascii="Arial" w:hAnsi="Arial" w:eastAsia="MS Mincho"/>
          <w:lang w:val="pt-BR"/>
        </w:rPr>
        <w:t>3</w:t>
      </w:r>
    </w:p>
    <w:p w14:paraId="195A19C5">
      <w:pPr>
        <w:tabs>
          <w:tab w:val="left" w:pos="1985"/>
        </w:tabs>
        <w:spacing w:after="120" w:line="288" w:lineRule="auto"/>
        <w:ind w:left="2040" w:hanging="2041" w:hangingChars="850"/>
        <w:jc w:val="both"/>
        <w:rPr>
          <w:rFonts w:ascii="Arial" w:hAnsi="Arial" w:eastAsia="宋体"/>
          <w:lang w:val="pt-BR" w:eastAsia="zh-CN"/>
        </w:rPr>
      </w:pPr>
      <w:r>
        <w:rPr>
          <w:rFonts w:ascii="Arial" w:hAnsi="Arial" w:eastAsia="Malgun Gothic"/>
          <w:b/>
          <w:lang w:val="pt-BR" w:eastAsia="en-US"/>
        </w:rPr>
        <w:t xml:space="preserve">Source: </w:t>
      </w:r>
      <w:r>
        <w:rPr>
          <w:rFonts w:ascii="Arial" w:hAnsi="Arial" w:eastAsia="Malgun Gothic"/>
          <w:b/>
          <w:lang w:val="pt-BR" w:eastAsia="en-US"/>
        </w:rPr>
        <w:tab/>
      </w:r>
      <w:r>
        <w:rPr>
          <w:rFonts w:ascii="Arial" w:hAnsi="Arial" w:eastAsia="Malgun Gothic"/>
          <w:bCs/>
          <w:lang w:val="pt-BR" w:eastAsia="en-US"/>
        </w:rPr>
        <w:t>Moderator (</w:t>
      </w:r>
      <w:r>
        <w:rPr>
          <w:rFonts w:ascii="Arial" w:hAnsi="Arial" w:eastAsia="Malgun Gothic"/>
          <w:lang w:val="pt-BR" w:eastAsia="en-US"/>
        </w:rPr>
        <w:t>NTT DOCOMO, INC.)</w:t>
      </w:r>
    </w:p>
    <w:p w14:paraId="6F6BF0A0">
      <w:pPr>
        <w:tabs>
          <w:tab w:val="left" w:pos="1985"/>
        </w:tabs>
        <w:spacing w:after="120" w:line="288" w:lineRule="auto"/>
        <w:ind w:left="2040" w:hanging="2041" w:hangingChars="850"/>
        <w:jc w:val="both"/>
        <w:rPr>
          <w:rFonts w:ascii="Arial" w:hAnsi="Arial" w:eastAsia="Malgun Gothic" w:cs="Arial"/>
          <w:bCs/>
          <w:szCs w:val="24"/>
          <w:lang w:val="en-US" w:eastAsia="ko-KR"/>
        </w:rPr>
      </w:pPr>
      <w:r>
        <w:rPr>
          <w:rFonts w:ascii="Arial" w:hAnsi="Arial" w:eastAsia="Malgun Gothic"/>
          <w:b/>
          <w:lang w:val="en-US" w:eastAsia="en-US"/>
        </w:rPr>
        <w:t xml:space="preserve">Title: </w:t>
      </w:r>
      <w:r>
        <w:rPr>
          <w:rFonts w:ascii="Arial" w:hAnsi="Arial" w:eastAsia="Malgun Gothic"/>
          <w:b/>
          <w:lang w:val="en-US" w:eastAsia="en-US"/>
        </w:rPr>
        <w:tab/>
      </w:r>
      <w:r>
        <w:rPr>
          <w:rFonts w:ascii="Arial" w:hAnsi="Arial" w:eastAsia="Malgun Gothic"/>
          <w:bCs/>
          <w:lang w:val="en-US" w:eastAsia="en-US"/>
        </w:rPr>
        <w:t>[draft] Summary #1 on Rel-1</w:t>
      </w:r>
      <w:r>
        <w:rPr>
          <w:rFonts w:hint="eastAsia" w:ascii="Arial" w:hAnsi="Arial" w:eastAsia="MS Mincho"/>
          <w:bCs/>
          <w:lang w:val="en-US"/>
        </w:rPr>
        <w:t>9</w:t>
      </w:r>
      <w:r>
        <w:rPr>
          <w:rFonts w:ascii="Arial" w:hAnsi="Arial" w:eastAsia="Malgun Gothic"/>
          <w:bCs/>
          <w:lang w:val="en-US" w:eastAsia="en-US"/>
        </w:rPr>
        <w:t xml:space="preserve"> TEIs</w:t>
      </w:r>
    </w:p>
    <w:p w14:paraId="2189586B">
      <w:pPr>
        <w:pBdr>
          <w:bottom w:val="single" w:color="auto" w:sz="6" w:space="1"/>
        </w:pBdr>
        <w:tabs>
          <w:tab w:val="left" w:pos="1985"/>
        </w:tabs>
        <w:spacing w:after="120" w:line="288" w:lineRule="auto"/>
        <w:ind w:left="2040" w:hanging="2041" w:hangingChars="850"/>
        <w:jc w:val="both"/>
        <w:rPr>
          <w:rFonts w:ascii="Arial" w:hAnsi="Arial" w:eastAsia="Malgun Gothic"/>
          <w:lang w:val="en-US" w:eastAsia="ko-KR"/>
        </w:rPr>
      </w:pPr>
      <w:r>
        <w:rPr>
          <w:rFonts w:ascii="Arial" w:hAnsi="Arial" w:eastAsia="Malgun Gothic"/>
          <w:b/>
          <w:lang w:val="en-US" w:eastAsia="en-US"/>
        </w:rPr>
        <w:t>Document for:</w:t>
      </w:r>
      <w:r>
        <w:rPr>
          <w:rFonts w:ascii="Arial" w:hAnsi="Arial" w:eastAsia="Malgun Gothic"/>
          <w:lang w:val="en-US" w:eastAsia="en-US"/>
        </w:rPr>
        <w:tab/>
      </w:r>
      <w:bookmarkStart w:id="2" w:name="DocumentFor"/>
      <w:bookmarkEnd w:id="2"/>
      <w:r>
        <w:rPr>
          <w:rFonts w:ascii="Arial" w:hAnsi="Arial" w:eastAsia="Malgun Gothic"/>
          <w:lang w:val="en-US" w:eastAsia="en-US"/>
        </w:rPr>
        <w:t>Discussion and Decision</w:t>
      </w:r>
    </w:p>
    <w:p w14:paraId="2650D1AE">
      <w:pPr>
        <w:pStyle w:val="108"/>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hAnsi="Arial" w:eastAsia="Batang"/>
          <w:sz w:val="32"/>
          <w:szCs w:val="32"/>
          <w:lang w:val="en-US" w:eastAsia="ko-KR"/>
        </w:rPr>
      </w:pPr>
      <w:bookmarkStart w:id="3" w:name="_Ref5850594"/>
      <w:r>
        <w:rPr>
          <w:rFonts w:ascii="Arial" w:hAnsi="Arial" w:eastAsia="Batang"/>
          <w:sz w:val="32"/>
          <w:szCs w:val="32"/>
          <w:lang w:val="en-US" w:eastAsia="ko-KR"/>
        </w:rPr>
        <w:t>Introduction</w:t>
      </w:r>
      <w:bookmarkEnd w:id="3"/>
    </w:p>
    <w:p w14:paraId="29A77AC0">
      <w:pPr>
        <w:spacing w:after="120" w:afterLines="50"/>
        <w:jc w:val="both"/>
        <w:rPr>
          <w:rFonts w:eastAsia="MS Mincho"/>
          <w:sz w:val="22"/>
          <w:szCs w:val="22"/>
          <w:lang w:val="en-US"/>
        </w:rPr>
      </w:pPr>
      <w:r>
        <w:rPr>
          <w:rFonts w:eastAsia="MS Mincho"/>
          <w:sz w:val="22"/>
          <w:szCs w:val="22"/>
          <w:lang w:val="en-US"/>
        </w:rPr>
        <w:t>This contribution summarizes the discussions and proposals in AI 9.1</w:t>
      </w:r>
      <w:r>
        <w:rPr>
          <w:rFonts w:hint="eastAsia" w:eastAsia="MS Mincho"/>
          <w:sz w:val="22"/>
          <w:szCs w:val="22"/>
          <w:lang w:val="en-US"/>
        </w:rPr>
        <w:t>3</w:t>
      </w:r>
      <w:r>
        <w:rPr>
          <w:rFonts w:eastAsia="MS Mincho"/>
          <w:sz w:val="22"/>
          <w:szCs w:val="22"/>
          <w:lang w:val="en-US"/>
        </w:rPr>
        <w:t xml:space="preserve"> for Rel-1</w:t>
      </w:r>
      <w:r>
        <w:rPr>
          <w:rFonts w:hint="eastAsia" w:eastAsia="MS Mincho"/>
          <w:sz w:val="22"/>
          <w:szCs w:val="22"/>
          <w:lang w:val="en-US"/>
        </w:rPr>
        <w:t>9</w:t>
      </w:r>
      <w:r>
        <w:rPr>
          <w:rFonts w:eastAsia="MS Mincho"/>
          <w:sz w:val="22"/>
          <w:szCs w:val="22"/>
          <w:lang w:val="en-US"/>
        </w:rPr>
        <w:t xml:space="preserve"> TEI related discussion and following email discussion.</w:t>
      </w:r>
    </w:p>
    <w:p w14:paraId="60F668C6">
      <w:pPr>
        <w:spacing w:after="120" w:afterLines="50"/>
        <w:jc w:val="both"/>
        <w:rPr>
          <w:rFonts w:eastAsia="MS Mincho"/>
          <w:sz w:val="22"/>
          <w:szCs w:val="22"/>
          <w:lang w:val="en-US"/>
        </w:rPr>
      </w:pPr>
    </w:p>
    <w:p w14:paraId="120C964E">
      <w:pPr>
        <w:jc w:val="both"/>
        <w:rPr>
          <w:bCs/>
          <w:sz w:val="22"/>
          <w:szCs w:val="22"/>
        </w:rPr>
      </w:pPr>
      <w:r>
        <w:rPr>
          <w:rFonts w:hint="eastAsia" w:eastAsia="MS Mincho"/>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4F790C8C">
      <w:pPr>
        <w:spacing w:after="120" w:afterLines="50"/>
        <w:jc w:val="both"/>
        <w:rPr>
          <w:sz w:val="22"/>
          <w:szCs w:val="22"/>
          <w:lang w:val="en-US"/>
        </w:rPr>
      </w:pPr>
    </w:p>
    <w:p w14:paraId="6F6CD0FF">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 Maximal HARQ process numbers for TN in FR1 and FR2-1</w:t>
      </w:r>
    </w:p>
    <w:p w14:paraId="2E1C2F7B">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ZTE Corporation, CMCC, China Telecom, Ericsson, Nokia, Nokia Shanghai Bell, CATT, Verizon, Sanechips, Huawei, HiSilicon, China Unicom</w:t>
      </w:r>
    </w:p>
    <w:p w14:paraId="4C63D73C">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3B453835">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upported by ZTE Corporation, China Unicom, Sanechips, Huawei, HiSilicon</w:t>
      </w:r>
    </w:p>
    <w:p w14:paraId="284C5BA8">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0EB96C4C">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vivo, CMCC, China Unicom, Deutsche Telekom, Ericsson</w:t>
      </w:r>
    </w:p>
    <w:p w14:paraId="3C5C024B">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6EC84382">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vivo</w:t>
      </w:r>
    </w:p>
    <w:p w14:paraId="127FFB87">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32E6868B">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Huawei, HiSilicon, China Unicom, ZTE, Sanechips</w:t>
      </w:r>
    </w:p>
    <w:p w14:paraId="4AE030C4">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#6: Link adaptation</w:t>
      </w:r>
    </w:p>
    <w:p w14:paraId="311FA076">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Ericsson</w:t>
      </w:r>
    </w:p>
    <w:p w14:paraId="361EAD25">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#7: SRS carrier switching with uplink Tx switching</w:t>
      </w:r>
    </w:p>
    <w:p w14:paraId="2631ECB3">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Qualcomm</w:t>
      </w:r>
    </w:p>
    <w:p w14:paraId="38E2540B">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71DD5A80">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Qualcomm</w:t>
      </w:r>
    </w:p>
    <w:p w14:paraId="6B8DC162">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2D9D5102">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Orange, ZTE, BT</w:t>
      </w:r>
    </w:p>
    <w:p w14:paraId="03E1A59D">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#10: SR triggered SSSG fallback</w:t>
      </w:r>
    </w:p>
    <w:p w14:paraId="4815399F">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Qualcomm</w:t>
      </w:r>
    </w:p>
    <w:p w14:paraId="20F6166E">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1A0BC3B1">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upported by Qualcomm</w:t>
      </w:r>
    </w:p>
    <w:p w14:paraId="281B41CC">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0DD9F191">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upported by Qualcomm</w:t>
      </w:r>
    </w:p>
    <w:p w14:paraId="203A21D2">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1B70412F">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Qualcomm</w:t>
      </w:r>
    </w:p>
    <w:p w14:paraId="4FF96B3D">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#14: EPRE signaling for PDCCH</w:t>
      </w:r>
    </w:p>
    <w:p w14:paraId="0EE679AA">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Qualcomm</w:t>
      </w:r>
    </w:p>
    <w:p w14:paraId="442D70F5">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611D0330">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Qualcomm</w:t>
      </w:r>
    </w:p>
    <w:p w14:paraId="4339CDFA">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62A7915E">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Nokia, Apple, MediaTek</w:t>
      </w:r>
    </w:p>
    <w:p w14:paraId="34E0AEAF">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02FA9618">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Nokia</w:t>
      </w:r>
    </w:p>
    <w:p w14:paraId="74A344EB">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20A5BBFB">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Nokia</w:t>
      </w:r>
    </w:p>
    <w:p w14:paraId="7355D1E8">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773EF84C">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Nokia</w:t>
      </w:r>
    </w:p>
    <w:p w14:paraId="7842A75D">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28A1CF19">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Nokia</w:t>
      </w:r>
    </w:p>
    <w:p w14:paraId="32E366FA">
      <w:pPr>
        <w:rPr>
          <w:b/>
        </w:rPr>
      </w:pPr>
    </w:p>
    <w:p w14:paraId="08424081">
      <w:pPr>
        <w:rPr>
          <w:b/>
        </w:rPr>
      </w:pPr>
    </w:p>
    <w:p w14:paraId="79143264">
      <w:pPr>
        <w:pStyle w:val="108"/>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hAnsi="Arial" w:eastAsia="Batang"/>
          <w:sz w:val="32"/>
          <w:szCs w:val="32"/>
          <w:lang w:val="en-US" w:eastAsia="ko-KR"/>
        </w:rPr>
      </w:pPr>
      <w:r>
        <w:rPr>
          <w:rFonts w:ascii="Arial" w:hAnsi="Arial" w:eastAsia="Batang"/>
          <w:sz w:val="32"/>
          <w:szCs w:val="32"/>
          <w:lang w:val="en-US" w:eastAsia="ko-KR"/>
        </w:rPr>
        <w:t>Discussion on Rel-1</w:t>
      </w:r>
      <w:r>
        <w:rPr>
          <w:rFonts w:hint="eastAsia" w:ascii="Arial" w:hAnsi="Arial" w:eastAsia="MS Mincho"/>
          <w:sz w:val="32"/>
          <w:szCs w:val="32"/>
          <w:lang w:val="en-US"/>
        </w:rPr>
        <w:t>9</w:t>
      </w:r>
      <w:r>
        <w:rPr>
          <w:rFonts w:ascii="Arial" w:hAnsi="Arial" w:eastAsia="Batang"/>
          <w:sz w:val="32"/>
          <w:szCs w:val="32"/>
          <w:lang w:val="en-US" w:eastAsia="ko-KR"/>
        </w:rPr>
        <w:t xml:space="preserve"> TEI proposals</w:t>
      </w:r>
    </w:p>
    <w:p w14:paraId="23435073">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Maximal HARQ process numbers for TN in FR1 and FR2-1</w:t>
      </w:r>
    </w:p>
    <w:p w14:paraId="5E1EBA5C">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9404"/>
      </w:tblGrid>
      <w:tr w14:paraId="72A7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5DED7C03">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w:t>
            </w:r>
            <w:r>
              <w:rPr>
                <w:rFonts w:ascii="Arial" w:hAnsi="Arial" w:eastAsia="MS Mincho"/>
                <w:sz w:val="22"/>
                <w:szCs w:val="22"/>
                <w:lang w:val="en-US"/>
              </w:rPr>
              <w:t>1]</w:t>
            </w:r>
          </w:p>
        </w:tc>
        <w:tc>
          <w:tcPr>
            <w:tcW w:w="9066" w:type="dxa"/>
          </w:tcPr>
          <w:p w14:paraId="32419157">
            <w:pPr>
              <w:overflowPunct w:val="0"/>
              <w:autoSpaceDE w:val="0"/>
              <w:autoSpaceDN w:val="0"/>
              <w:adjustRightInd w:val="0"/>
              <w:spacing w:after="180"/>
              <w:textAlignment w:val="baseline"/>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Style w:val="55"/>
              <w:tblW w:w="4998" w:type="pct"/>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6592"/>
              <w:gridCol w:w="674"/>
              <w:gridCol w:w="540"/>
              <w:gridCol w:w="674"/>
              <w:gridCol w:w="694"/>
            </w:tblGrid>
            <w:tr w14:paraId="2464A439">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3591" w:type="pct"/>
                </w:tcPr>
                <w:p w14:paraId="2302C17D">
                  <w:pPr>
                    <w:pStyle w:val="127"/>
                    <w:rPr>
                      <w:rFonts w:ascii="Times New Roman" w:hAnsi="Times New Roman" w:eastAsia="SimSun-ExtB"/>
                      <w:b/>
                      <w:i/>
                      <w:szCs w:val="18"/>
                    </w:rPr>
                  </w:pPr>
                  <w:r>
                    <w:rPr>
                      <w:rFonts w:ascii="Times New Roman" w:hAnsi="Times New Roman" w:eastAsia="SimSun-ExtB"/>
                      <w:b/>
                      <w:i/>
                      <w:szCs w:val="18"/>
                    </w:rPr>
                    <w:t>max-HARQ-ProcessNumber-r17</w:t>
                  </w:r>
                </w:p>
                <w:p w14:paraId="6F53A55B">
                  <w:pPr>
                    <w:pStyle w:val="127"/>
                    <w:rPr>
                      <w:rFonts w:ascii="Times New Roman" w:hAnsi="Times New Roman" w:eastAsia="SimSun-ExtB"/>
                      <w:b/>
                      <w:bCs/>
                      <w:i/>
                      <w:iCs/>
                      <w:szCs w:val="18"/>
                    </w:rPr>
                  </w:pPr>
                  <w:r>
                    <w:rPr>
                      <w:rFonts w:ascii="Times New Roman" w:hAnsi="Times New Roman" w:eastAsia="SimSun-ExtB"/>
                      <w:szCs w:val="18"/>
                    </w:rPr>
                    <w:t xml:space="preserve">Indicates the maximal supported HARQ process numbers for UL and for DL respectively. For each value of </w:t>
                  </w:r>
                  <w:r>
                    <w:rPr>
                      <w:rFonts w:ascii="Times New Roman" w:hAnsi="Times New Roman" w:eastAsia="SimSun-ExtB"/>
                      <w:i/>
                      <w:iCs/>
                      <w:szCs w:val="18"/>
                    </w:rPr>
                    <w:t>max-HARQ-ProcessNumber-r17</w:t>
                  </w:r>
                  <w:r>
                    <w:rPr>
                      <w:rFonts w:ascii="Times New Roman" w:hAnsi="Times New Roman" w:eastAsia="SimSun-ExtB"/>
                      <w:szCs w:val="18"/>
                    </w:rPr>
                    <w:t xml:space="preserve">, value </w:t>
                  </w:r>
                  <w:r>
                    <w:rPr>
                      <w:rFonts w:ascii="Times New Roman" w:hAnsi="Times New Roman" w:eastAsia="SimSun-ExtB"/>
                      <w:i/>
                      <w:iCs/>
                      <w:szCs w:val="18"/>
                    </w:rPr>
                    <w:t>u16d32</w:t>
                  </w:r>
                  <w:r>
                    <w:rPr>
                      <w:rFonts w:ascii="Times New Roman" w:hAnsi="Times New Roman" w:eastAsia="SimSun-ExtB"/>
                      <w:szCs w:val="18"/>
                    </w:rPr>
                    <w:t xml:space="preserve"> indicates the maximal supported HARQ process number is 16 for UL and 32 for DL, value </w:t>
                  </w:r>
                  <w:r>
                    <w:rPr>
                      <w:rFonts w:ascii="Times New Roman" w:hAnsi="Times New Roman" w:eastAsia="SimSun-ExtB"/>
                      <w:i/>
                      <w:iCs/>
                      <w:szCs w:val="18"/>
                    </w:rPr>
                    <w:t>u32d16</w:t>
                  </w:r>
                  <w:r>
                    <w:rPr>
                      <w:rFonts w:ascii="Times New Roman" w:hAnsi="Times New Roman" w:eastAsia="SimSun-ExtB"/>
                      <w:szCs w:val="18"/>
                    </w:rPr>
                    <w:t xml:space="preserve"> indicates the maximal supported HARQ process number is 32 for UL and 16 for DL, value </w:t>
                  </w:r>
                  <w:r>
                    <w:rPr>
                      <w:rFonts w:ascii="Times New Roman" w:hAnsi="Times New Roman" w:eastAsia="SimSun-ExtB"/>
                      <w:i/>
                      <w:iCs/>
                      <w:szCs w:val="18"/>
                    </w:rPr>
                    <w:t>u32d32</w:t>
                  </w:r>
                  <w:r>
                    <w:rPr>
                      <w:rFonts w:ascii="Times New Roman" w:hAnsi="Times New Roman" w:eastAsia="SimSun-ExtB"/>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775323A4">
                  <w:pPr>
                    <w:pStyle w:val="127"/>
                    <w:rPr>
                      <w:rFonts w:ascii="Times New Roman" w:hAnsi="Times New Roman" w:eastAsia="SimSun-ExtB"/>
                      <w:szCs w:val="18"/>
                    </w:rPr>
                  </w:pPr>
                  <w:r>
                    <w:rPr>
                      <w:rFonts w:ascii="Times New Roman" w:hAnsi="Times New Roman" w:eastAsia="SimSun-ExtB"/>
                      <w:bCs/>
                      <w:iCs/>
                      <w:szCs w:val="18"/>
                    </w:rPr>
                    <w:t>Band</w:t>
                  </w:r>
                </w:p>
              </w:tc>
              <w:tc>
                <w:tcPr>
                  <w:tcW w:w="294" w:type="pct"/>
                </w:tcPr>
                <w:p w14:paraId="69DD70C6">
                  <w:pPr>
                    <w:pStyle w:val="127"/>
                    <w:rPr>
                      <w:rFonts w:ascii="Times New Roman" w:hAnsi="Times New Roman" w:eastAsia="SimSun-ExtB"/>
                      <w:szCs w:val="18"/>
                    </w:rPr>
                  </w:pPr>
                  <w:r>
                    <w:rPr>
                      <w:rFonts w:ascii="Times New Roman" w:hAnsi="Times New Roman" w:eastAsia="SimSun-ExtB"/>
                      <w:bCs/>
                      <w:iCs/>
                      <w:szCs w:val="18"/>
                    </w:rPr>
                    <w:t>No</w:t>
                  </w:r>
                </w:p>
              </w:tc>
              <w:tc>
                <w:tcPr>
                  <w:tcW w:w="367" w:type="pct"/>
                </w:tcPr>
                <w:p w14:paraId="4A26AE38">
                  <w:pPr>
                    <w:pStyle w:val="127"/>
                    <w:rPr>
                      <w:rFonts w:ascii="Times New Roman" w:hAnsi="Times New Roman" w:eastAsia="SimSun-ExtB"/>
                      <w:bCs/>
                      <w:iCs/>
                      <w:szCs w:val="18"/>
                    </w:rPr>
                  </w:pPr>
                  <w:r>
                    <w:rPr>
                      <w:rFonts w:ascii="Times New Roman" w:hAnsi="Times New Roman" w:eastAsia="SimSun-ExtB"/>
                      <w:bCs/>
                      <w:iCs/>
                      <w:szCs w:val="18"/>
                    </w:rPr>
                    <w:t>N/A</w:t>
                  </w:r>
                </w:p>
              </w:tc>
              <w:tc>
                <w:tcPr>
                  <w:tcW w:w="378" w:type="pct"/>
                </w:tcPr>
                <w:p w14:paraId="0B51575C">
                  <w:pPr>
                    <w:pStyle w:val="127"/>
                    <w:rPr>
                      <w:rFonts w:ascii="Times New Roman" w:hAnsi="Times New Roman" w:eastAsia="SimSun-ExtB"/>
                      <w:bCs/>
                      <w:iCs/>
                      <w:szCs w:val="18"/>
                    </w:rPr>
                  </w:pPr>
                  <w:r>
                    <w:rPr>
                      <w:rFonts w:ascii="Times New Roman" w:hAnsi="Times New Roman" w:eastAsia="SimSun-ExtB"/>
                      <w:bCs/>
                      <w:iCs/>
                      <w:szCs w:val="18"/>
                    </w:rPr>
                    <w:t>N/A</w:t>
                  </w:r>
                </w:p>
              </w:tc>
            </w:tr>
          </w:tbl>
          <w:p w14:paraId="348CB9EE">
            <w:pPr>
              <w:overflowPunct w:val="0"/>
              <w:autoSpaceDE w:val="0"/>
              <w:autoSpaceDN w:val="0"/>
              <w:adjustRightInd w:val="0"/>
              <w:spacing w:before="120" w:beforeLines="50" w:after="180"/>
              <w:textAlignment w:val="baseline"/>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Style w:val="55"/>
              <w:tblpPr w:leftFromText="180" w:rightFromText="180" w:vertAnchor="text" w:tblpY="1"/>
              <w:tblOverlap w:val="never"/>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9"/>
              <w:gridCol w:w="709"/>
              <w:gridCol w:w="567"/>
              <w:gridCol w:w="709"/>
              <w:gridCol w:w="705"/>
            </w:tblGrid>
            <w:tr w14:paraId="13B7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9" w:type="dxa"/>
                  <w:tcBorders>
                    <w:top w:val="single" w:color="auto" w:sz="4" w:space="0"/>
                    <w:left w:val="single" w:color="auto" w:sz="4" w:space="0"/>
                    <w:bottom w:val="single" w:color="auto" w:sz="4" w:space="0"/>
                    <w:right w:val="single" w:color="auto" w:sz="4" w:space="0"/>
                  </w:tcBorders>
                </w:tcPr>
                <w:p w14:paraId="5825B171">
                  <w:pPr>
                    <w:pStyle w:val="127"/>
                    <w:rPr>
                      <w:rFonts w:ascii="Times New Roman" w:hAnsi="Times New Roman"/>
                      <w:b/>
                      <w:i/>
                      <w:szCs w:val="18"/>
                      <w:lang w:eastAsia="zh-CN"/>
                    </w:rPr>
                  </w:pPr>
                  <w:r>
                    <w:rPr>
                      <w:rFonts w:ascii="Times New Roman" w:hAnsi="Times New Roman"/>
                      <w:b/>
                      <w:i/>
                      <w:szCs w:val="18"/>
                    </w:rPr>
                    <w:t>support32-DL-HARQ-ProcessPerSCS-r17</w:t>
                  </w:r>
                </w:p>
                <w:p w14:paraId="7423C59E">
                  <w:pPr>
                    <w:pStyle w:val="127"/>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294E5108">
                  <w:pPr>
                    <w:pStyle w:val="127"/>
                    <w:rPr>
                      <w:rFonts w:ascii="Times New Roman" w:hAnsi="Times New Roman"/>
                      <w:bCs/>
                      <w:iCs/>
                      <w:szCs w:val="18"/>
                    </w:rPr>
                  </w:pPr>
                </w:p>
                <w:p w14:paraId="673CF7FB">
                  <w:pPr>
                    <w:pStyle w:val="127"/>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color="auto" w:sz="4" w:space="0"/>
                    <w:left w:val="single" w:color="auto" w:sz="4" w:space="0"/>
                    <w:bottom w:val="single" w:color="auto" w:sz="4" w:space="0"/>
                    <w:right w:val="single" w:color="auto" w:sz="4" w:space="0"/>
                  </w:tcBorders>
                </w:tcPr>
                <w:p w14:paraId="173CB808">
                  <w:pPr>
                    <w:pStyle w:val="127"/>
                    <w:jc w:val="center"/>
                    <w:rPr>
                      <w:rFonts w:ascii="Times New Roman" w:hAnsi="Times New Roman"/>
                      <w:szCs w:val="18"/>
                    </w:rPr>
                  </w:pPr>
                  <w:r>
                    <w:rPr>
                      <w:rFonts w:ascii="Times New Roman" w:hAnsi="Times New Roman"/>
                      <w:szCs w:val="18"/>
                    </w:rPr>
                    <w:t>Band</w:t>
                  </w:r>
                </w:p>
              </w:tc>
              <w:tc>
                <w:tcPr>
                  <w:tcW w:w="567" w:type="dxa"/>
                  <w:tcBorders>
                    <w:top w:val="single" w:color="auto" w:sz="4" w:space="0"/>
                    <w:left w:val="single" w:color="auto" w:sz="4" w:space="0"/>
                    <w:bottom w:val="single" w:color="auto" w:sz="4" w:space="0"/>
                    <w:right w:val="single" w:color="auto" w:sz="4" w:space="0"/>
                  </w:tcBorders>
                </w:tcPr>
                <w:p w14:paraId="5D53628B">
                  <w:pPr>
                    <w:pStyle w:val="127"/>
                    <w:jc w:val="center"/>
                    <w:rPr>
                      <w:rFonts w:ascii="Times New Roman" w:hAnsi="Times New Roman"/>
                      <w:szCs w:val="18"/>
                    </w:rPr>
                  </w:pPr>
                  <w:r>
                    <w:rPr>
                      <w:rFonts w:ascii="Times New Roman" w:hAnsi="Times New Roman"/>
                      <w:szCs w:val="18"/>
                    </w:rPr>
                    <w:t>No</w:t>
                  </w:r>
                </w:p>
              </w:tc>
              <w:tc>
                <w:tcPr>
                  <w:tcW w:w="709" w:type="dxa"/>
                  <w:tcBorders>
                    <w:top w:val="single" w:color="auto" w:sz="4" w:space="0"/>
                    <w:left w:val="single" w:color="auto" w:sz="4" w:space="0"/>
                    <w:bottom w:val="single" w:color="auto" w:sz="4" w:space="0"/>
                    <w:right w:val="single" w:color="auto" w:sz="4" w:space="0"/>
                  </w:tcBorders>
                </w:tcPr>
                <w:p w14:paraId="298695D8">
                  <w:pPr>
                    <w:pStyle w:val="127"/>
                    <w:jc w:val="center"/>
                    <w:rPr>
                      <w:rFonts w:ascii="Times New Roman" w:hAnsi="Times New Roman"/>
                      <w:szCs w:val="18"/>
                    </w:rPr>
                  </w:pPr>
                  <w:r>
                    <w:rPr>
                      <w:rFonts w:ascii="Times New Roman" w:hAnsi="Times New Roman"/>
                      <w:szCs w:val="18"/>
                    </w:rPr>
                    <w:t>N/A</w:t>
                  </w:r>
                </w:p>
              </w:tc>
              <w:tc>
                <w:tcPr>
                  <w:tcW w:w="705" w:type="dxa"/>
                  <w:tcBorders>
                    <w:top w:val="single" w:color="auto" w:sz="4" w:space="0"/>
                    <w:left w:val="single" w:color="auto" w:sz="4" w:space="0"/>
                    <w:bottom w:val="single" w:color="auto" w:sz="4" w:space="0"/>
                    <w:right w:val="single" w:color="auto" w:sz="4" w:space="0"/>
                  </w:tcBorders>
                </w:tcPr>
                <w:p w14:paraId="264ABC37">
                  <w:pPr>
                    <w:pStyle w:val="127"/>
                    <w:jc w:val="center"/>
                    <w:rPr>
                      <w:rFonts w:ascii="Times New Roman" w:hAnsi="Times New Roman"/>
                      <w:szCs w:val="18"/>
                    </w:rPr>
                  </w:pPr>
                  <w:r>
                    <w:rPr>
                      <w:rFonts w:ascii="Times New Roman" w:hAnsi="Times New Roman"/>
                      <w:szCs w:val="18"/>
                    </w:rPr>
                    <w:t>N/A</w:t>
                  </w:r>
                </w:p>
              </w:tc>
            </w:tr>
            <w:tr w14:paraId="7469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9" w:type="dxa"/>
                  <w:tcBorders>
                    <w:top w:val="single" w:color="auto" w:sz="4" w:space="0"/>
                    <w:left w:val="single" w:color="auto" w:sz="4" w:space="0"/>
                    <w:bottom w:val="single" w:color="auto" w:sz="4" w:space="0"/>
                    <w:right w:val="single" w:color="auto" w:sz="4" w:space="0"/>
                  </w:tcBorders>
                </w:tcPr>
                <w:p w14:paraId="26F71CE5">
                  <w:pPr>
                    <w:pStyle w:val="127"/>
                    <w:rPr>
                      <w:rFonts w:ascii="Times New Roman" w:hAnsi="Times New Roman"/>
                      <w:b/>
                      <w:i/>
                      <w:szCs w:val="18"/>
                    </w:rPr>
                  </w:pPr>
                  <w:r>
                    <w:rPr>
                      <w:rFonts w:ascii="Times New Roman" w:hAnsi="Times New Roman"/>
                      <w:b/>
                      <w:i/>
                      <w:szCs w:val="18"/>
                    </w:rPr>
                    <w:t>support32-UL-HARQ-ProcessPerSCS-r17</w:t>
                  </w:r>
                </w:p>
                <w:p w14:paraId="0191779B">
                  <w:pPr>
                    <w:pStyle w:val="127"/>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184CBE17">
                  <w:pPr>
                    <w:pStyle w:val="127"/>
                    <w:rPr>
                      <w:rFonts w:ascii="Times New Roman" w:hAnsi="Times New Roman"/>
                      <w:bCs/>
                      <w:iCs/>
                      <w:szCs w:val="18"/>
                    </w:rPr>
                  </w:pPr>
                </w:p>
                <w:p w14:paraId="16EE6379">
                  <w:pPr>
                    <w:pStyle w:val="127"/>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color="auto" w:sz="4" w:space="0"/>
                    <w:left w:val="single" w:color="auto" w:sz="4" w:space="0"/>
                    <w:bottom w:val="single" w:color="auto" w:sz="4" w:space="0"/>
                    <w:right w:val="single" w:color="auto" w:sz="4" w:space="0"/>
                  </w:tcBorders>
                </w:tcPr>
                <w:p w14:paraId="2138C9AD">
                  <w:pPr>
                    <w:pStyle w:val="127"/>
                    <w:jc w:val="center"/>
                    <w:rPr>
                      <w:rFonts w:ascii="Times New Roman" w:hAnsi="Times New Roman"/>
                      <w:szCs w:val="18"/>
                    </w:rPr>
                  </w:pPr>
                  <w:r>
                    <w:rPr>
                      <w:rFonts w:ascii="Times New Roman" w:hAnsi="Times New Roman"/>
                      <w:szCs w:val="18"/>
                    </w:rPr>
                    <w:t>Band</w:t>
                  </w:r>
                </w:p>
              </w:tc>
              <w:tc>
                <w:tcPr>
                  <w:tcW w:w="567" w:type="dxa"/>
                  <w:tcBorders>
                    <w:top w:val="single" w:color="auto" w:sz="4" w:space="0"/>
                    <w:left w:val="single" w:color="auto" w:sz="4" w:space="0"/>
                    <w:bottom w:val="single" w:color="auto" w:sz="4" w:space="0"/>
                    <w:right w:val="single" w:color="auto" w:sz="4" w:space="0"/>
                  </w:tcBorders>
                </w:tcPr>
                <w:p w14:paraId="78E60226">
                  <w:pPr>
                    <w:pStyle w:val="127"/>
                    <w:jc w:val="center"/>
                    <w:rPr>
                      <w:rFonts w:ascii="Times New Roman" w:hAnsi="Times New Roman"/>
                      <w:szCs w:val="18"/>
                    </w:rPr>
                  </w:pPr>
                  <w:r>
                    <w:rPr>
                      <w:rFonts w:ascii="Times New Roman" w:hAnsi="Times New Roman"/>
                      <w:szCs w:val="18"/>
                    </w:rPr>
                    <w:t>No</w:t>
                  </w:r>
                </w:p>
              </w:tc>
              <w:tc>
                <w:tcPr>
                  <w:tcW w:w="709" w:type="dxa"/>
                  <w:tcBorders>
                    <w:top w:val="single" w:color="auto" w:sz="4" w:space="0"/>
                    <w:left w:val="single" w:color="auto" w:sz="4" w:space="0"/>
                    <w:bottom w:val="single" w:color="auto" w:sz="4" w:space="0"/>
                    <w:right w:val="single" w:color="auto" w:sz="4" w:space="0"/>
                  </w:tcBorders>
                </w:tcPr>
                <w:p w14:paraId="5AB413B5">
                  <w:pPr>
                    <w:pStyle w:val="127"/>
                    <w:jc w:val="center"/>
                    <w:rPr>
                      <w:rFonts w:ascii="Times New Roman" w:hAnsi="Times New Roman"/>
                      <w:szCs w:val="18"/>
                    </w:rPr>
                  </w:pPr>
                  <w:r>
                    <w:rPr>
                      <w:rFonts w:ascii="Times New Roman" w:hAnsi="Times New Roman"/>
                      <w:szCs w:val="18"/>
                    </w:rPr>
                    <w:t>N/A</w:t>
                  </w:r>
                </w:p>
              </w:tc>
              <w:tc>
                <w:tcPr>
                  <w:tcW w:w="705" w:type="dxa"/>
                  <w:tcBorders>
                    <w:top w:val="single" w:color="auto" w:sz="4" w:space="0"/>
                    <w:left w:val="single" w:color="auto" w:sz="4" w:space="0"/>
                    <w:bottom w:val="single" w:color="auto" w:sz="4" w:space="0"/>
                    <w:right w:val="single" w:color="auto" w:sz="4" w:space="0"/>
                  </w:tcBorders>
                </w:tcPr>
                <w:p w14:paraId="6C9903F3">
                  <w:pPr>
                    <w:pStyle w:val="127"/>
                    <w:jc w:val="center"/>
                    <w:rPr>
                      <w:rFonts w:ascii="Times New Roman" w:hAnsi="Times New Roman"/>
                      <w:szCs w:val="18"/>
                    </w:rPr>
                  </w:pPr>
                  <w:r>
                    <w:rPr>
                      <w:rFonts w:ascii="Times New Roman" w:hAnsi="Times New Roman"/>
                      <w:szCs w:val="18"/>
                    </w:rPr>
                    <w:t>N/A</w:t>
                  </w:r>
                </w:p>
              </w:tc>
            </w:tr>
            <w:tr w14:paraId="3ECC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9" w:type="dxa"/>
                  <w:tcBorders>
                    <w:top w:val="single" w:color="auto" w:sz="4" w:space="0"/>
                    <w:left w:val="single" w:color="auto" w:sz="4" w:space="0"/>
                    <w:bottom w:val="single" w:color="auto" w:sz="4" w:space="0"/>
                    <w:right w:val="single" w:color="auto" w:sz="4" w:space="0"/>
                  </w:tcBorders>
                </w:tcPr>
                <w:p w14:paraId="506DA792">
                  <w:pPr>
                    <w:pStyle w:val="127"/>
                    <w:rPr>
                      <w:rFonts w:ascii="Times New Roman" w:hAnsi="Times New Roman"/>
                      <w:b/>
                      <w:i/>
                      <w:szCs w:val="18"/>
                      <w:lang w:eastAsia="zh-CN"/>
                    </w:rPr>
                  </w:pPr>
                  <w:r>
                    <w:rPr>
                      <w:rFonts w:ascii="Times New Roman" w:hAnsi="Times New Roman"/>
                      <w:b/>
                      <w:i/>
                      <w:szCs w:val="18"/>
                    </w:rPr>
                    <w:t>maxCC-32-DL-HARQ-ProcessFR2-2-r17</w:t>
                  </w:r>
                </w:p>
                <w:p w14:paraId="16EEBFFF">
                  <w:pPr>
                    <w:pStyle w:val="127"/>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703D7AE2">
                  <w:pPr>
                    <w:pStyle w:val="127"/>
                    <w:rPr>
                      <w:rFonts w:ascii="Times New Roman" w:hAnsi="Times New Roman"/>
                      <w:bCs/>
                      <w:iCs/>
                      <w:szCs w:val="18"/>
                    </w:rPr>
                  </w:pPr>
                </w:p>
                <w:p w14:paraId="3FE0C0D5">
                  <w:pPr>
                    <w:pStyle w:val="127"/>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color="auto" w:sz="4" w:space="0"/>
                    <w:left w:val="single" w:color="auto" w:sz="4" w:space="0"/>
                    <w:bottom w:val="single" w:color="auto" w:sz="4" w:space="0"/>
                    <w:right w:val="single" w:color="auto" w:sz="4" w:space="0"/>
                  </w:tcBorders>
                </w:tcPr>
                <w:p w14:paraId="38E450DB">
                  <w:pPr>
                    <w:pStyle w:val="127"/>
                    <w:jc w:val="center"/>
                    <w:rPr>
                      <w:rFonts w:ascii="Times New Roman" w:hAnsi="Times New Roman"/>
                      <w:szCs w:val="18"/>
                    </w:rPr>
                  </w:pPr>
                  <w:r>
                    <w:rPr>
                      <w:rFonts w:ascii="Times New Roman" w:hAnsi="Times New Roman"/>
                      <w:szCs w:val="18"/>
                    </w:rPr>
                    <w:t>BC</w:t>
                  </w:r>
                </w:p>
              </w:tc>
              <w:tc>
                <w:tcPr>
                  <w:tcW w:w="567" w:type="dxa"/>
                  <w:tcBorders>
                    <w:top w:val="single" w:color="auto" w:sz="4" w:space="0"/>
                    <w:left w:val="single" w:color="auto" w:sz="4" w:space="0"/>
                    <w:bottom w:val="single" w:color="auto" w:sz="4" w:space="0"/>
                    <w:right w:val="single" w:color="auto" w:sz="4" w:space="0"/>
                  </w:tcBorders>
                </w:tcPr>
                <w:p w14:paraId="182A1A1D">
                  <w:pPr>
                    <w:pStyle w:val="127"/>
                    <w:jc w:val="center"/>
                    <w:rPr>
                      <w:rFonts w:ascii="Times New Roman" w:hAnsi="Times New Roman"/>
                      <w:szCs w:val="18"/>
                    </w:rPr>
                  </w:pPr>
                  <w:r>
                    <w:rPr>
                      <w:rFonts w:ascii="Times New Roman" w:hAnsi="Times New Roman"/>
                      <w:szCs w:val="18"/>
                    </w:rPr>
                    <w:t>No</w:t>
                  </w:r>
                </w:p>
              </w:tc>
              <w:tc>
                <w:tcPr>
                  <w:tcW w:w="709" w:type="dxa"/>
                  <w:tcBorders>
                    <w:top w:val="single" w:color="auto" w:sz="4" w:space="0"/>
                    <w:left w:val="single" w:color="auto" w:sz="4" w:space="0"/>
                    <w:bottom w:val="single" w:color="auto" w:sz="4" w:space="0"/>
                    <w:right w:val="single" w:color="auto" w:sz="4" w:space="0"/>
                  </w:tcBorders>
                </w:tcPr>
                <w:p w14:paraId="7AE91D1F">
                  <w:pPr>
                    <w:pStyle w:val="127"/>
                    <w:jc w:val="center"/>
                    <w:rPr>
                      <w:rFonts w:ascii="Times New Roman" w:hAnsi="Times New Roman"/>
                      <w:bCs/>
                      <w:iCs/>
                      <w:szCs w:val="18"/>
                    </w:rPr>
                  </w:pPr>
                  <w:r>
                    <w:rPr>
                      <w:rFonts w:ascii="Times New Roman" w:hAnsi="Times New Roman"/>
                      <w:bCs/>
                      <w:iCs/>
                      <w:szCs w:val="18"/>
                    </w:rPr>
                    <w:t>N/A</w:t>
                  </w:r>
                </w:p>
              </w:tc>
              <w:tc>
                <w:tcPr>
                  <w:tcW w:w="705" w:type="dxa"/>
                  <w:tcBorders>
                    <w:top w:val="single" w:color="auto" w:sz="4" w:space="0"/>
                    <w:left w:val="single" w:color="auto" w:sz="4" w:space="0"/>
                    <w:bottom w:val="single" w:color="auto" w:sz="4" w:space="0"/>
                    <w:right w:val="single" w:color="auto" w:sz="4" w:space="0"/>
                  </w:tcBorders>
                </w:tcPr>
                <w:p w14:paraId="6C7084DC">
                  <w:pPr>
                    <w:pStyle w:val="127"/>
                    <w:jc w:val="center"/>
                    <w:rPr>
                      <w:rFonts w:ascii="Times New Roman" w:hAnsi="Times New Roman"/>
                      <w:bCs/>
                      <w:iCs/>
                      <w:szCs w:val="18"/>
                    </w:rPr>
                  </w:pPr>
                  <w:r>
                    <w:rPr>
                      <w:rFonts w:ascii="Times New Roman" w:hAnsi="Times New Roman"/>
                      <w:bCs/>
                      <w:iCs/>
                      <w:szCs w:val="18"/>
                    </w:rPr>
                    <w:t>N/A</w:t>
                  </w:r>
                </w:p>
              </w:tc>
            </w:tr>
            <w:tr w14:paraId="0322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6939" w:type="dxa"/>
                  <w:tcBorders>
                    <w:top w:val="single" w:color="auto" w:sz="4" w:space="0"/>
                    <w:left w:val="single" w:color="auto" w:sz="4" w:space="0"/>
                    <w:bottom w:val="single" w:color="auto" w:sz="4" w:space="0"/>
                    <w:right w:val="single" w:color="auto" w:sz="4" w:space="0"/>
                  </w:tcBorders>
                </w:tcPr>
                <w:p w14:paraId="1F28223E">
                  <w:pPr>
                    <w:pStyle w:val="127"/>
                    <w:rPr>
                      <w:rFonts w:ascii="Times New Roman" w:hAnsi="Times New Roman"/>
                      <w:b/>
                      <w:i/>
                      <w:szCs w:val="18"/>
                    </w:rPr>
                  </w:pPr>
                  <w:r>
                    <w:rPr>
                      <w:rFonts w:ascii="Times New Roman" w:hAnsi="Times New Roman"/>
                      <w:b/>
                      <w:i/>
                      <w:szCs w:val="18"/>
                    </w:rPr>
                    <w:t>maxCC-32-UL-HARQ-ProcessFR2-2-r17</w:t>
                  </w:r>
                </w:p>
                <w:p w14:paraId="7523581F">
                  <w:pPr>
                    <w:pStyle w:val="127"/>
                    <w:rPr>
                      <w:rFonts w:ascii="Times New Roman" w:hAnsi="Times New Roman"/>
                      <w:bCs/>
                      <w:iCs/>
                      <w:szCs w:val="18"/>
                    </w:rPr>
                  </w:pPr>
                  <w:r>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04E8CC85">
                  <w:pPr>
                    <w:pStyle w:val="127"/>
                    <w:rPr>
                      <w:rFonts w:ascii="Times New Roman" w:hAnsi="Times New Roman"/>
                      <w:bCs/>
                      <w:iCs/>
                      <w:szCs w:val="18"/>
                    </w:rPr>
                  </w:pPr>
                </w:p>
                <w:p w14:paraId="0D29FA11">
                  <w:pPr>
                    <w:pStyle w:val="127"/>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color="auto" w:sz="4" w:space="0"/>
                    <w:left w:val="single" w:color="auto" w:sz="4" w:space="0"/>
                    <w:bottom w:val="single" w:color="auto" w:sz="4" w:space="0"/>
                    <w:right w:val="single" w:color="auto" w:sz="4" w:space="0"/>
                  </w:tcBorders>
                </w:tcPr>
                <w:p w14:paraId="65007F59">
                  <w:pPr>
                    <w:pStyle w:val="127"/>
                    <w:jc w:val="center"/>
                    <w:rPr>
                      <w:rFonts w:ascii="Times New Roman" w:hAnsi="Times New Roman"/>
                      <w:szCs w:val="18"/>
                    </w:rPr>
                  </w:pPr>
                  <w:r>
                    <w:rPr>
                      <w:rFonts w:ascii="Times New Roman" w:hAnsi="Times New Roman"/>
                      <w:szCs w:val="18"/>
                    </w:rPr>
                    <w:t>BC</w:t>
                  </w:r>
                </w:p>
              </w:tc>
              <w:tc>
                <w:tcPr>
                  <w:tcW w:w="567" w:type="dxa"/>
                  <w:tcBorders>
                    <w:top w:val="single" w:color="auto" w:sz="4" w:space="0"/>
                    <w:left w:val="single" w:color="auto" w:sz="4" w:space="0"/>
                    <w:bottom w:val="single" w:color="auto" w:sz="4" w:space="0"/>
                    <w:right w:val="single" w:color="auto" w:sz="4" w:space="0"/>
                  </w:tcBorders>
                </w:tcPr>
                <w:p w14:paraId="22441003">
                  <w:pPr>
                    <w:pStyle w:val="127"/>
                    <w:jc w:val="center"/>
                    <w:rPr>
                      <w:rFonts w:ascii="Times New Roman" w:hAnsi="Times New Roman"/>
                      <w:szCs w:val="18"/>
                    </w:rPr>
                  </w:pPr>
                  <w:r>
                    <w:rPr>
                      <w:rFonts w:ascii="Times New Roman" w:hAnsi="Times New Roman"/>
                      <w:szCs w:val="18"/>
                    </w:rPr>
                    <w:t>No</w:t>
                  </w:r>
                </w:p>
              </w:tc>
              <w:tc>
                <w:tcPr>
                  <w:tcW w:w="709" w:type="dxa"/>
                  <w:tcBorders>
                    <w:top w:val="single" w:color="auto" w:sz="4" w:space="0"/>
                    <w:left w:val="single" w:color="auto" w:sz="4" w:space="0"/>
                    <w:bottom w:val="single" w:color="auto" w:sz="4" w:space="0"/>
                    <w:right w:val="single" w:color="auto" w:sz="4" w:space="0"/>
                  </w:tcBorders>
                </w:tcPr>
                <w:p w14:paraId="793A098E">
                  <w:pPr>
                    <w:pStyle w:val="127"/>
                    <w:jc w:val="center"/>
                    <w:rPr>
                      <w:rFonts w:ascii="Times New Roman" w:hAnsi="Times New Roman"/>
                      <w:bCs/>
                      <w:iCs/>
                      <w:szCs w:val="18"/>
                    </w:rPr>
                  </w:pPr>
                  <w:r>
                    <w:rPr>
                      <w:rFonts w:ascii="Times New Roman" w:hAnsi="Times New Roman"/>
                      <w:bCs/>
                      <w:iCs/>
                      <w:szCs w:val="18"/>
                    </w:rPr>
                    <w:t>N/A</w:t>
                  </w:r>
                </w:p>
              </w:tc>
              <w:tc>
                <w:tcPr>
                  <w:tcW w:w="705" w:type="dxa"/>
                  <w:tcBorders>
                    <w:top w:val="single" w:color="auto" w:sz="4" w:space="0"/>
                    <w:left w:val="single" w:color="auto" w:sz="4" w:space="0"/>
                    <w:bottom w:val="single" w:color="auto" w:sz="4" w:space="0"/>
                    <w:right w:val="single" w:color="auto" w:sz="4" w:space="0"/>
                  </w:tcBorders>
                </w:tcPr>
                <w:p w14:paraId="556052BF">
                  <w:pPr>
                    <w:pStyle w:val="127"/>
                    <w:jc w:val="center"/>
                    <w:rPr>
                      <w:rFonts w:ascii="Times New Roman" w:hAnsi="Times New Roman"/>
                      <w:bCs/>
                      <w:iCs/>
                      <w:szCs w:val="18"/>
                    </w:rPr>
                  </w:pPr>
                  <w:r>
                    <w:rPr>
                      <w:rFonts w:ascii="Times New Roman" w:hAnsi="Times New Roman"/>
                      <w:bCs/>
                      <w:iCs/>
                      <w:szCs w:val="18"/>
                    </w:rPr>
                    <w:t>N/A</w:t>
                  </w:r>
                </w:p>
              </w:tc>
            </w:tr>
          </w:tbl>
          <w:p w14:paraId="0C12886C">
            <w:pPr>
              <w:overflowPunct w:val="0"/>
              <w:autoSpaceDE w:val="0"/>
              <w:autoSpaceDN w:val="0"/>
              <w:adjustRightInd w:val="0"/>
              <w:spacing w:before="120" w:beforeLines="50" w:after="180"/>
              <w:textAlignment w:val="baseline"/>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34"/>
              <w:gridCol w:w="441"/>
              <w:gridCol w:w="919"/>
              <w:gridCol w:w="881"/>
              <w:gridCol w:w="258"/>
              <w:gridCol w:w="478"/>
              <w:gridCol w:w="506"/>
              <w:gridCol w:w="736"/>
              <w:gridCol w:w="441"/>
              <w:gridCol w:w="422"/>
              <w:gridCol w:w="517"/>
              <w:gridCol w:w="506"/>
              <w:gridCol w:w="1939"/>
            </w:tblGrid>
            <w:tr w14:paraId="4225F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0" w:type="auto"/>
                  <w:tcMar>
                    <w:top w:w="0" w:type="dxa"/>
                    <w:left w:w="108" w:type="dxa"/>
                    <w:bottom w:w="0" w:type="dxa"/>
                    <w:right w:w="108" w:type="dxa"/>
                  </w:tcMar>
                </w:tcPr>
                <w:p w14:paraId="6C007496">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653C90D2">
                  <w:pPr>
                    <w:rPr>
                      <w:rFonts w:cs="Arial"/>
                      <w:sz w:val="18"/>
                      <w:szCs w:val="18"/>
                    </w:rPr>
                  </w:pPr>
                  <w:r>
                    <w:rPr>
                      <w:rFonts w:cs="Arial"/>
                      <w:sz w:val="18"/>
                      <w:szCs w:val="18"/>
                    </w:rPr>
                    <w:t>56-3</w:t>
                  </w:r>
                </w:p>
              </w:tc>
              <w:tc>
                <w:tcPr>
                  <w:tcW w:w="0" w:type="auto"/>
                  <w:tcMar>
                    <w:top w:w="0" w:type="dxa"/>
                    <w:left w:w="108" w:type="dxa"/>
                    <w:bottom w:w="0" w:type="dxa"/>
                    <w:right w:w="108" w:type="dxa"/>
                  </w:tcMar>
                </w:tcPr>
                <w:p w14:paraId="0E8370E9">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3F77E0D6">
                  <w:pPr>
                    <w:rPr>
                      <w:rFonts w:eastAsia="等线"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5D883B9D">
                  <w:pPr>
                    <w:rPr>
                      <w:rFonts w:cs="Arial"/>
                      <w:sz w:val="18"/>
                      <w:szCs w:val="18"/>
                    </w:rPr>
                  </w:pPr>
                  <w:r>
                    <w:rPr>
                      <w:rFonts w:cs="Arial"/>
                      <w:sz w:val="18"/>
                      <w:szCs w:val="18"/>
                    </w:rPr>
                    <w:t> </w:t>
                  </w:r>
                </w:p>
              </w:tc>
              <w:tc>
                <w:tcPr>
                  <w:tcW w:w="0" w:type="auto"/>
                  <w:tcMar>
                    <w:top w:w="0" w:type="dxa"/>
                    <w:left w:w="108" w:type="dxa"/>
                    <w:bottom w:w="0" w:type="dxa"/>
                    <w:right w:w="108" w:type="dxa"/>
                  </w:tcMar>
                </w:tcPr>
                <w:p w14:paraId="66072F40">
                  <w:pPr>
                    <w:rPr>
                      <w:rFonts w:cs="Arial"/>
                      <w:sz w:val="18"/>
                      <w:szCs w:val="18"/>
                    </w:rPr>
                  </w:pPr>
                  <w:r>
                    <w:rPr>
                      <w:rFonts w:cs="Arial"/>
                      <w:sz w:val="18"/>
                      <w:szCs w:val="18"/>
                    </w:rPr>
                    <w:t>Yes</w:t>
                  </w:r>
                </w:p>
              </w:tc>
              <w:tc>
                <w:tcPr>
                  <w:tcW w:w="0" w:type="auto"/>
                  <w:tcMar>
                    <w:top w:w="0" w:type="dxa"/>
                    <w:left w:w="108" w:type="dxa"/>
                    <w:bottom w:w="0" w:type="dxa"/>
                    <w:right w:w="108" w:type="dxa"/>
                  </w:tcMar>
                </w:tcPr>
                <w:p w14:paraId="23272BDF">
                  <w:pPr>
                    <w:rPr>
                      <w:rFonts w:cs="Arial"/>
                      <w:sz w:val="18"/>
                      <w:szCs w:val="18"/>
                    </w:rPr>
                  </w:pPr>
                  <w:r>
                    <w:rPr>
                      <w:rFonts w:cs="Arial"/>
                      <w:sz w:val="18"/>
                      <w:szCs w:val="18"/>
                    </w:rPr>
                    <w:t>N/A</w:t>
                  </w:r>
                </w:p>
              </w:tc>
              <w:tc>
                <w:tcPr>
                  <w:tcW w:w="0" w:type="auto"/>
                  <w:tcMar>
                    <w:top w:w="0" w:type="dxa"/>
                    <w:left w:w="108" w:type="dxa"/>
                    <w:bottom w:w="0" w:type="dxa"/>
                    <w:right w:w="108" w:type="dxa"/>
                  </w:tcMar>
                </w:tcPr>
                <w:p w14:paraId="524B63AA">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684CD345">
                  <w:pPr>
                    <w:rPr>
                      <w:rFonts w:cs="Arial"/>
                      <w:sz w:val="18"/>
                      <w:szCs w:val="18"/>
                      <w:lang w:eastAsia="zh-CN"/>
                    </w:rPr>
                  </w:pPr>
                  <w:r>
                    <w:rPr>
                      <w:rFonts w:hint="eastAsia" w:cs="Arial"/>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5EAAE82F">
                  <w:pPr>
                    <w:rPr>
                      <w:rFonts w:cs="Arial"/>
                      <w:sz w:val="18"/>
                      <w:szCs w:val="18"/>
                    </w:rPr>
                  </w:pPr>
                  <w:r>
                    <w:rPr>
                      <w:rFonts w:cs="Arial"/>
                      <w:sz w:val="18"/>
                      <w:szCs w:val="18"/>
                    </w:rPr>
                    <w:t>No</w:t>
                  </w:r>
                </w:p>
              </w:tc>
              <w:tc>
                <w:tcPr>
                  <w:tcW w:w="0" w:type="auto"/>
                  <w:tcMar>
                    <w:top w:w="0" w:type="dxa"/>
                    <w:left w:w="108" w:type="dxa"/>
                    <w:bottom w:w="0" w:type="dxa"/>
                    <w:right w:w="108" w:type="dxa"/>
                  </w:tcMar>
                </w:tcPr>
                <w:p w14:paraId="23737A13">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786203CA">
                  <w:pPr>
                    <w:rPr>
                      <w:rFonts w:cs="Arial"/>
                      <w:sz w:val="18"/>
                      <w:szCs w:val="18"/>
                    </w:rPr>
                  </w:pPr>
                  <w:r>
                    <w:rPr>
                      <w:rFonts w:cs="Arial"/>
                      <w:sz w:val="18"/>
                      <w:szCs w:val="18"/>
                    </w:rPr>
                    <w:t>N/A</w:t>
                  </w:r>
                </w:p>
              </w:tc>
              <w:tc>
                <w:tcPr>
                  <w:tcW w:w="0" w:type="auto"/>
                  <w:tcMar>
                    <w:top w:w="0" w:type="dxa"/>
                    <w:left w:w="108" w:type="dxa"/>
                    <w:bottom w:w="0" w:type="dxa"/>
                    <w:right w:w="108" w:type="dxa"/>
                  </w:tcMar>
                </w:tcPr>
                <w:p w14:paraId="21F9CAC5">
                  <w:pPr>
                    <w:rPr>
                      <w:rFonts w:eastAsia="等线" w:cs="Arial"/>
                      <w:sz w:val="18"/>
                      <w:szCs w:val="18"/>
                    </w:rPr>
                  </w:pPr>
                  <w:r>
                    <w:rPr>
                      <w:rFonts w:eastAsia="等线" w:cs="Arial"/>
                      <w:sz w:val="18"/>
                      <w:szCs w:val="18"/>
                    </w:rPr>
                    <w:t>Candidate component values for (X,Y): {(16,32),(32,16),(32,32)}</w:t>
                  </w:r>
                </w:p>
                <w:p w14:paraId="6BED7168">
                  <w:pPr>
                    <w:rPr>
                      <w:rFonts w:eastAsia="等线" w:cs="Arial"/>
                      <w:sz w:val="18"/>
                      <w:szCs w:val="18"/>
                    </w:rPr>
                  </w:pPr>
                  <w:r>
                    <w:rPr>
                      <w:rFonts w:eastAsia="等线" w:cs="Arial"/>
                      <w:sz w:val="18"/>
                      <w:szCs w:val="18"/>
                    </w:rPr>
                    <w:t> </w:t>
                  </w:r>
                </w:p>
                <w:p w14:paraId="52359384">
                  <w:pPr>
                    <w:rPr>
                      <w:rFonts w:cs="Arial"/>
                      <w:sz w:val="18"/>
                      <w:szCs w:val="18"/>
                    </w:rPr>
                  </w:pPr>
                  <w:r>
                    <w:rPr>
                      <w:rFonts w:cs="Arial"/>
                      <w:sz w:val="18"/>
                      <w:szCs w:val="18"/>
                    </w:rPr>
                    <w:t>Note: This UE feature group is applicable only for bands defined in Section 5.2J in TS 38.101-1</w:t>
                  </w:r>
                </w:p>
              </w:tc>
            </w:tr>
          </w:tbl>
          <w:p w14:paraId="7BB500F3">
            <w:pPr>
              <w:overflowPunct w:val="0"/>
              <w:autoSpaceDE w:val="0"/>
              <w:autoSpaceDN w:val="0"/>
              <w:adjustRightInd w:val="0"/>
              <w:spacing w:before="120" w:beforeLines="50" w:after="180"/>
              <w:textAlignment w:val="baseline"/>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is still kept as 16 according to existing specification. It is noted that the FR2 carrier in FR1-FR2 CA scenario in this contribution means a FR2-1 carrier. </w:t>
            </w:r>
          </w:p>
          <w:p w14:paraId="040076A8">
            <w:pPr>
              <w:overflowPunct w:val="0"/>
              <w:autoSpaceDE w:val="0"/>
              <w:autoSpaceDN w:val="0"/>
              <w:adjustRightInd w:val="0"/>
              <w:spacing w:before="180" w:after="180" w:line="276" w:lineRule="auto"/>
              <w:textAlignment w:val="baseline"/>
              <w:rPr>
                <w:b/>
                <w:sz w:val="18"/>
                <w:szCs w:val="18"/>
                <w:u w:val="single"/>
                <w:lang w:eastAsia="ko-KR"/>
              </w:rPr>
            </w:pPr>
          </w:p>
          <w:p w14:paraId="4EDF3583">
            <w:pPr>
              <w:overflowPunct w:val="0"/>
              <w:autoSpaceDE w:val="0"/>
              <w:autoSpaceDN w:val="0"/>
              <w:adjustRightInd w:val="0"/>
              <w:spacing w:before="180" w:after="180" w:line="276" w:lineRule="auto"/>
              <w:textAlignment w:val="baseline"/>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PCell (30kHz) + </w:t>
            </w:r>
            <w:r>
              <w:rPr>
                <w:rFonts w:hint="eastAsia"/>
                <w:b/>
                <w:sz w:val="18"/>
                <w:szCs w:val="18"/>
                <w:u w:val="single"/>
                <w:lang w:val="en-US" w:eastAsia="zh-CN"/>
              </w:rPr>
              <w:t>FR2 T</w:t>
            </w:r>
            <w:r>
              <w:rPr>
                <w:b/>
                <w:sz w:val="18"/>
                <w:szCs w:val="18"/>
                <w:u w:val="single"/>
                <w:lang w:eastAsia="ko-KR"/>
              </w:rPr>
              <w:t>DD SCell (1</w:t>
            </w:r>
            <w:r>
              <w:rPr>
                <w:rFonts w:hint="eastAsia"/>
                <w:b/>
                <w:sz w:val="18"/>
                <w:szCs w:val="18"/>
                <w:u w:val="single"/>
                <w:lang w:val="en-US" w:eastAsia="zh-CN"/>
              </w:rPr>
              <w:t>20</w:t>
            </w:r>
            <w:r>
              <w:rPr>
                <w:b/>
                <w:sz w:val="18"/>
                <w:szCs w:val="18"/>
                <w:u w:val="single"/>
                <w:lang w:eastAsia="ko-KR"/>
              </w:rPr>
              <w:t>kHz)</w:t>
            </w:r>
          </w:p>
          <w:p w14:paraId="15E7BB53">
            <w:pPr>
              <w:overflowPunct w:val="0"/>
              <w:autoSpaceDE w:val="0"/>
              <w:autoSpaceDN w:val="0"/>
              <w:adjustRightInd w:val="0"/>
              <w:spacing w:before="180" w:after="180" w:line="276" w:lineRule="auto"/>
              <w:textAlignment w:val="baseline"/>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PCell + </w:t>
            </w:r>
            <w:r>
              <w:rPr>
                <w:rFonts w:hint="eastAsia"/>
                <w:sz w:val="18"/>
                <w:szCs w:val="18"/>
                <w:lang w:val="en-US" w:eastAsia="zh-CN"/>
              </w:rPr>
              <w:t>FR2 T</w:t>
            </w:r>
            <w:r>
              <w:rPr>
                <w:sz w:val="18"/>
                <w:szCs w:val="18"/>
                <w:lang w:val="en-US" w:eastAsia="zh-CN"/>
              </w:rPr>
              <w:t>DD SCell</w:t>
            </w:r>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SCell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S</w:t>
            </w:r>
            <w:r>
              <w:rPr>
                <w:rFonts w:hint="eastAsia"/>
                <w:sz w:val="18"/>
                <w:szCs w:val="18"/>
                <w:lang w:val="en-US" w:eastAsia="zh-CN"/>
              </w:rPr>
              <w:t>C</w:t>
            </w:r>
            <w:r>
              <w:rPr>
                <w:sz w:val="18"/>
                <w:szCs w:val="18"/>
                <w:lang w:val="en-US" w:eastAsia="zh-CN"/>
              </w:rPr>
              <w:t>ell, one typical way is to configure only one PUCCH cell group to allow HARQ-ACK of FR2 S</w:t>
            </w:r>
            <w:r>
              <w:rPr>
                <w:rFonts w:hint="eastAsia"/>
                <w:sz w:val="18"/>
                <w:szCs w:val="18"/>
                <w:lang w:val="en-US" w:eastAsia="zh-CN"/>
              </w:rPr>
              <w:t>C</w:t>
            </w:r>
            <w:r>
              <w:rPr>
                <w:sz w:val="18"/>
                <w:szCs w:val="18"/>
                <w:lang w:val="en-US" w:eastAsia="zh-CN"/>
              </w:rPr>
              <w:t xml:space="preserve">ell is transmitted in </w:t>
            </w:r>
            <w:r>
              <w:rPr>
                <w:rFonts w:hint="eastAsia"/>
                <w:sz w:val="18"/>
                <w:szCs w:val="18"/>
                <w:lang w:val="en-US" w:eastAsia="zh-CN"/>
              </w:rPr>
              <w:t>PCell</w:t>
            </w:r>
            <w:r>
              <w:rPr>
                <w:sz w:val="18"/>
                <w:szCs w:val="18"/>
                <w:lang w:val="en-US" w:eastAsia="zh-CN"/>
              </w:rPr>
              <w:t>. In the appendix, we provide more analysis on the motivation of configuring one PUCCH group.</w:t>
            </w:r>
          </w:p>
          <w:p w14:paraId="65C0B748">
            <w:pPr>
              <w:overflowPunct w:val="0"/>
              <w:autoSpaceDE w:val="0"/>
              <w:autoSpaceDN w:val="0"/>
              <w:adjustRightInd w:val="0"/>
              <w:spacing w:before="180" w:after="180" w:line="276" w:lineRule="auto"/>
              <w:jc w:val="center"/>
              <w:textAlignment w:val="baseline"/>
              <w:rPr>
                <w:sz w:val="18"/>
                <w:szCs w:val="18"/>
              </w:rPr>
            </w:pPr>
            <w:r>
              <w:rPr>
                <w:sz w:val="18"/>
                <w:szCs w:val="18"/>
                <w:lang w:val="en-US" w:eastAsia="zh-CN"/>
              </w:rPr>
              <w:drawing>
                <wp:inline distT="0" distB="0" distL="114300" distR="114300">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7"/>
                          <a:stretch>
                            <a:fillRect/>
                          </a:stretch>
                        </pic:blipFill>
                        <pic:spPr>
                          <a:xfrm>
                            <a:off x="0" y="0"/>
                            <a:ext cx="1895475" cy="882650"/>
                          </a:xfrm>
                          <a:prstGeom prst="rect">
                            <a:avLst/>
                          </a:prstGeom>
                          <a:noFill/>
                          <a:ln>
                            <a:noFill/>
                          </a:ln>
                        </pic:spPr>
                      </pic:pic>
                    </a:graphicData>
                  </a:graphic>
                </wp:inline>
              </w:drawing>
            </w:r>
          </w:p>
          <w:p w14:paraId="187AABCC">
            <w:pPr>
              <w:overflowPunct w:val="0"/>
              <w:autoSpaceDE w:val="0"/>
              <w:autoSpaceDN w:val="0"/>
              <w:adjustRightInd w:val="0"/>
              <w:spacing w:before="180" w:after="180" w:line="276" w:lineRule="auto"/>
              <w:jc w:val="center"/>
              <w:textAlignment w:val="baseline"/>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PCell + </w:t>
            </w:r>
            <w:r>
              <w:rPr>
                <w:rFonts w:hint="eastAsia"/>
                <w:b/>
                <w:sz w:val="18"/>
                <w:szCs w:val="18"/>
                <w:lang w:val="en-US" w:eastAsia="zh-CN"/>
              </w:rPr>
              <w:t>FR2 T</w:t>
            </w:r>
            <w:r>
              <w:rPr>
                <w:b/>
                <w:sz w:val="18"/>
                <w:szCs w:val="18"/>
                <w:lang w:val="en-US" w:eastAsia="zh-CN"/>
              </w:rPr>
              <w:t>DD SCell</w:t>
            </w:r>
          </w:p>
          <w:p w14:paraId="207F29F6">
            <w:pPr>
              <w:overflowPunct w:val="0"/>
              <w:autoSpaceDE w:val="0"/>
              <w:autoSpaceDN w:val="0"/>
              <w:adjustRightInd w:val="0"/>
              <w:spacing w:before="180" w:after="180" w:line="276" w:lineRule="auto"/>
              <w:textAlignment w:val="baseline"/>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r>
              <w:rPr>
                <w:sz w:val="18"/>
                <w:szCs w:val="18"/>
                <w:lang w:val="en-US" w:eastAsia="zh-CN"/>
              </w:rPr>
              <w:t>P</w:t>
            </w:r>
            <w:r>
              <w:rPr>
                <w:rFonts w:hint="eastAsia"/>
                <w:sz w:val="18"/>
                <w:szCs w:val="18"/>
                <w:lang w:val="en-US" w:eastAsia="zh-CN"/>
              </w:rPr>
              <w:t>C</w:t>
            </w:r>
            <w:r>
              <w:rPr>
                <w:sz w:val="18"/>
                <w:szCs w:val="18"/>
                <w:lang w:val="en-US" w:eastAsia="zh-CN"/>
              </w:rPr>
              <w:t>ell and S</w:t>
            </w:r>
            <w:r>
              <w:rPr>
                <w:rFonts w:hint="eastAsia"/>
                <w:sz w:val="18"/>
                <w:szCs w:val="18"/>
                <w:lang w:val="en-US" w:eastAsia="zh-CN"/>
              </w:rPr>
              <w:t>C</w:t>
            </w:r>
            <w:r>
              <w:rPr>
                <w:sz w:val="18"/>
                <w:szCs w:val="18"/>
                <w:lang w:val="en-US" w:eastAsia="zh-CN"/>
              </w:rPr>
              <w:t>ell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8"/>
            </w:tblGrid>
            <w:tr w14:paraId="2E39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14:paraId="4217C8F8">
                  <w:pPr>
                    <w:overflowPunct w:val="0"/>
                    <w:autoSpaceDE w:val="0"/>
                    <w:autoSpaceDN w:val="0"/>
                    <w:adjustRightInd w:val="0"/>
                    <w:spacing w:before="180" w:after="180" w:line="276" w:lineRule="auto"/>
                    <w:textAlignment w:val="baseline"/>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1D114F5D">
                  <w:pPr>
                    <w:overflowPunct w:val="0"/>
                    <w:autoSpaceDE w:val="0"/>
                    <w:autoSpaceDN w:val="0"/>
                    <w:adjustRightInd w:val="0"/>
                    <w:spacing w:before="180" w:after="180" w:line="276" w:lineRule="auto"/>
                    <w:textAlignment w:val="baseline"/>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64832B8B">
            <w:pPr>
              <w:overflowPunct w:val="0"/>
              <w:autoSpaceDE w:val="0"/>
              <w:autoSpaceDN w:val="0"/>
              <w:adjustRightInd w:val="0"/>
              <w:spacing w:before="180" w:after="180" w:line="276" w:lineRule="auto"/>
              <w:textAlignment w:val="baseline"/>
              <w:rPr>
                <w:sz w:val="18"/>
                <w:szCs w:val="18"/>
              </w:rPr>
            </w:pPr>
            <w:r>
              <w:rPr>
                <w:sz w:val="18"/>
                <w:szCs w:val="18"/>
                <w:lang w:val="en-US" w:eastAsia="zh-CN"/>
              </w:rPr>
              <w:drawing>
                <wp:inline distT="0" distB="0" distL="114300" distR="114300">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6104255" cy="423545"/>
                          </a:xfrm>
                          <a:prstGeom prst="rect">
                            <a:avLst/>
                          </a:prstGeom>
                          <a:noFill/>
                          <a:ln>
                            <a:noFill/>
                          </a:ln>
                        </pic:spPr>
                      </pic:pic>
                    </a:graphicData>
                  </a:graphic>
                </wp:inline>
              </w:drawing>
            </w:r>
          </w:p>
          <w:p w14:paraId="3E74A7DA">
            <w:pPr>
              <w:overflowPunct w:val="0"/>
              <w:autoSpaceDE w:val="0"/>
              <w:autoSpaceDN w:val="0"/>
              <w:adjustRightInd w:val="0"/>
              <w:spacing w:before="180" w:after="180" w:line="276" w:lineRule="auto"/>
              <w:jc w:val="center"/>
              <w:textAlignment w:val="baseline"/>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ell with TDD configuration of ‘DDDDDDDSUU’ and ‘DDDSU’ respectively</w:t>
            </w:r>
          </w:p>
          <w:p w14:paraId="2A608B12">
            <w:pPr>
              <w:overflowPunct w:val="0"/>
              <w:autoSpaceDE w:val="0"/>
              <w:autoSpaceDN w:val="0"/>
              <w:adjustRightInd w:val="0"/>
              <w:spacing w:after="180"/>
              <w:textAlignment w:val="baseline"/>
              <w:rPr>
                <w:i/>
                <w:color w:val="FF0000"/>
                <w:sz w:val="18"/>
                <w:szCs w:val="18"/>
                <w:u w:val="single"/>
                <w:lang w:val="en-US" w:eastAsia="zh-CN"/>
              </w:rPr>
            </w:pPr>
            <w:r>
              <w:rPr>
                <w:rFonts w:hint="eastAsia"/>
                <w:b/>
                <w:i/>
                <w:sz w:val="18"/>
                <w:szCs w:val="18"/>
                <w:lang w:val="en-US" w:eastAsia="zh-CN"/>
              </w:rPr>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25D54BC7">
            <w:pPr>
              <w:overflowPunct w:val="0"/>
              <w:autoSpaceDE w:val="0"/>
              <w:autoSpaceDN w:val="0"/>
              <w:adjustRightInd w:val="0"/>
              <w:spacing w:before="180" w:after="180" w:line="276" w:lineRule="auto"/>
              <w:textAlignment w:val="baseline"/>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hint="eastAsia" w:eastAsia="Yu Mincho"/>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2DA896D0">
            <w:pPr>
              <w:overflowPunct w:val="0"/>
              <w:autoSpaceDE w:val="0"/>
              <w:autoSpaceDN w:val="0"/>
              <w:adjustRightInd w:val="0"/>
              <w:spacing w:before="180" w:after="180" w:line="276" w:lineRule="auto"/>
              <w:textAlignment w:val="baseline"/>
              <w:rPr>
                <w:sz w:val="18"/>
                <w:szCs w:val="18"/>
              </w:rPr>
            </w:pPr>
            <w:r>
              <w:rPr>
                <w:sz w:val="18"/>
                <w:szCs w:val="18"/>
                <w:lang w:val="en-US" w:eastAsia="zh-CN"/>
              </w:rPr>
              <w:drawing>
                <wp:inline distT="0" distB="0" distL="114300" distR="114300">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9"/>
                          <a:stretch>
                            <a:fillRect/>
                          </a:stretch>
                        </pic:blipFill>
                        <pic:spPr>
                          <a:xfrm>
                            <a:off x="0" y="0"/>
                            <a:ext cx="6104890" cy="349250"/>
                          </a:xfrm>
                          <a:prstGeom prst="rect">
                            <a:avLst/>
                          </a:prstGeom>
                          <a:noFill/>
                          <a:ln>
                            <a:noFill/>
                          </a:ln>
                        </pic:spPr>
                      </pic:pic>
                    </a:graphicData>
                  </a:graphic>
                </wp:inline>
              </w:drawing>
            </w:r>
          </w:p>
          <w:p w14:paraId="36F860FC">
            <w:pPr>
              <w:overflowPunct w:val="0"/>
              <w:autoSpaceDE w:val="0"/>
              <w:autoSpaceDN w:val="0"/>
              <w:adjustRightInd w:val="0"/>
              <w:spacing w:before="180" w:after="180" w:line="276" w:lineRule="auto"/>
              <w:jc w:val="center"/>
              <w:textAlignment w:val="baseline"/>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2,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 xml:space="preserve">ell with TDD configuration of ‘DDDSU’ </w:t>
            </w:r>
          </w:p>
          <w:p w14:paraId="1493722C">
            <w:pPr>
              <w:overflowPunct w:val="0"/>
              <w:autoSpaceDE w:val="0"/>
              <w:autoSpaceDN w:val="0"/>
              <w:adjustRightInd w:val="0"/>
              <w:spacing w:after="180"/>
              <w:textAlignment w:val="baseline"/>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366BB366">
            <w:pPr>
              <w:overflowPunct w:val="0"/>
              <w:autoSpaceDE w:val="0"/>
              <w:autoSpaceDN w:val="0"/>
              <w:adjustRightInd w:val="0"/>
              <w:spacing w:after="180"/>
              <w:textAlignment w:val="baseline"/>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latency (e.g., interaction latency between different cells). Therefore, more HARQ process numbers are actually needed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r>
              <w:rPr>
                <w:sz w:val="18"/>
                <w:szCs w:val="18"/>
                <w:lang w:val="en-US" w:eastAsia="zh-CN"/>
              </w:rPr>
              <w:t>P</w:t>
            </w:r>
            <w:r>
              <w:rPr>
                <w:rFonts w:hint="eastAsia"/>
                <w:sz w:val="18"/>
                <w:szCs w:val="18"/>
                <w:lang w:val="en-US" w:eastAsia="zh-CN"/>
              </w:rPr>
              <w:t>C</w:t>
            </w:r>
            <w:r>
              <w:rPr>
                <w:sz w:val="18"/>
                <w:szCs w:val="18"/>
                <w:lang w:val="en-US" w:eastAsia="zh-CN"/>
              </w:rPr>
              <w:t xml:space="preserve">ell configured with more UL slots, e.g., frame structure ‘DDDSUDDSUU, the HARQ process numbers may also be limited in practice.  </w:t>
            </w:r>
          </w:p>
          <w:p w14:paraId="3C4EA035">
            <w:pPr>
              <w:overflowPunct w:val="0"/>
              <w:autoSpaceDE w:val="0"/>
              <w:autoSpaceDN w:val="0"/>
              <w:adjustRightInd w:val="0"/>
              <w:spacing w:after="180"/>
              <w:jc w:val="center"/>
              <w:textAlignment w:val="baseline"/>
              <w:rPr>
                <w:sz w:val="18"/>
                <w:szCs w:val="18"/>
              </w:rPr>
            </w:pPr>
            <w:r>
              <w:rPr>
                <w:sz w:val="18"/>
                <w:szCs w:val="18"/>
                <w:lang w:val="en-US" w:eastAsia="zh-CN"/>
              </w:rPr>
              <w:drawing>
                <wp:inline distT="0" distB="0" distL="114300" distR="114300">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0"/>
                          <a:stretch>
                            <a:fillRect/>
                          </a:stretch>
                        </pic:blipFill>
                        <pic:spPr>
                          <a:xfrm>
                            <a:off x="0" y="0"/>
                            <a:ext cx="3140075" cy="636270"/>
                          </a:xfrm>
                          <a:prstGeom prst="rect">
                            <a:avLst/>
                          </a:prstGeom>
                          <a:noFill/>
                          <a:ln>
                            <a:noFill/>
                          </a:ln>
                        </pic:spPr>
                      </pic:pic>
                    </a:graphicData>
                  </a:graphic>
                </wp:inline>
              </w:drawing>
            </w:r>
          </w:p>
          <w:p w14:paraId="3A153BC9">
            <w:pPr>
              <w:overflowPunct w:val="0"/>
              <w:autoSpaceDE w:val="0"/>
              <w:autoSpaceDN w:val="0"/>
              <w:adjustRightInd w:val="0"/>
              <w:spacing w:before="180" w:after="180" w:line="276" w:lineRule="auto"/>
              <w:jc w:val="center"/>
              <w:textAlignment w:val="baseline"/>
              <w:rPr>
                <w:b/>
                <w:sz w:val="18"/>
                <w:szCs w:val="18"/>
                <w:lang w:val="en-US" w:eastAsia="zh-CN"/>
              </w:rPr>
            </w:pPr>
            <w:r>
              <w:rPr>
                <w:rFonts w:hint="eastAsia"/>
                <w:b/>
                <w:sz w:val="18"/>
                <w:szCs w:val="18"/>
                <w:lang w:val="en-US" w:eastAsia="zh-CN"/>
              </w:rPr>
              <w:t>Figure 4: HARQ processing in one RTT</w:t>
            </w:r>
          </w:p>
          <w:p w14:paraId="5ACB4053">
            <w:pPr>
              <w:overflowPunct w:val="0"/>
              <w:autoSpaceDE w:val="0"/>
              <w:autoSpaceDN w:val="0"/>
              <w:adjustRightInd w:val="0"/>
              <w:spacing w:after="180"/>
              <w:textAlignment w:val="baseline"/>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actually needed in one complete RTT duration with taking the processing time at gNB side into account. </w:t>
            </w:r>
          </w:p>
          <w:p w14:paraId="68F070BE">
            <w:pPr>
              <w:overflowPunct w:val="0"/>
              <w:autoSpaceDE w:val="0"/>
              <w:autoSpaceDN w:val="0"/>
              <w:adjustRightInd w:val="0"/>
              <w:spacing w:before="180" w:after="180" w:line="276" w:lineRule="auto"/>
              <w:textAlignment w:val="baseline"/>
              <w:rPr>
                <w:b/>
                <w:sz w:val="18"/>
                <w:szCs w:val="18"/>
                <w:u w:val="single"/>
                <w:lang w:eastAsia="ko-KR"/>
              </w:rPr>
            </w:pPr>
            <w:r>
              <w:rPr>
                <w:b/>
                <w:sz w:val="18"/>
                <w:szCs w:val="18"/>
                <w:u w:val="single"/>
                <w:lang w:eastAsia="ko-KR"/>
              </w:rPr>
              <w:t>UE implementation impact</w:t>
            </w:r>
          </w:p>
          <w:p w14:paraId="63B08E7E">
            <w:pPr>
              <w:overflowPunct w:val="0"/>
              <w:autoSpaceDE w:val="0"/>
              <w:autoSpaceDN w:val="0"/>
              <w:adjustRightInd w:val="0"/>
              <w:spacing w:after="180"/>
              <w:textAlignment w:val="baseline"/>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7CCA16E8">
            <w:pPr>
              <w:overflowPunct w:val="0"/>
              <w:autoSpaceDE w:val="0"/>
              <w:autoSpaceDN w:val="0"/>
              <w:adjustRightInd w:val="0"/>
              <w:spacing w:after="180"/>
              <w:textAlignment w:val="baseline"/>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74E9C140">
            <w:pPr>
              <w:overflowPunct w:val="0"/>
              <w:autoSpaceDE w:val="0"/>
              <w:autoSpaceDN w:val="0"/>
              <w:adjustRightInd w:val="0"/>
              <w:spacing w:after="180"/>
              <w:textAlignment w:val="baseline"/>
              <w:rPr>
                <w:sz w:val="18"/>
                <w:szCs w:val="18"/>
                <w:lang w:val="en-US" w:eastAsia="zh-CN"/>
              </w:rPr>
            </w:pPr>
            <w:r>
              <w:rPr>
                <w:b/>
                <w:sz w:val="18"/>
                <w:szCs w:val="18"/>
                <w:u w:val="single"/>
                <w:lang w:eastAsia="ko-KR"/>
              </w:rPr>
              <w:t>Proposed solution:</w:t>
            </w:r>
          </w:p>
          <w:p w14:paraId="5970297D">
            <w:pPr>
              <w:overflowPunct w:val="0"/>
              <w:autoSpaceDE w:val="0"/>
              <w:autoSpaceDN w:val="0"/>
              <w:adjustRightInd w:val="0"/>
              <w:spacing w:before="120" w:beforeLines="50" w:after="180"/>
              <w:textAlignment w:val="baseline"/>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5E8FCC27">
            <w:pPr>
              <w:overflowPunct w:val="0"/>
              <w:autoSpaceDE w:val="0"/>
              <w:autoSpaceDN w:val="0"/>
              <w:adjustRightInd w:val="0"/>
              <w:spacing w:after="120" w:afterLines="50"/>
              <w:textAlignment w:val="baseline"/>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10B716A6">
            <w:pPr>
              <w:pStyle w:val="108"/>
              <w:numPr>
                <w:ilvl w:val="0"/>
                <w:numId w:val="19"/>
              </w:numPr>
              <w:overflowPunct w:val="0"/>
              <w:autoSpaceDE w:val="0"/>
              <w:autoSpaceDN w:val="0"/>
              <w:adjustRightInd w:val="0"/>
              <w:snapToGrid w:val="0"/>
              <w:spacing w:before="180" w:after="120" w:line="276" w:lineRule="auto"/>
              <w:ind w:leftChars="0"/>
              <w:jc w:val="both"/>
              <w:textAlignment w:val="baseline"/>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72BA6711">
            <w:pPr>
              <w:pStyle w:val="108"/>
              <w:numPr>
                <w:ilvl w:val="1"/>
                <w:numId w:val="19"/>
              </w:numPr>
              <w:overflowPunct w:val="0"/>
              <w:autoSpaceDE w:val="0"/>
              <w:autoSpaceDN w:val="0"/>
              <w:adjustRightInd w:val="0"/>
              <w:snapToGrid w:val="0"/>
              <w:spacing w:before="180" w:after="120" w:line="276" w:lineRule="auto"/>
              <w:ind w:leftChars="0"/>
              <w:jc w:val="both"/>
              <w:textAlignment w:val="baseline"/>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1DAD870A">
            <w:pPr>
              <w:pStyle w:val="108"/>
              <w:numPr>
                <w:ilvl w:val="0"/>
                <w:numId w:val="19"/>
              </w:numPr>
              <w:overflowPunct w:val="0"/>
              <w:autoSpaceDE w:val="0"/>
              <w:autoSpaceDN w:val="0"/>
              <w:adjustRightInd w:val="0"/>
              <w:snapToGrid w:val="0"/>
              <w:spacing w:before="180" w:after="120" w:line="276" w:lineRule="auto"/>
              <w:ind w:leftChars="0"/>
              <w:jc w:val="both"/>
              <w:textAlignment w:val="baseline"/>
              <w:rPr>
                <w:bCs/>
                <w:i/>
                <w:sz w:val="18"/>
                <w:szCs w:val="18"/>
                <w:lang w:eastAsia="ko-KR"/>
              </w:rPr>
            </w:pPr>
            <w:r>
              <w:rPr>
                <w:rFonts w:hint="eastAsia" w:eastAsiaTheme="minorEastAsia"/>
                <w:bCs/>
                <w:i/>
                <w:sz w:val="18"/>
                <w:szCs w:val="18"/>
                <w:lang w:eastAsia="zh-CN"/>
              </w:rPr>
              <w:t>I</w:t>
            </w:r>
            <w:r>
              <w:rPr>
                <w:rFonts w:eastAsiaTheme="minorEastAsia"/>
                <w:bCs/>
                <w:i/>
                <w:sz w:val="18"/>
                <w:szCs w:val="18"/>
                <w:lang w:eastAsia="zh-CN"/>
              </w:rPr>
              <w:t xml:space="preserve">ntroduce new RRC parameters, </w:t>
            </w:r>
            <w:r>
              <w:rPr>
                <w:rFonts w:hint="eastAsia" w:eastAsiaTheme="minorEastAsia"/>
                <w:bCs/>
                <w:i/>
                <w:sz w:val="18"/>
                <w:szCs w:val="18"/>
              </w:rPr>
              <w:t>harq-ProcessNumberSizeDCI-</w:t>
            </w:r>
            <w:r>
              <w:rPr>
                <w:rFonts w:hint="eastAsia" w:eastAsiaTheme="minorEastAsia"/>
                <w:bCs/>
                <w:i/>
                <w:sz w:val="18"/>
                <w:szCs w:val="18"/>
                <w:lang w:val="en-US" w:eastAsia="zh-CN"/>
              </w:rPr>
              <w:t>0</w:t>
            </w:r>
            <w:r>
              <w:rPr>
                <w:rFonts w:hint="eastAsia" w:eastAsiaTheme="minorEastAsia"/>
                <w:bCs/>
                <w:i/>
                <w:sz w:val="18"/>
                <w:szCs w:val="18"/>
              </w:rPr>
              <w:t>-1</w:t>
            </w:r>
            <w:r>
              <w:rPr>
                <w:bCs/>
                <w:i/>
                <w:sz w:val="18"/>
                <w:szCs w:val="18"/>
              </w:rPr>
              <w:t>-Ext</w:t>
            </w:r>
            <w:r>
              <w:rPr>
                <w:rFonts w:hint="eastAsia" w:eastAsiaTheme="minorEastAsia"/>
                <w:bCs/>
                <w:i/>
                <w:sz w:val="18"/>
                <w:szCs w:val="18"/>
              </w:rPr>
              <w:t>-r1</w:t>
            </w:r>
            <w:r>
              <w:rPr>
                <w:rFonts w:eastAsiaTheme="minorEastAsia"/>
                <w:bCs/>
                <w:i/>
                <w:sz w:val="18"/>
                <w:szCs w:val="18"/>
              </w:rPr>
              <w:t xml:space="preserve">9, </w:t>
            </w:r>
            <w:r>
              <w:rPr>
                <w:rFonts w:hint="eastAsia" w:eastAsiaTheme="minorEastAsia"/>
                <w:bCs/>
                <w:i/>
                <w:sz w:val="18"/>
                <w:szCs w:val="18"/>
              </w:rPr>
              <w:t>harq-ProcessNumberSizeDCI-</w:t>
            </w:r>
            <w:r>
              <w:rPr>
                <w:rFonts w:eastAsiaTheme="minorEastAsia"/>
                <w:bCs/>
                <w:i/>
                <w:sz w:val="18"/>
                <w:szCs w:val="18"/>
              </w:rPr>
              <w:t>1</w:t>
            </w:r>
            <w:r>
              <w:rPr>
                <w:rFonts w:hint="eastAsia" w:eastAsiaTheme="minorEastAsia"/>
                <w:bCs/>
                <w:i/>
                <w:sz w:val="18"/>
                <w:szCs w:val="18"/>
              </w:rPr>
              <w:t>-</w:t>
            </w:r>
            <w:r>
              <w:rPr>
                <w:rFonts w:hint="eastAsia" w:eastAsiaTheme="minorEastAsia"/>
                <w:bCs/>
                <w:i/>
                <w:sz w:val="18"/>
                <w:szCs w:val="18"/>
                <w:lang w:val="en-US" w:eastAsia="zh-CN"/>
              </w:rPr>
              <w:t>1</w:t>
            </w:r>
            <w:r>
              <w:rPr>
                <w:bCs/>
                <w:i/>
                <w:sz w:val="18"/>
                <w:szCs w:val="18"/>
              </w:rPr>
              <w:t>-Ext</w:t>
            </w:r>
            <w:r>
              <w:rPr>
                <w:rFonts w:hint="eastAsia" w:eastAsiaTheme="minorEastAsia"/>
                <w:bCs/>
                <w:i/>
                <w:sz w:val="18"/>
                <w:szCs w:val="18"/>
              </w:rPr>
              <w:t>-r1</w:t>
            </w:r>
            <w:r>
              <w:rPr>
                <w:rFonts w:eastAsiaTheme="minorEastAsia"/>
                <w:bCs/>
                <w:i/>
                <w:sz w:val="18"/>
                <w:szCs w:val="18"/>
              </w:rPr>
              <w:t xml:space="preserve">9, </w:t>
            </w:r>
            <w:r>
              <w:rPr>
                <w:rFonts w:hint="eastAsia" w:eastAsiaTheme="minorEastAsia"/>
                <w:bCs/>
                <w:i/>
                <w:sz w:val="18"/>
                <w:szCs w:val="18"/>
              </w:rPr>
              <w:t>harq-ProcessNumberSizeDCI-0-</w:t>
            </w:r>
            <w:r>
              <w:rPr>
                <w:rFonts w:hint="eastAsia" w:eastAsiaTheme="minorEastAsia"/>
                <w:bCs/>
                <w:i/>
                <w:sz w:val="18"/>
                <w:szCs w:val="18"/>
                <w:lang w:val="en-US" w:eastAsia="zh-CN"/>
              </w:rPr>
              <w:t>2</w:t>
            </w:r>
            <w:r>
              <w:rPr>
                <w:bCs/>
                <w:i/>
                <w:sz w:val="18"/>
                <w:szCs w:val="18"/>
              </w:rPr>
              <w:t>-Ext</w:t>
            </w:r>
            <w:r>
              <w:rPr>
                <w:rFonts w:hint="eastAsia" w:eastAsiaTheme="minorEastAsia"/>
                <w:bCs/>
                <w:i/>
                <w:sz w:val="18"/>
                <w:szCs w:val="18"/>
              </w:rPr>
              <w:t>-r1</w:t>
            </w:r>
            <w:r>
              <w:rPr>
                <w:rFonts w:eastAsiaTheme="minorEastAsia"/>
                <w:bCs/>
                <w:i/>
                <w:sz w:val="18"/>
                <w:szCs w:val="18"/>
              </w:rPr>
              <w:t xml:space="preserve">9, </w:t>
            </w:r>
            <w:r>
              <w:rPr>
                <w:rFonts w:hint="eastAsia" w:eastAsiaTheme="minorEastAsia"/>
                <w:bCs/>
                <w:i/>
                <w:sz w:val="18"/>
                <w:szCs w:val="18"/>
              </w:rPr>
              <w:t>harq-ProcessNumberSizeDCI-</w:t>
            </w:r>
            <w:r>
              <w:rPr>
                <w:rFonts w:hint="eastAsia" w:eastAsiaTheme="minorEastAsia"/>
                <w:bCs/>
                <w:i/>
                <w:sz w:val="18"/>
                <w:szCs w:val="18"/>
                <w:lang w:val="en-US" w:eastAsia="zh-CN"/>
              </w:rPr>
              <w:t>1</w:t>
            </w:r>
            <w:r>
              <w:rPr>
                <w:rFonts w:hint="eastAsia" w:eastAsiaTheme="minorEastAsia"/>
                <w:bCs/>
                <w:i/>
                <w:sz w:val="18"/>
                <w:szCs w:val="18"/>
              </w:rPr>
              <w:t>-</w:t>
            </w:r>
            <w:r>
              <w:rPr>
                <w:rFonts w:eastAsiaTheme="minorEastAsia"/>
                <w:bCs/>
                <w:i/>
                <w:sz w:val="18"/>
                <w:szCs w:val="18"/>
              </w:rPr>
              <w:t>2</w:t>
            </w:r>
            <w:r>
              <w:rPr>
                <w:bCs/>
                <w:i/>
                <w:sz w:val="18"/>
                <w:szCs w:val="18"/>
              </w:rPr>
              <w:t>-Ext</w:t>
            </w:r>
            <w:r>
              <w:rPr>
                <w:rFonts w:hint="eastAsia" w:eastAsiaTheme="minorEastAsia"/>
                <w:bCs/>
                <w:i/>
                <w:sz w:val="18"/>
                <w:szCs w:val="18"/>
              </w:rPr>
              <w:t>-r1</w:t>
            </w:r>
            <w:r>
              <w:rPr>
                <w:rFonts w:eastAsiaTheme="minorEastAsia"/>
                <w:bCs/>
                <w:i/>
                <w:sz w:val="18"/>
                <w:szCs w:val="18"/>
              </w:rPr>
              <w:t xml:space="preserve">9. </w:t>
            </w:r>
          </w:p>
        </w:tc>
      </w:tr>
    </w:tbl>
    <w:p w14:paraId="467E3B2A">
      <w:pPr>
        <w:rPr>
          <w:b/>
        </w:rPr>
      </w:pPr>
    </w:p>
    <w:p w14:paraId="28AF842C">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14:paraId="74D1CCD0">
      <w:pPr>
        <w:rPr>
          <w:rFonts w:ascii="Arial" w:hAnsi="Arial" w:eastAsia="MS Mincho"/>
          <w:sz w:val="32"/>
          <w:szCs w:val="32"/>
        </w:rPr>
      </w:pPr>
    </w:p>
    <w:p w14:paraId="238501C7">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w:t>
      </w:r>
    </w:p>
    <w:p w14:paraId="5262A0C7">
      <w:pPr>
        <w:pStyle w:val="108"/>
        <w:numPr>
          <w:ilvl w:val="0"/>
          <w:numId w:val="20"/>
        </w:numPr>
        <w:ind w:leftChars="0"/>
        <w:jc w:val="both"/>
        <w:rPr>
          <w:b/>
          <w:szCs w:val="24"/>
        </w:rPr>
      </w:pPr>
      <w:r>
        <w:rPr>
          <w:rFonts w:eastAsia="MS Mincho" w:cs="Batang"/>
          <w:b/>
          <w:bCs/>
          <w:szCs w:val="24"/>
        </w:rPr>
        <w:t>Support a maximum of 32 HARQ process numbers for TN in FR1 and FR2-1 in Rel-19.</w:t>
      </w:r>
    </w:p>
    <w:p w14:paraId="1BACBC35">
      <w:pPr>
        <w:pStyle w:val="108"/>
        <w:numPr>
          <w:ilvl w:val="1"/>
          <w:numId w:val="20"/>
        </w:numPr>
        <w:ind w:leftChars="0"/>
        <w:jc w:val="both"/>
        <w:rPr>
          <w:b/>
          <w:szCs w:val="24"/>
        </w:rPr>
      </w:pPr>
      <w:r>
        <w:rPr>
          <w:b/>
          <w:szCs w:val="24"/>
        </w:rPr>
        <w:t>Introduce new UE capabilities, by duplicating the Rel-17 UE FGs 24-8/24-8b/24-9/24-9b defined for FR2-2 to FR1 and FR2-1.</w:t>
      </w:r>
    </w:p>
    <w:p w14:paraId="5D19E709">
      <w:pPr>
        <w:pStyle w:val="108"/>
        <w:numPr>
          <w:ilvl w:val="2"/>
          <w:numId w:val="20"/>
        </w:numPr>
        <w:ind w:leftChars="0"/>
        <w:jc w:val="both"/>
        <w:rPr>
          <w:b/>
          <w:szCs w:val="24"/>
        </w:rPr>
      </w:pPr>
      <w:r>
        <w:rPr>
          <w:b/>
          <w:szCs w:val="24"/>
        </w:rPr>
        <w:t xml:space="preserve">The reporting granularity of the UE capabilities is changed from ‘per BC’ to ‘per FSPC’. </w:t>
      </w:r>
    </w:p>
    <w:p w14:paraId="057E055B">
      <w:pPr>
        <w:pStyle w:val="108"/>
        <w:numPr>
          <w:ilvl w:val="1"/>
          <w:numId w:val="20"/>
        </w:numPr>
        <w:ind w:leftChars="0"/>
        <w:jc w:val="both"/>
        <w:rPr>
          <w:b/>
          <w:szCs w:val="24"/>
        </w:rPr>
      </w:pPr>
      <w:r>
        <w:rPr>
          <w:b/>
          <w:szCs w:val="24"/>
        </w:rPr>
        <w:t>Introduce new RRC parameters, harq-ProcessNumberSizeDCI-0-1-Ext-r19, harq-ProcessNumberSizeDCI-1-1-Ext-r19, harq-ProcessNumberSizeDCI-0-2-Ext-r19, harq-ProcessNumberSizeDCI-1-2-Ext-r19.</w:t>
      </w:r>
    </w:p>
    <w:p w14:paraId="0DDB2693">
      <w:pPr>
        <w:rPr>
          <w:b/>
          <w:sz w:val="22"/>
          <w:szCs w:val="22"/>
        </w:rPr>
      </w:pPr>
    </w:p>
    <w:p w14:paraId="422933AA">
      <w:pPr>
        <w:rPr>
          <w:rFonts w:eastAsia="MS Mincho" w:cs="Batang"/>
          <w:sz w:val="22"/>
          <w:szCs w:val="22"/>
        </w:rPr>
      </w:pPr>
      <w:r>
        <w:rPr>
          <w:rFonts w:hint="eastAsia" w:eastAsia="MS Mincho" w:cs="Batang"/>
          <w:sz w:val="22"/>
          <w:szCs w:val="22"/>
        </w:rPr>
        <w:t>T</w:t>
      </w:r>
      <w:r>
        <w:rPr>
          <w:rFonts w:eastAsia="MS Mincho" w:cs="Batang"/>
          <w:sz w:val="22"/>
          <w:szCs w:val="22"/>
        </w:rPr>
        <w:t>his proposal is already supported by ZTE Corporation, CMCC, China Telecom, Ericsson, Nokia, Nokia Shanghai Bell, CATT, Verizon, Sanechips, Huawei, HiSilicon, China Unicom.</w:t>
      </w:r>
    </w:p>
    <w:p w14:paraId="45B69392">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1035"/>
        <w:gridCol w:w="6901"/>
      </w:tblGrid>
      <w:tr w14:paraId="2BE9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shd w:val="clear" w:color="auto" w:fill="F1F1F1" w:themeFill="background1" w:themeFillShade="F2"/>
          </w:tcPr>
          <w:p w14:paraId="325454AA">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35" w:type="dxa"/>
            <w:shd w:val="clear" w:color="auto" w:fill="F1F1F1" w:themeFill="background1" w:themeFillShade="F2"/>
          </w:tcPr>
          <w:p w14:paraId="1796B1E4">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01" w:type="dxa"/>
            <w:shd w:val="clear" w:color="auto" w:fill="F1F1F1" w:themeFill="background1" w:themeFillShade="F2"/>
          </w:tcPr>
          <w:p w14:paraId="28408064">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14:paraId="314B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14:paraId="0C88D858">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H</w:t>
            </w:r>
            <w:r>
              <w:rPr>
                <w:rFonts w:eastAsiaTheme="minorEastAsia"/>
                <w:sz w:val="22"/>
                <w:lang w:val="en-US" w:eastAsia="zh-CN"/>
              </w:rPr>
              <w:t>uawei, HiSilicon</w:t>
            </w:r>
          </w:p>
        </w:tc>
        <w:tc>
          <w:tcPr>
            <w:tcW w:w="1035" w:type="dxa"/>
          </w:tcPr>
          <w:p w14:paraId="13014250">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Y</w:t>
            </w:r>
            <w:r>
              <w:rPr>
                <w:rFonts w:eastAsiaTheme="minorEastAsia"/>
                <w:sz w:val="22"/>
                <w:lang w:val="en-US" w:eastAsia="zh-CN"/>
              </w:rPr>
              <w:t>es</w:t>
            </w:r>
          </w:p>
        </w:tc>
        <w:tc>
          <w:tcPr>
            <w:tcW w:w="6901" w:type="dxa"/>
          </w:tcPr>
          <w:p w14:paraId="6B89876C">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support the proposal due to the following reasons:</w:t>
            </w:r>
          </w:p>
          <w:p w14:paraId="6BB6B3EE">
            <w:pPr>
              <w:overflowPunct w:val="0"/>
              <w:autoSpaceDE w:val="0"/>
              <w:autoSpaceDN w:val="0"/>
              <w:adjustRightInd w:val="0"/>
              <w:spacing w:after="120" w:afterLines="50"/>
              <w:jc w:val="both"/>
              <w:textAlignment w:val="baseline"/>
              <w:rPr>
                <w:rFonts w:eastAsia="宋体"/>
                <w:sz w:val="22"/>
                <w:szCs w:val="22"/>
              </w:rPr>
            </w:pPr>
            <w:r>
              <w:rPr>
                <w:rFonts w:eastAsia="宋体"/>
                <w:sz w:val="22"/>
                <w:szCs w:val="22"/>
              </w:rPr>
              <w:t xml:space="preserve">1. Increasing the number of HARQ processes can improve the DL throughput in the CA scenario where the PUCCH is transmitted with small SCS and PDSCH is transmitted with large SCS, e.g. 30 kHz (FR1)+120kHz(FR2-1)  or 15kHz(FR1)+60kHz(FR1). </w:t>
            </w:r>
          </w:p>
          <w:p w14:paraId="38B5BBC1">
            <w:pPr>
              <w:overflowPunct w:val="0"/>
              <w:autoSpaceDE w:val="0"/>
              <w:autoSpaceDN w:val="0"/>
              <w:adjustRightInd w:val="0"/>
              <w:spacing w:after="120" w:afterLines="50"/>
              <w:jc w:val="both"/>
              <w:textAlignment w:val="baseline"/>
              <w:rPr>
                <w:rFonts w:eastAsia="宋体"/>
                <w:sz w:val="22"/>
                <w:szCs w:val="22"/>
                <w:lang w:eastAsia="zh-CN"/>
              </w:rPr>
            </w:pPr>
            <w:r>
              <w:rPr>
                <w:rFonts w:eastAsia="宋体"/>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3888EA31">
            <w:pPr>
              <w:overflowPunct w:val="0"/>
              <w:autoSpaceDE w:val="0"/>
              <w:autoSpaceDN w:val="0"/>
              <w:adjustRightInd w:val="0"/>
              <w:spacing w:after="120" w:afterLines="50"/>
              <w:jc w:val="both"/>
              <w:textAlignment w:val="baseline"/>
              <w:rPr>
                <w:rFonts w:eastAsiaTheme="minorEastAsia"/>
                <w:sz w:val="22"/>
                <w:lang w:eastAsia="zh-CN"/>
              </w:rPr>
            </w:pPr>
            <w:r>
              <w:rPr>
                <w:rFonts w:eastAsiaTheme="minorEastAsia"/>
                <w:sz w:val="22"/>
                <w:lang w:eastAsia="zh-CN"/>
              </w:rPr>
              <w:t>3. As UE usually shares the baseband processing capability across different WIs. For example, for a UE supports 32 HARQ processes for NTN (likely be deployed in near future), the same processing capability can be easily reused in TN without significant change of implementation.</w:t>
            </w:r>
          </w:p>
          <w:p w14:paraId="5F6C1B22">
            <w:pPr>
              <w:overflowPunct w:val="0"/>
              <w:autoSpaceDE w:val="0"/>
              <w:autoSpaceDN w:val="0"/>
              <w:adjustRightInd w:val="0"/>
              <w:spacing w:after="120" w:afterLines="50"/>
              <w:jc w:val="both"/>
              <w:textAlignment w:val="baseline"/>
              <w:rPr>
                <w:rFonts w:eastAsia="宋体"/>
                <w:sz w:val="22"/>
                <w:szCs w:val="22"/>
                <w:lang w:eastAsia="zh-CN"/>
              </w:rPr>
            </w:pPr>
            <w:r>
              <w:rPr>
                <w:rFonts w:eastAsia="宋体"/>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7A431497">
            <w:pPr>
              <w:overflowPunct w:val="0"/>
              <w:autoSpaceDE w:val="0"/>
              <w:autoSpaceDN w:val="0"/>
              <w:adjustRightInd w:val="0"/>
              <w:spacing w:after="120" w:afterLines="50"/>
              <w:jc w:val="both"/>
              <w:textAlignment w:val="baseline"/>
              <w:rPr>
                <w:sz w:val="22"/>
                <w:lang w:val="en-US"/>
              </w:rPr>
            </w:pPr>
          </w:p>
        </w:tc>
      </w:tr>
      <w:tr w14:paraId="4F6AB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14:paraId="13F838B3">
            <w:pPr>
              <w:overflowPunct w:val="0"/>
              <w:autoSpaceDE w:val="0"/>
              <w:autoSpaceDN w:val="0"/>
              <w:adjustRightInd w:val="0"/>
              <w:spacing w:after="120" w:afterLines="50"/>
              <w:jc w:val="both"/>
              <w:textAlignment w:val="baseline"/>
              <w:rPr>
                <w:rFonts w:eastAsia="Malgun Gothic"/>
                <w:sz w:val="22"/>
                <w:lang w:eastAsia="ko-KR"/>
              </w:rPr>
            </w:pPr>
            <w:r>
              <w:rPr>
                <w:rFonts w:eastAsia="Malgun Gothic"/>
                <w:sz w:val="22"/>
                <w:lang w:eastAsia="ko-KR"/>
              </w:rPr>
              <w:t>QC</w:t>
            </w:r>
          </w:p>
        </w:tc>
        <w:tc>
          <w:tcPr>
            <w:tcW w:w="1035" w:type="dxa"/>
          </w:tcPr>
          <w:p w14:paraId="04E93B3C">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Yes</w:t>
            </w:r>
          </w:p>
        </w:tc>
        <w:tc>
          <w:tcPr>
            <w:tcW w:w="6901" w:type="dxa"/>
          </w:tcPr>
          <w:p w14:paraId="244A0D45">
            <w:pPr>
              <w:overflowPunct w:val="0"/>
              <w:autoSpaceDE w:val="0"/>
              <w:autoSpaceDN w:val="0"/>
              <w:adjustRightInd w:val="0"/>
              <w:spacing w:after="120" w:afterLines="50"/>
              <w:jc w:val="both"/>
              <w:textAlignment w:val="baseline"/>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14:paraId="6147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14:paraId="7D584EC3">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35" w:type="dxa"/>
          </w:tcPr>
          <w:p w14:paraId="622BB9F9">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901" w:type="dxa"/>
          </w:tcPr>
          <w:p w14:paraId="55B980BA">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don’t see the motivation of this proposal for non-CA UEs</w:t>
            </w:r>
          </w:p>
        </w:tc>
      </w:tr>
      <w:tr w14:paraId="3133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14:paraId="358B7607">
            <w:pPr>
              <w:overflowPunct w:val="0"/>
              <w:autoSpaceDE w:val="0"/>
              <w:autoSpaceDN w:val="0"/>
              <w:adjustRightInd w:val="0"/>
              <w:spacing w:after="120" w:afterLines="50"/>
              <w:jc w:val="both"/>
              <w:textAlignment w:val="baseline"/>
              <w:rPr>
                <w:sz w:val="22"/>
                <w:lang w:val="en-US"/>
              </w:rPr>
            </w:pPr>
            <w:r>
              <w:rPr>
                <w:rFonts w:hint="eastAsia"/>
                <w:sz w:val="22"/>
                <w:lang w:val="en-US"/>
              </w:rPr>
              <w:t>DCM</w:t>
            </w:r>
          </w:p>
        </w:tc>
        <w:tc>
          <w:tcPr>
            <w:tcW w:w="1035" w:type="dxa"/>
          </w:tcPr>
          <w:p w14:paraId="79175750">
            <w:pPr>
              <w:overflowPunct w:val="0"/>
              <w:autoSpaceDE w:val="0"/>
              <w:autoSpaceDN w:val="0"/>
              <w:adjustRightInd w:val="0"/>
              <w:spacing w:after="120" w:afterLines="50"/>
              <w:jc w:val="both"/>
              <w:textAlignment w:val="baseline"/>
              <w:rPr>
                <w:sz w:val="22"/>
                <w:lang w:val="en-US"/>
              </w:rPr>
            </w:pPr>
          </w:p>
        </w:tc>
        <w:tc>
          <w:tcPr>
            <w:tcW w:w="6901" w:type="dxa"/>
          </w:tcPr>
          <w:p w14:paraId="617BBA11">
            <w:pPr>
              <w:overflowPunct w:val="0"/>
              <w:autoSpaceDE w:val="0"/>
              <w:autoSpaceDN w:val="0"/>
              <w:adjustRightInd w:val="0"/>
              <w:spacing w:after="120" w:afterLines="50"/>
              <w:jc w:val="both"/>
              <w:textAlignment w:val="baseline"/>
              <w:rPr>
                <w:sz w:val="22"/>
                <w:lang w:val="en-US"/>
              </w:rPr>
            </w:pPr>
            <w:r>
              <w:rPr>
                <w:rFonts w:hint="eastAsia"/>
                <w:sz w:val="22"/>
                <w:lang w:val="en-US"/>
              </w:rPr>
              <w:t>At least we do not object to this proposal.</w:t>
            </w:r>
          </w:p>
        </w:tc>
      </w:tr>
      <w:tr w14:paraId="6902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14:paraId="3C6FE26A">
            <w:pPr>
              <w:overflowPunct w:val="0"/>
              <w:autoSpaceDE w:val="0"/>
              <w:autoSpaceDN w:val="0"/>
              <w:adjustRightInd w:val="0"/>
              <w:spacing w:after="120" w:afterLines="50"/>
              <w:jc w:val="both"/>
              <w:textAlignment w:val="baseline"/>
              <w:rPr>
                <w:sz w:val="22"/>
                <w:lang w:val="en-US"/>
              </w:rPr>
            </w:pPr>
            <w:r>
              <w:rPr>
                <w:sz w:val="22"/>
                <w:lang w:val="en-US"/>
              </w:rPr>
              <w:t>MediaTek</w:t>
            </w:r>
          </w:p>
        </w:tc>
        <w:tc>
          <w:tcPr>
            <w:tcW w:w="1035" w:type="dxa"/>
          </w:tcPr>
          <w:p w14:paraId="393F478E">
            <w:pPr>
              <w:overflowPunct w:val="0"/>
              <w:autoSpaceDE w:val="0"/>
              <w:autoSpaceDN w:val="0"/>
              <w:adjustRightInd w:val="0"/>
              <w:spacing w:after="120" w:afterLines="50"/>
              <w:jc w:val="both"/>
              <w:textAlignment w:val="baseline"/>
              <w:rPr>
                <w:sz w:val="22"/>
                <w:lang w:val="en-US"/>
              </w:rPr>
            </w:pPr>
            <w:r>
              <w:rPr>
                <w:sz w:val="22"/>
                <w:lang w:val="en-US"/>
              </w:rPr>
              <w:t>See comment</w:t>
            </w:r>
          </w:p>
        </w:tc>
        <w:tc>
          <w:tcPr>
            <w:tcW w:w="6901" w:type="dxa"/>
          </w:tcPr>
          <w:p w14:paraId="2A49ED48">
            <w:pPr>
              <w:overflowPunct w:val="0"/>
              <w:autoSpaceDE w:val="0"/>
              <w:autoSpaceDN w:val="0"/>
              <w:adjustRightInd w:val="0"/>
              <w:spacing w:after="120" w:afterLines="50"/>
              <w:jc w:val="both"/>
              <w:textAlignment w:val="baseline"/>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07CE2B81">
            <w:pPr>
              <w:overflowPunct w:val="0"/>
              <w:autoSpaceDE w:val="0"/>
              <w:autoSpaceDN w:val="0"/>
              <w:adjustRightInd w:val="0"/>
              <w:spacing w:after="120" w:afterLines="50"/>
              <w:jc w:val="both"/>
              <w:textAlignment w:val="baseline"/>
              <w:rPr>
                <w:sz w:val="22"/>
                <w:lang w:val="en-US"/>
              </w:rPr>
            </w:pPr>
            <w:r>
              <w:rPr>
                <w:sz w:val="22"/>
                <w:lang w:val="en-US"/>
              </w:rPr>
              <w:t>Spec support for 32 HARQ processes in FR1 bands is not justified so should not be included in this proposal in our view.</w:t>
            </w:r>
          </w:p>
        </w:tc>
      </w:tr>
      <w:tr w14:paraId="0EB7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14:paraId="29267744">
            <w:pPr>
              <w:overflowPunct w:val="0"/>
              <w:autoSpaceDE w:val="0"/>
              <w:autoSpaceDN w:val="0"/>
              <w:adjustRightInd w:val="0"/>
              <w:spacing w:after="120" w:afterLines="50"/>
              <w:jc w:val="both"/>
              <w:textAlignment w:val="baseline"/>
              <w:rPr>
                <w:sz w:val="22"/>
                <w:lang w:val="en-US"/>
              </w:rPr>
            </w:pPr>
            <w:r>
              <w:rPr>
                <w:rFonts w:hint="eastAsia" w:eastAsia="Malgun Gothic"/>
                <w:sz w:val="22"/>
                <w:lang w:eastAsia="ko-KR"/>
              </w:rPr>
              <w:t>S</w:t>
            </w:r>
            <w:r>
              <w:rPr>
                <w:rFonts w:eastAsia="Malgun Gothic"/>
                <w:sz w:val="22"/>
                <w:lang w:eastAsia="ko-KR"/>
              </w:rPr>
              <w:t>amsung</w:t>
            </w:r>
          </w:p>
        </w:tc>
        <w:tc>
          <w:tcPr>
            <w:tcW w:w="1035" w:type="dxa"/>
          </w:tcPr>
          <w:p w14:paraId="04690C79">
            <w:pPr>
              <w:overflowPunct w:val="0"/>
              <w:autoSpaceDE w:val="0"/>
              <w:autoSpaceDN w:val="0"/>
              <w:adjustRightInd w:val="0"/>
              <w:spacing w:after="120" w:afterLines="50"/>
              <w:jc w:val="both"/>
              <w:textAlignment w:val="baseline"/>
              <w:rPr>
                <w:sz w:val="22"/>
                <w:lang w:val="en-US"/>
              </w:rPr>
            </w:pPr>
          </w:p>
        </w:tc>
        <w:tc>
          <w:tcPr>
            <w:tcW w:w="6901" w:type="dxa"/>
          </w:tcPr>
          <w:p w14:paraId="7FF0FDA3">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Malgun Gothic"/>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14:paraId="19809800">
            <w:pPr>
              <w:pStyle w:val="108"/>
              <w:numPr>
                <w:ilvl w:val="1"/>
                <w:numId w:val="20"/>
              </w:numPr>
              <w:overflowPunct w:val="0"/>
              <w:autoSpaceDE w:val="0"/>
              <w:autoSpaceDN w:val="0"/>
              <w:adjustRightInd w:val="0"/>
              <w:spacing w:after="180"/>
              <w:ind w:leftChars="0"/>
              <w:jc w:val="both"/>
              <w:textAlignment w:val="baseline"/>
              <w:rPr>
                <w:b/>
                <w:szCs w:val="24"/>
              </w:rPr>
            </w:pPr>
            <w:r>
              <w:rPr>
                <w:b/>
                <w:szCs w:val="24"/>
              </w:rPr>
              <w:t>Introduce new UE capabilities, by duplicating the Rel-17 UE FGs 24-8/24-8b/24-9/24-9b defined for FR2-2 to FR1 and FR2-1.</w:t>
            </w:r>
          </w:p>
          <w:p w14:paraId="03BB6F2D">
            <w:pPr>
              <w:pStyle w:val="108"/>
              <w:numPr>
                <w:ilvl w:val="2"/>
                <w:numId w:val="20"/>
              </w:numPr>
              <w:overflowPunct w:val="0"/>
              <w:autoSpaceDE w:val="0"/>
              <w:autoSpaceDN w:val="0"/>
              <w:adjustRightInd w:val="0"/>
              <w:spacing w:after="180"/>
              <w:ind w:leftChars="0"/>
              <w:jc w:val="both"/>
              <w:textAlignment w:val="baseline"/>
              <w:rPr>
                <w:b/>
                <w:szCs w:val="24"/>
              </w:rPr>
            </w:pPr>
            <w:r>
              <w:rPr>
                <w:b/>
                <w:szCs w:val="24"/>
              </w:rPr>
              <w:t xml:space="preserve">The reporting granularity of the UE capabilities is changed from ‘per BC’ to ‘per FSPC’. </w:t>
            </w:r>
          </w:p>
          <w:p w14:paraId="29382B77">
            <w:pPr>
              <w:overflowPunct w:val="0"/>
              <w:autoSpaceDE w:val="0"/>
              <w:autoSpaceDN w:val="0"/>
              <w:adjustRightInd w:val="0"/>
              <w:spacing w:after="120" w:afterLines="50"/>
              <w:jc w:val="both"/>
              <w:textAlignment w:val="baseline"/>
              <w:rPr>
                <w:rFonts w:eastAsia="Malgun Gothic"/>
                <w:sz w:val="22"/>
                <w:lang w:eastAsia="ko-KR"/>
              </w:rPr>
            </w:pPr>
          </w:p>
          <w:p w14:paraId="03C39629">
            <w:pPr>
              <w:overflowPunct w:val="0"/>
              <w:autoSpaceDE w:val="0"/>
              <w:autoSpaceDN w:val="0"/>
              <w:adjustRightInd w:val="0"/>
              <w:spacing w:after="120" w:afterLines="50"/>
              <w:jc w:val="both"/>
              <w:textAlignment w:val="baseline"/>
              <w:rPr>
                <w:rFonts w:eastAsia="Malgun Gothic"/>
                <w:sz w:val="22"/>
                <w:lang w:eastAsia="ko-KR"/>
              </w:rPr>
            </w:pPr>
            <w:r>
              <w:rPr>
                <w:rFonts w:hint="eastAsia" w:eastAsia="Malgun Gothic"/>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367BCBF2">
            <w:pPr>
              <w:overflowPunct w:val="0"/>
              <w:autoSpaceDE w:val="0"/>
              <w:autoSpaceDN w:val="0"/>
              <w:adjustRightInd w:val="0"/>
              <w:spacing w:after="120" w:afterLines="50"/>
              <w:jc w:val="both"/>
              <w:textAlignment w:val="baseline"/>
              <w:rPr>
                <w:sz w:val="22"/>
                <w:lang w:val="en-US"/>
              </w:rPr>
            </w:pPr>
            <w:r>
              <w:rPr>
                <w:rFonts w:hint="eastAsia" w:eastAsia="Malgun Gothic"/>
                <w:sz w:val="22"/>
                <w:lang w:eastAsia="ko-KR"/>
              </w:rPr>
              <w:t>-</w:t>
            </w:r>
            <w:r>
              <w:rPr>
                <w:rFonts w:eastAsia="Malgun Gothic"/>
                <w:sz w:val="22"/>
                <w:lang w:eastAsia="ko-KR"/>
              </w:rPr>
              <w:t xml:space="preserve"> A specific scenario in FR1 where16 HARQ processes are not sufficient needs to be identified - the Tdoc does not have the relevant motivation. </w:t>
            </w:r>
          </w:p>
        </w:tc>
      </w:tr>
      <w:tr w14:paraId="21F0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14:paraId="53233C25">
            <w:pPr>
              <w:overflowPunct w:val="0"/>
              <w:autoSpaceDE w:val="0"/>
              <w:autoSpaceDN w:val="0"/>
              <w:adjustRightInd w:val="0"/>
              <w:spacing w:after="120" w:afterLines="50"/>
              <w:jc w:val="both"/>
              <w:textAlignment w:val="baseline"/>
              <w:rPr>
                <w:rFonts w:eastAsia="Malgun Gothic"/>
                <w:sz w:val="22"/>
                <w:lang w:eastAsia="ko-KR"/>
              </w:rPr>
            </w:pPr>
            <w:r>
              <w:rPr>
                <w:rFonts w:eastAsiaTheme="minorEastAsia"/>
                <w:sz w:val="22"/>
                <w:lang w:val="en-US" w:eastAsia="zh-CN"/>
              </w:rPr>
              <w:t>Ericsson</w:t>
            </w:r>
          </w:p>
        </w:tc>
        <w:tc>
          <w:tcPr>
            <w:tcW w:w="1035" w:type="dxa"/>
          </w:tcPr>
          <w:p w14:paraId="5085E686">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Yes</w:t>
            </w:r>
          </w:p>
        </w:tc>
        <w:tc>
          <w:tcPr>
            <w:tcW w:w="6901" w:type="dxa"/>
          </w:tcPr>
          <w:p w14:paraId="46EEDDFC">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We support this proposal.</w:t>
            </w:r>
          </w:p>
        </w:tc>
      </w:tr>
      <w:tr w14:paraId="57C0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14:paraId="498E681D">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Nokia</w:t>
            </w:r>
          </w:p>
        </w:tc>
        <w:tc>
          <w:tcPr>
            <w:tcW w:w="1035" w:type="dxa"/>
          </w:tcPr>
          <w:p w14:paraId="053812D3">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Yes</w:t>
            </w:r>
          </w:p>
        </w:tc>
        <w:tc>
          <w:tcPr>
            <w:tcW w:w="6901" w:type="dxa"/>
          </w:tcPr>
          <w:p w14:paraId="524FE907">
            <w:pPr>
              <w:overflowPunct w:val="0"/>
              <w:autoSpaceDE w:val="0"/>
              <w:autoSpaceDN w:val="0"/>
              <w:adjustRightInd w:val="0"/>
              <w:spacing w:after="120" w:afterLines="50"/>
              <w:jc w:val="both"/>
              <w:textAlignment w:val="baseline"/>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bl>
    <w:p w14:paraId="428F5102">
      <w:pPr>
        <w:rPr>
          <w:b/>
          <w:lang w:val="en-US"/>
        </w:rPr>
      </w:pPr>
    </w:p>
    <w:p w14:paraId="6D042817">
      <w:pPr>
        <w:rPr>
          <w:b/>
          <w:lang w:val="en-US"/>
        </w:rPr>
      </w:pPr>
    </w:p>
    <w:p w14:paraId="58B5D5E4">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UE frequency hopping enhancement for positioning</w:t>
      </w:r>
    </w:p>
    <w:p w14:paraId="2870DA80">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9424"/>
      </w:tblGrid>
      <w:tr w14:paraId="21AAD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5EAC7C45">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w:t>
            </w:r>
            <w:r>
              <w:rPr>
                <w:rFonts w:ascii="Arial" w:hAnsi="Arial" w:eastAsia="MS Mincho"/>
                <w:sz w:val="22"/>
                <w:szCs w:val="22"/>
                <w:lang w:val="en-US"/>
              </w:rPr>
              <w:t>1]</w:t>
            </w:r>
          </w:p>
        </w:tc>
        <w:tc>
          <w:tcPr>
            <w:tcW w:w="9066" w:type="dxa"/>
          </w:tcPr>
          <w:p w14:paraId="32BB4AE9">
            <w:pPr>
              <w:overflowPunct w:val="0"/>
              <w:autoSpaceDE w:val="0"/>
              <w:autoSpaceDN w:val="0"/>
              <w:adjustRightInd w:val="0"/>
              <w:spacing w:before="120" w:beforeLines="50" w:after="120" w:afterLines="50"/>
              <w:textAlignment w:val="baseline"/>
              <w:rPr>
                <w:iCs/>
                <w:sz w:val="18"/>
                <w:szCs w:val="18"/>
              </w:rPr>
            </w:pPr>
            <w:r>
              <w:rPr>
                <w:rFonts w:hint="eastAsia"/>
                <w:iCs/>
                <w:sz w:val="18"/>
                <w:szCs w:val="18"/>
              </w:rPr>
              <w:t>I</w:t>
            </w:r>
            <w:r>
              <w:rPr>
                <w:iCs/>
                <w:sz w:val="18"/>
                <w:szCs w:val="18"/>
              </w:rPr>
              <w:t>n Rel-18, for positioning enhancements for RedCap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non-RedCap UEs with limited UL SRS transmitting bandwidth capability or limited DL PRS processing bandwidth capability (e.g., 50MHz). The maximum bandwidth for a single hop can be extended to be larger than 20MHz for FR1 and larger than 100MHz for FR2 to support non-RedCap UE frequency hopping.</w:t>
            </w:r>
          </w:p>
          <w:p w14:paraId="360F2003">
            <w:pPr>
              <w:overflowPunct w:val="0"/>
              <w:autoSpaceDE w:val="0"/>
              <w:autoSpaceDN w:val="0"/>
              <w:adjustRightInd w:val="0"/>
              <w:spacing w:before="120" w:beforeLines="50" w:after="120" w:afterLines="50"/>
              <w:textAlignment w:val="baseline"/>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3A74AF4E">
            <w:pPr>
              <w:overflowPunct w:val="0"/>
              <w:autoSpaceDE w:val="0"/>
              <w:autoSpaceDN w:val="0"/>
              <w:adjustRightInd w:val="0"/>
              <w:spacing w:before="120" w:beforeLines="50" w:after="120" w:afterLines="50"/>
              <w:textAlignment w:val="baseline"/>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In order to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4FB2873C">
            <w:pPr>
              <w:overflowPunct w:val="0"/>
              <w:autoSpaceDE w:val="0"/>
              <w:autoSpaceDN w:val="0"/>
              <w:adjustRightInd w:val="0"/>
              <w:spacing w:before="120" w:beforeLines="50" w:after="120" w:afterLines="50"/>
              <w:textAlignment w:val="baseline"/>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7C4FC22C">
            <w:pPr>
              <w:overflowPunct w:val="0"/>
              <w:autoSpaceDE w:val="0"/>
              <w:autoSpaceDN w:val="0"/>
              <w:adjustRightInd w:val="0"/>
              <w:spacing w:before="120" w:beforeLines="50" w:after="120" w:afterLines="50"/>
              <w:textAlignment w:val="baseline"/>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3B7513ED">
            <w:pPr>
              <w:overflowPunct w:val="0"/>
              <w:autoSpaceDE w:val="0"/>
              <w:autoSpaceDN w:val="0"/>
              <w:adjustRightInd w:val="0"/>
              <w:spacing w:before="120" w:beforeLines="50" w:after="120" w:afterLines="50"/>
              <w:textAlignment w:val="baseline"/>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56C1EDA9">
            <w:pPr>
              <w:overflowPunct w:val="0"/>
              <w:autoSpaceDE w:val="0"/>
              <w:autoSpaceDN w:val="0"/>
              <w:adjustRightInd w:val="0"/>
              <w:spacing w:before="120" w:beforeLines="50" w:after="120" w:afterLines="50"/>
              <w:textAlignment w:val="baseline"/>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0950787E">
            <w:pPr>
              <w:overflowPunct w:val="0"/>
              <w:autoSpaceDE w:val="0"/>
              <w:autoSpaceDN w:val="0"/>
              <w:adjustRightInd w:val="0"/>
              <w:spacing w:before="120" w:beforeLines="50" w:after="120" w:afterLines="50"/>
              <w:textAlignment w:val="baseline"/>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non-RedCap UEs</w:t>
            </w:r>
          </w:p>
          <w:p w14:paraId="4FF99DB9">
            <w:pPr>
              <w:pStyle w:val="108"/>
              <w:numPr>
                <w:ilvl w:val="0"/>
                <w:numId w:val="21"/>
              </w:numPr>
              <w:overflowPunct w:val="0"/>
              <w:autoSpaceDE w:val="0"/>
              <w:autoSpaceDN w:val="0"/>
              <w:adjustRightInd w:val="0"/>
              <w:snapToGrid w:val="0"/>
              <w:spacing w:before="120" w:beforeLines="50" w:after="120" w:afterLines="50"/>
              <w:ind w:leftChars="0"/>
              <w:contextualSpacing/>
              <w:jc w:val="both"/>
              <w:textAlignment w:val="baseline"/>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Style w:val="55"/>
              <w:tblpPr w:leftFromText="180" w:rightFromText="180" w:vertAnchor="text" w:tblpXSpec="center" w:tblpY="1"/>
              <w:tblOverlap w:val="never"/>
              <w:tblW w:w="94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
              <w:gridCol w:w="1499"/>
              <w:gridCol w:w="1298"/>
              <w:gridCol w:w="488"/>
              <w:gridCol w:w="449"/>
              <w:gridCol w:w="399"/>
              <w:gridCol w:w="1499"/>
              <w:gridCol w:w="507"/>
              <w:gridCol w:w="399"/>
              <w:gridCol w:w="399"/>
              <w:gridCol w:w="399"/>
              <w:gridCol w:w="1446"/>
            </w:tblGrid>
            <w:tr w14:paraId="2825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80" w:type="dxa"/>
                  <w:tcBorders>
                    <w:top w:val="single" w:color="auto" w:sz="4" w:space="0"/>
                    <w:left w:val="single" w:color="auto" w:sz="4" w:space="0"/>
                    <w:bottom w:val="single" w:color="auto" w:sz="4" w:space="0"/>
                    <w:right w:val="single" w:color="auto" w:sz="4" w:space="0"/>
                  </w:tcBorders>
                </w:tcPr>
                <w:p w14:paraId="053BFB5B">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color="auto" w:sz="4" w:space="0"/>
                    <w:left w:val="nil"/>
                    <w:bottom w:val="single" w:color="auto" w:sz="4" w:space="0"/>
                    <w:right w:val="single" w:color="auto" w:sz="4" w:space="0"/>
                  </w:tcBorders>
                </w:tcPr>
                <w:p w14:paraId="50D740B4">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for RedCap UEs</w:t>
                  </w:r>
                </w:p>
              </w:tc>
              <w:tc>
                <w:tcPr>
                  <w:tcW w:w="1665" w:type="dxa"/>
                  <w:tcBorders>
                    <w:top w:val="single" w:color="auto" w:sz="4" w:space="0"/>
                    <w:left w:val="nil"/>
                    <w:bottom w:val="single" w:color="auto" w:sz="4" w:space="0"/>
                    <w:right w:val="single" w:color="auto" w:sz="4" w:space="0"/>
                  </w:tcBorders>
                </w:tcPr>
                <w:p w14:paraId="1A5271D5">
                  <w:pPr>
                    <w:rPr>
                      <w:color w:val="000000"/>
                      <w:sz w:val="18"/>
                      <w:szCs w:val="18"/>
                    </w:rPr>
                  </w:pPr>
                  <w:r>
                    <w:rPr>
                      <w:color w:val="000000"/>
                      <w:sz w:val="18"/>
                      <w:szCs w:val="18"/>
                    </w:rPr>
                    <w:t>1. Maximum DL PRS bandwidth across all hops</w:t>
                  </w:r>
                </w:p>
                <w:p w14:paraId="5C5E0CC2">
                  <w:pPr>
                    <w:rPr>
                      <w:color w:val="000000"/>
                      <w:sz w:val="18"/>
                      <w:szCs w:val="18"/>
                    </w:rPr>
                  </w:pPr>
                  <w:r>
                    <w:rPr>
                      <w:color w:val="000000"/>
                      <w:sz w:val="18"/>
                      <w:szCs w:val="18"/>
                    </w:rPr>
                    <w:t>3. Maximum number of hops</w:t>
                  </w:r>
                </w:p>
                <w:p w14:paraId="04CDDBDB">
                  <w:pPr>
                    <w:rPr>
                      <w:color w:val="000000"/>
                      <w:sz w:val="18"/>
                      <w:szCs w:val="18"/>
                    </w:rPr>
                  </w:pPr>
                  <w:r>
                    <w:rPr>
                      <w:color w:val="000000"/>
                      <w:sz w:val="18"/>
                      <w:szCs w:val="18"/>
                    </w:rPr>
                    <w:t>4. Duration of DL PRS symbols N3 in units of ms a UE can process every T3 ms</w:t>
                  </w:r>
                </w:p>
                <w:p w14:paraId="44524636">
                  <w:pPr>
                    <w:rPr>
                      <w:color w:val="000000"/>
                      <w:sz w:val="18"/>
                      <w:szCs w:val="18"/>
                    </w:rPr>
                  </w:pPr>
                  <w:r>
                    <w:rPr>
                      <w:color w:val="000000"/>
                      <w:sz w:val="18"/>
                      <w:szCs w:val="18"/>
                    </w:rPr>
                    <w:t>5. RF Rx retune times between consecutive hops</w:t>
                  </w:r>
                </w:p>
                <w:p w14:paraId="0FB26791">
                  <w:pPr>
                    <w:rPr>
                      <w:color w:val="000000"/>
                      <w:sz w:val="18"/>
                      <w:szCs w:val="18"/>
                    </w:rPr>
                  </w:pPr>
                  <w:r>
                    <w:rPr>
                      <w:color w:val="000000"/>
                      <w:sz w:val="18"/>
                      <w:szCs w:val="18"/>
                    </w:rPr>
                    <w:t>6. Overlapping PRB(s) between adjacent hops</w:t>
                  </w:r>
                </w:p>
              </w:tc>
              <w:tc>
                <w:tcPr>
                  <w:tcW w:w="601" w:type="dxa"/>
                  <w:tcBorders>
                    <w:top w:val="single" w:color="auto" w:sz="4" w:space="0"/>
                    <w:left w:val="nil"/>
                    <w:bottom w:val="single" w:color="auto" w:sz="4" w:space="0"/>
                    <w:right w:val="single" w:color="auto" w:sz="4" w:space="0"/>
                  </w:tcBorders>
                </w:tcPr>
                <w:p w14:paraId="5A518077">
                  <w:pPr>
                    <w:adjustRightInd w:val="0"/>
                    <w:rPr>
                      <w:rFonts w:eastAsia="MS Mincho"/>
                      <w:color w:val="000000"/>
                      <w:sz w:val="18"/>
                      <w:szCs w:val="18"/>
                    </w:rPr>
                  </w:pPr>
                  <w:r>
                    <w:rPr>
                      <w:rFonts w:eastAsia="等线"/>
                      <w:color w:val="000000"/>
                      <w:sz w:val="18"/>
                      <w:szCs w:val="18"/>
                    </w:rPr>
                    <w:t>13-1</w:t>
                  </w:r>
                  <w:r>
                    <w:rPr>
                      <w:rFonts w:eastAsia="等线"/>
                      <w:strike/>
                      <w:color w:val="C00000"/>
                      <w:sz w:val="18"/>
                      <w:szCs w:val="18"/>
                    </w:rPr>
                    <w:t>, one of {28-1, 48-1}</w:t>
                  </w:r>
                </w:p>
              </w:tc>
              <w:tc>
                <w:tcPr>
                  <w:tcW w:w="508" w:type="dxa"/>
                  <w:tcBorders>
                    <w:top w:val="single" w:color="auto" w:sz="4" w:space="0"/>
                    <w:left w:val="nil"/>
                    <w:bottom w:val="single" w:color="auto" w:sz="4" w:space="0"/>
                    <w:right w:val="single" w:color="auto" w:sz="4" w:space="0"/>
                  </w:tcBorders>
                </w:tcPr>
                <w:p w14:paraId="5E2E6BA8">
                  <w:pPr>
                    <w:adjustRightInd w:val="0"/>
                    <w:rPr>
                      <w:color w:val="000000"/>
                      <w:sz w:val="18"/>
                      <w:szCs w:val="18"/>
                    </w:rPr>
                  </w:pPr>
                  <w:r>
                    <w:rPr>
                      <w:color w:val="000000"/>
                      <w:sz w:val="18"/>
                      <w:szCs w:val="18"/>
                    </w:rPr>
                    <w:t>Yes</w:t>
                  </w:r>
                </w:p>
              </w:tc>
              <w:tc>
                <w:tcPr>
                  <w:tcW w:w="301" w:type="dxa"/>
                  <w:tcBorders>
                    <w:top w:val="single" w:color="auto" w:sz="4" w:space="0"/>
                    <w:left w:val="nil"/>
                    <w:bottom w:val="single" w:color="auto" w:sz="4" w:space="0"/>
                    <w:right w:val="single" w:color="auto" w:sz="4" w:space="0"/>
                  </w:tcBorders>
                </w:tcPr>
                <w:p w14:paraId="383C1B89">
                  <w:pPr>
                    <w:adjustRightInd w:val="0"/>
                    <w:rPr>
                      <w:color w:val="000000"/>
                      <w:sz w:val="18"/>
                      <w:szCs w:val="18"/>
                    </w:rPr>
                  </w:pPr>
                  <w:r>
                    <w:rPr>
                      <w:color w:val="000000"/>
                      <w:sz w:val="18"/>
                      <w:szCs w:val="18"/>
                    </w:rPr>
                    <w:t>n/a</w:t>
                  </w:r>
                </w:p>
              </w:tc>
              <w:tc>
                <w:tcPr>
                  <w:tcW w:w="951" w:type="dxa"/>
                  <w:tcBorders>
                    <w:top w:val="single" w:color="auto" w:sz="4" w:space="0"/>
                    <w:left w:val="nil"/>
                    <w:bottom w:val="single" w:color="auto" w:sz="4" w:space="0"/>
                    <w:right w:val="single" w:color="auto" w:sz="4" w:space="0"/>
                  </w:tcBorders>
                </w:tcPr>
                <w:p w14:paraId="3FB50BE7">
                  <w:pPr>
                    <w:adjustRightInd w:val="0"/>
                    <w:rPr>
                      <w:color w:val="000000"/>
                      <w:sz w:val="18"/>
                      <w:szCs w:val="18"/>
                    </w:rPr>
                  </w:pPr>
                  <w:r>
                    <w:rPr>
                      <w:color w:val="000000"/>
                      <w:sz w:val="18"/>
                      <w:szCs w:val="18"/>
                    </w:rPr>
                    <w:t xml:space="preserve">PRS measurement with Rx frequency hopping within a MG and measurement report in RRC_CONNECTED </w:t>
                  </w:r>
                  <w:r>
                    <w:rPr>
                      <w:strike/>
                      <w:color w:val="C00000"/>
                      <w:sz w:val="18"/>
                      <w:szCs w:val="18"/>
                    </w:rPr>
                    <w:t xml:space="preserve"> for RedCap UEs</w:t>
                  </w:r>
                  <w:r>
                    <w:rPr>
                      <w:color w:val="000000"/>
                      <w:sz w:val="18"/>
                      <w:szCs w:val="18"/>
                    </w:rPr>
                    <w:t xml:space="preserve"> is not supported</w:t>
                  </w:r>
                </w:p>
              </w:tc>
              <w:tc>
                <w:tcPr>
                  <w:tcW w:w="486" w:type="dxa"/>
                  <w:tcBorders>
                    <w:top w:val="single" w:color="auto" w:sz="4" w:space="0"/>
                    <w:left w:val="nil"/>
                    <w:bottom w:val="single" w:color="auto" w:sz="4" w:space="0"/>
                    <w:right w:val="single" w:color="auto" w:sz="4" w:space="0"/>
                  </w:tcBorders>
                </w:tcPr>
                <w:p w14:paraId="34E0705D">
                  <w:pPr>
                    <w:adjustRightInd w:val="0"/>
                    <w:rPr>
                      <w:color w:val="000000"/>
                      <w:sz w:val="18"/>
                      <w:szCs w:val="18"/>
                    </w:rPr>
                  </w:pPr>
                  <w:r>
                    <w:rPr>
                      <w:color w:val="000000"/>
                      <w:sz w:val="18"/>
                      <w:szCs w:val="18"/>
                    </w:rPr>
                    <w:t>Per band</w:t>
                  </w:r>
                </w:p>
              </w:tc>
              <w:tc>
                <w:tcPr>
                  <w:tcW w:w="262" w:type="dxa"/>
                  <w:tcBorders>
                    <w:top w:val="single" w:color="auto" w:sz="4" w:space="0"/>
                    <w:left w:val="nil"/>
                    <w:bottom w:val="single" w:color="auto" w:sz="4" w:space="0"/>
                    <w:right w:val="single" w:color="auto" w:sz="4" w:space="0"/>
                  </w:tcBorders>
                </w:tcPr>
                <w:p w14:paraId="13FEAF08">
                  <w:pPr>
                    <w:adjustRightInd w:val="0"/>
                    <w:rPr>
                      <w:color w:val="000000"/>
                      <w:sz w:val="18"/>
                      <w:szCs w:val="18"/>
                    </w:rPr>
                  </w:pPr>
                  <w:r>
                    <w:rPr>
                      <w:color w:val="000000"/>
                      <w:sz w:val="18"/>
                      <w:szCs w:val="18"/>
                    </w:rPr>
                    <w:t>n/a</w:t>
                  </w:r>
                </w:p>
              </w:tc>
              <w:tc>
                <w:tcPr>
                  <w:tcW w:w="271" w:type="dxa"/>
                  <w:tcBorders>
                    <w:top w:val="single" w:color="auto" w:sz="4" w:space="0"/>
                    <w:left w:val="nil"/>
                    <w:bottom w:val="single" w:color="auto" w:sz="4" w:space="0"/>
                    <w:right w:val="single" w:color="auto" w:sz="4" w:space="0"/>
                  </w:tcBorders>
                </w:tcPr>
                <w:p w14:paraId="4CC9EC5A">
                  <w:pPr>
                    <w:adjustRightInd w:val="0"/>
                    <w:rPr>
                      <w:color w:val="000000"/>
                      <w:sz w:val="18"/>
                      <w:szCs w:val="18"/>
                    </w:rPr>
                  </w:pPr>
                  <w:r>
                    <w:rPr>
                      <w:color w:val="000000"/>
                      <w:sz w:val="18"/>
                      <w:szCs w:val="18"/>
                    </w:rPr>
                    <w:t>n/a</w:t>
                  </w:r>
                </w:p>
              </w:tc>
              <w:tc>
                <w:tcPr>
                  <w:tcW w:w="254" w:type="dxa"/>
                  <w:tcBorders>
                    <w:top w:val="single" w:color="auto" w:sz="4" w:space="0"/>
                    <w:left w:val="nil"/>
                    <w:bottom w:val="single" w:color="auto" w:sz="4" w:space="0"/>
                    <w:right w:val="single" w:color="auto" w:sz="4" w:space="0"/>
                  </w:tcBorders>
                </w:tcPr>
                <w:p w14:paraId="1BB9549D">
                  <w:pPr>
                    <w:adjustRightInd w:val="0"/>
                    <w:rPr>
                      <w:color w:val="000000"/>
                      <w:sz w:val="18"/>
                      <w:szCs w:val="18"/>
                    </w:rPr>
                  </w:pPr>
                  <w:r>
                    <w:rPr>
                      <w:color w:val="000000"/>
                      <w:sz w:val="18"/>
                      <w:szCs w:val="18"/>
                    </w:rPr>
                    <w:t>n/a</w:t>
                  </w:r>
                </w:p>
              </w:tc>
              <w:tc>
                <w:tcPr>
                  <w:tcW w:w="2465" w:type="dxa"/>
                  <w:tcBorders>
                    <w:top w:val="single" w:color="auto" w:sz="4" w:space="0"/>
                    <w:left w:val="nil"/>
                    <w:bottom w:val="single" w:color="auto" w:sz="4" w:space="0"/>
                    <w:right w:val="single" w:color="auto" w:sz="4" w:space="0"/>
                  </w:tcBorders>
                </w:tcPr>
                <w:p w14:paraId="7F9766A2">
                  <w:pPr>
                    <w:pStyle w:val="127"/>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49113354">
                  <w:pPr>
                    <w:pStyle w:val="127"/>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3AC8E631">
                  <w:pPr>
                    <w:pStyle w:val="127"/>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t>600, 800, 1000, 1200</w:t>
                  </w:r>
                  <w:r>
                    <w:rPr>
                      <w:rFonts w:ascii="Times New Roman" w:hAnsi="Times New Roman"/>
                      <w:color w:val="000000"/>
                      <w:szCs w:val="18"/>
                      <w:lang w:val="fr-FR"/>
                    </w:rPr>
                    <w:t>}</w:t>
                  </w:r>
                </w:p>
                <w:p w14:paraId="652C8D98">
                  <w:pPr>
                    <w:pStyle w:val="127"/>
                    <w:snapToGrid w:val="0"/>
                    <w:rPr>
                      <w:rFonts w:ascii="Times New Roman" w:hAnsi="Times New Roman"/>
                      <w:color w:val="000000"/>
                      <w:szCs w:val="18"/>
                      <w:lang w:val="fr-FR"/>
                    </w:rPr>
                  </w:pPr>
                </w:p>
                <w:p w14:paraId="092D747F">
                  <w:pPr>
                    <w:pStyle w:val="127"/>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26B99622">
                  <w:pPr>
                    <w:pStyle w:val="127"/>
                    <w:snapToGrid w:val="0"/>
                    <w:rPr>
                      <w:rFonts w:ascii="Times New Roman" w:hAnsi="Times New Roman"/>
                      <w:color w:val="000000"/>
                      <w:szCs w:val="18"/>
                      <w:lang w:val="fr-FR"/>
                    </w:rPr>
                  </w:pPr>
                </w:p>
                <w:p w14:paraId="6191045D">
                  <w:pPr>
                    <w:pStyle w:val="127"/>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2B284586">
                  <w:pPr>
                    <w:pStyle w:val="127"/>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14:paraId="234424F0">
                  <w:pPr>
                    <w:pStyle w:val="127"/>
                    <w:snapToGrid w:val="0"/>
                    <w:rPr>
                      <w:rFonts w:ascii="Times New Roman" w:hAnsi="Times New Roman"/>
                      <w:color w:val="000000"/>
                      <w:szCs w:val="18"/>
                    </w:rPr>
                  </w:pPr>
                  <w:r>
                    <w:rPr>
                      <w:rFonts w:ascii="Times New Roman" w:hAnsi="Times New Roman"/>
                      <w:color w:val="000000"/>
                      <w:szCs w:val="18"/>
                    </w:rPr>
                    <w:t>N3: {0.125, 0.25, 0.5, 1, 2, 4, 6, 8, 12, 16, 20, 25, 30, 32, 35, 40, 45, 50} ms</w:t>
                  </w:r>
                </w:p>
                <w:p w14:paraId="0B4730D8">
                  <w:pPr>
                    <w:pStyle w:val="127"/>
                    <w:snapToGrid w:val="0"/>
                    <w:rPr>
                      <w:rFonts w:ascii="Times New Roman" w:hAnsi="Times New Roman"/>
                      <w:color w:val="000000"/>
                      <w:szCs w:val="18"/>
                    </w:rPr>
                  </w:pPr>
                </w:p>
                <w:p w14:paraId="5D92EEA3">
                  <w:pPr>
                    <w:pStyle w:val="127"/>
                    <w:snapToGrid w:val="0"/>
                    <w:rPr>
                      <w:rFonts w:ascii="Times New Roman" w:hAnsi="Times New Roman"/>
                      <w:color w:val="000000"/>
                      <w:szCs w:val="18"/>
                    </w:rPr>
                  </w:pPr>
                  <w:r>
                    <w:rPr>
                      <w:rFonts w:ascii="Times New Roman" w:hAnsi="Times New Roman"/>
                      <w:color w:val="000000"/>
                      <w:szCs w:val="18"/>
                    </w:rPr>
                    <w:t>Component 5 candidate values:</w:t>
                  </w:r>
                </w:p>
                <w:p w14:paraId="5809EA35">
                  <w:pPr>
                    <w:pStyle w:val="127"/>
                    <w:snapToGrid w:val="0"/>
                    <w:rPr>
                      <w:rFonts w:ascii="Times New Roman" w:hAnsi="Times New Roman"/>
                      <w:color w:val="000000"/>
                      <w:szCs w:val="18"/>
                    </w:rPr>
                  </w:pPr>
                  <w:r>
                    <w:rPr>
                      <w:rFonts w:ascii="Times New Roman" w:hAnsi="Times New Roman"/>
                      <w:color w:val="000000"/>
                      <w:szCs w:val="18"/>
                    </w:rPr>
                    <w:t>FR1: {70us, 140us, 210us}</w:t>
                  </w:r>
                </w:p>
                <w:p w14:paraId="457D5554">
                  <w:pPr>
                    <w:pStyle w:val="127"/>
                    <w:snapToGrid w:val="0"/>
                    <w:rPr>
                      <w:rFonts w:ascii="Times New Roman" w:hAnsi="Times New Roman"/>
                      <w:color w:val="000000"/>
                      <w:szCs w:val="18"/>
                    </w:rPr>
                  </w:pPr>
                  <w:r>
                    <w:rPr>
                      <w:rFonts w:ascii="Times New Roman" w:hAnsi="Times New Roman"/>
                      <w:color w:val="000000"/>
                      <w:szCs w:val="18"/>
                    </w:rPr>
                    <w:t>FR2: {35us, 70us, 140us}</w:t>
                  </w:r>
                </w:p>
                <w:p w14:paraId="5FB788DA">
                  <w:pPr>
                    <w:pStyle w:val="127"/>
                    <w:snapToGrid w:val="0"/>
                    <w:rPr>
                      <w:rFonts w:ascii="Times New Roman" w:hAnsi="Times New Roman"/>
                      <w:color w:val="000000"/>
                      <w:szCs w:val="18"/>
                    </w:rPr>
                  </w:pPr>
                </w:p>
                <w:p w14:paraId="4CF4985E">
                  <w:pPr>
                    <w:pStyle w:val="127"/>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288F1181">
                  <w:pPr>
                    <w:pStyle w:val="127"/>
                    <w:snapToGrid w:val="0"/>
                    <w:rPr>
                      <w:rFonts w:ascii="Times New Roman" w:hAnsi="Times New Roman"/>
                      <w:color w:val="000000"/>
                      <w:szCs w:val="18"/>
                    </w:rPr>
                  </w:pPr>
                </w:p>
                <w:p w14:paraId="52270312">
                  <w:pPr>
                    <w:pStyle w:val="127"/>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14:paraId="006025FF">
                  <w:pPr>
                    <w:pStyle w:val="127"/>
                    <w:snapToGrid w:val="0"/>
                    <w:rPr>
                      <w:rFonts w:ascii="Times New Roman" w:hAnsi="Times New Roman"/>
                      <w:color w:val="000000"/>
                      <w:szCs w:val="18"/>
                    </w:rPr>
                  </w:pPr>
                </w:p>
                <w:p w14:paraId="3EAD8000">
                  <w:pPr>
                    <w:pStyle w:val="127"/>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4AA2F5FD">
                  <w:pPr>
                    <w:pStyle w:val="127"/>
                    <w:snapToGrid w:val="0"/>
                    <w:rPr>
                      <w:rFonts w:ascii="Times New Roman" w:hAnsi="Times New Roman"/>
                      <w:color w:val="000000"/>
                      <w:szCs w:val="18"/>
                    </w:rPr>
                  </w:pPr>
                </w:p>
                <w:p w14:paraId="6AA32205">
                  <w:pPr>
                    <w:pStyle w:val="127"/>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14:paraId="006F3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80" w:type="dxa"/>
                  <w:tcBorders>
                    <w:top w:val="single" w:color="auto" w:sz="4" w:space="0"/>
                    <w:left w:val="single" w:color="auto" w:sz="4" w:space="0"/>
                    <w:bottom w:val="single" w:color="auto" w:sz="4" w:space="0"/>
                    <w:right w:val="single" w:color="auto" w:sz="4" w:space="0"/>
                  </w:tcBorders>
                </w:tcPr>
                <w:p w14:paraId="5AE4D5FA">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-5-1a</w:t>
                  </w:r>
                </w:p>
              </w:tc>
              <w:tc>
                <w:tcPr>
                  <w:tcW w:w="1219" w:type="dxa"/>
                  <w:tcBorders>
                    <w:top w:val="single" w:color="auto" w:sz="4" w:space="0"/>
                    <w:left w:val="nil"/>
                    <w:bottom w:val="single" w:color="auto" w:sz="4" w:space="0"/>
                    <w:right w:val="single" w:color="auto" w:sz="4" w:space="0"/>
                  </w:tcBorders>
                </w:tcPr>
                <w:p w14:paraId="2161D7AD">
                  <w:pPr>
                    <w:adjustRightInd w:val="0"/>
                    <w:rPr>
                      <w:color w:val="000000"/>
                      <w:sz w:val="18"/>
                      <w:szCs w:val="18"/>
                    </w:rPr>
                  </w:pPr>
                  <w:r>
                    <w:rPr>
                      <w:color w:val="000000"/>
                      <w:sz w:val="18"/>
                      <w:szCs w:val="18"/>
                    </w:rPr>
                    <w:t xml:space="preserve">PRS measurement with Rx frequency hopping in RRC_INACTIVE </w:t>
                  </w:r>
                  <w:r>
                    <w:rPr>
                      <w:strike/>
                      <w:color w:val="C00000"/>
                      <w:sz w:val="18"/>
                      <w:szCs w:val="18"/>
                    </w:rPr>
                    <w:t xml:space="preserve"> for RedCap UEs</w:t>
                  </w:r>
                </w:p>
              </w:tc>
              <w:tc>
                <w:tcPr>
                  <w:tcW w:w="1665" w:type="dxa"/>
                  <w:tcBorders>
                    <w:top w:val="single" w:color="auto" w:sz="4" w:space="0"/>
                    <w:left w:val="nil"/>
                    <w:bottom w:val="single" w:color="auto" w:sz="4" w:space="0"/>
                    <w:right w:val="single" w:color="auto" w:sz="4" w:space="0"/>
                  </w:tcBorders>
                </w:tcPr>
                <w:p w14:paraId="18B8918B">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RedCap UEs</w:t>
                  </w:r>
                  <w:r>
                    <w:rPr>
                      <w:color w:val="000000"/>
                      <w:sz w:val="18"/>
                      <w:szCs w:val="18"/>
                    </w:rPr>
                    <w:t xml:space="preserve">  </w:t>
                  </w:r>
                </w:p>
              </w:tc>
              <w:tc>
                <w:tcPr>
                  <w:tcW w:w="601" w:type="dxa"/>
                  <w:tcBorders>
                    <w:top w:val="single" w:color="auto" w:sz="4" w:space="0"/>
                    <w:left w:val="nil"/>
                    <w:bottom w:val="single" w:color="auto" w:sz="4" w:space="0"/>
                    <w:right w:val="single" w:color="auto" w:sz="4" w:space="0"/>
                  </w:tcBorders>
                </w:tcPr>
                <w:p w14:paraId="0B035FF8">
                  <w:pPr>
                    <w:adjustRightInd w:val="0"/>
                    <w:rPr>
                      <w:rFonts w:eastAsia="MS Mincho"/>
                      <w:color w:val="000000"/>
                      <w:sz w:val="18"/>
                      <w:szCs w:val="18"/>
                    </w:rPr>
                  </w:pPr>
                  <w:r>
                    <w:rPr>
                      <w:rFonts w:eastAsia="等线"/>
                      <w:color w:val="000000"/>
                      <w:sz w:val="18"/>
                      <w:szCs w:val="18"/>
                    </w:rPr>
                    <w:t>41-5-1, 27-6</w:t>
                  </w:r>
                </w:p>
              </w:tc>
              <w:tc>
                <w:tcPr>
                  <w:tcW w:w="508" w:type="dxa"/>
                  <w:tcBorders>
                    <w:top w:val="single" w:color="auto" w:sz="4" w:space="0"/>
                    <w:left w:val="nil"/>
                    <w:bottom w:val="single" w:color="auto" w:sz="4" w:space="0"/>
                    <w:right w:val="single" w:color="auto" w:sz="4" w:space="0"/>
                  </w:tcBorders>
                </w:tcPr>
                <w:p w14:paraId="2840150E">
                  <w:pPr>
                    <w:adjustRightInd w:val="0"/>
                    <w:rPr>
                      <w:color w:val="000000"/>
                      <w:sz w:val="18"/>
                      <w:szCs w:val="18"/>
                    </w:rPr>
                  </w:pPr>
                  <w:r>
                    <w:rPr>
                      <w:color w:val="000000"/>
                      <w:sz w:val="18"/>
                      <w:szCs w:val="18"/>
                    </w:rPr>
                    <w:t>Yes</w:t>
                  </w:r>
                </w:p>
              </w:tc>
              <w:tc>
                <w:tcPr>
                  <w:tcW w:w="301" w:type="dxa"/>
                  <w:tcBorders>
                    <w:top w:val="single" w:color="auto" w:sz="4" w:space="0"/>
                    <w:left w:val="nil"/>
                    <w:bottom w:val="single" w:color="auto" w:sz="4" w:space="0"/>
                    <w:right w:val="single" w:color="auto" w:sz="4" w:space="0"/>
                  </w:tcBorders>
                </w:tcPr>
                <w:p w14:paraId="19E6D2A1">
                  <w:pPr>
                    <w:adjustRightInd w:val="0"/>
                    <w:rPr>
                      <w:color w:val="000000"/>
                      <w:sz w:val="18"/>
                      <w:szCs w:val="18"/>
                    </w:rPr>
                  </w:pPr>
                  <w:r>
                    <w:rPr>
                      <w:color w:val="000000"/>
                      <w:sz w:val="18"/>
                      <w:szCs w:val="18"/>
                    </w:rPr>
                    <w:t>n/a</w:t>
                  </w:r>
                </w:p>
              </w:tc>
              <w:tc>
                <w:tcPr>
                  <w:tcW w:w="951" w:type="dxa"/>
                  <w:tcBorders>
                    <w:top w:val="single" w:color="auto" w:sz="4" w:space="0"/>
                    <w:left w:val="nil"/>
                    <w:bottom w:val="single" w:color="auto" w:sz="4" w:space="0"/>
                    <w:right w:val="single" w:color="auto" w:sz="4" w:space="0"/>
                  </w:tcBorders>
                </w:tcPr>
                <w:p w14:paraId="2006414B">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RedCap UEs</w:t>
                  </w:r>
                  <w:r>
                    <w:rPr>
                      <w:color w:val="000000"/>
                      <w:sz w:val="18"/>
                      <w:szCs w:val="18"/>
                    </w:rPr>
                    <w:t xml:space="preserve">  UEs is not supported</w:t>
                  </w:r>
                </w:p>
              </w:tc>
              <w:tc>
                <w:tcPr>
                  <w:tcW w:w="486" w:type="dxa"/>
                  <w:tcBorders>
                    <w:top w:val="single" w:color="auto" w:sz="4" w:space="0"/>
                    <w:left w:val="nil"/>
                    <w:bottom w:val="single" w:color="auto" w:sz="4" w:space="0"/>
                    <w:right w:val="single" w:color="auto" w:sz="4" w:space="0"/>
                  </w:tcBorders>
                </w:tcPr>
                <w:p w14:paraId="4B7851CB">
                  <w:pPr>
                    <w:adjustRightInd w:val="0"/>
                    <w:rPr>
                      <w:color w:val="000000"/>
                      <w:sz w:val="18"/>
                      <w:szCs w:val="18"/>
                    </w:rPr>
                  </w:pPr>
                  <w:r>
                    <w:rPr>
                      <w:color w:val="000000"/>
                      <w:sz w:val="18"/>
                      <w:szCs w:val="18"/>
                    </w:rPr>
                    <w:t>Per band</w:t>
                  </w:r>
                </w:p>
              </w:tc>
              <w:tc>
                <w:tcPr>
                  <w:tcW w:w="262" w:type="dxa"/>
                  <w:tcBorders>
                    <w:top w:val="single" w:color="auto" w:sz="4" w:space="0"/>
                    <w:left w:val="nil"/>
                    <w:bottom w:val="single" w:color="auto" w:sz="4" w:space="0"/>
                    <w:right w:val="single" w:color="auto" w:sz="4" w:space="0"/>
                  </w:tcBorders>
                </w:tcPr>
                <w:p w14:paraId="00973723">
                  <w:pPr>
                    <w:adjustRightInd w:val="0"/>
                    <w:rPr>
                      <w:color w:val="000000"/>
                      <w:sz w:val="18"/>
                      <w:szCs w:val="18"/>
                    </w:rPr>
                  </w:pPr>
                  <w:r>
                    <w:rPr>
                      <w:color w:val="000000"/>
                      <w:sz w:val="18"/>
                      <w:szCs w:val="18"/>
                    </w:rPr>
                    <w:t>n/a</w:t>
                  </w:r>
                </w:p>
              </w:tc>
              <w:tc>
                <w:tcPr>
                  <w:tcW w:w="271" w:type="dxa"/>
                  <w:tcBorders>
                    <w:top w:val="single" w:color="auto" w:sz="4" w:space="0"/>
                    <w:left w:val="nil"/>
                    <w:bottom w:val="single" w:color="auto" w:sz="4" w:space="0"/>
                    <w:right w:val="single" w:color="auto" w:sz="4" w:space="0"/>
                  </w:tcBorders>
                </w:tcPr>
                <w:p w14:paraId="76722A87">
                  <w:pPr>
                    <w:adjustRightInd w:val="0"/>
                    <w:rPr>
                      <w:color w:val="000000"/>
                      <w:sz w:val="18"/>
                      <w:szCs w:val="18"/>
                    </w:rPr>
                  </w:pPr>
                  <w:r>
                    <w:rPr>
                      <w:color w:val="000000"/>
                      <w:sz w:val="18"/>
                      <w:szCs w:val="18"/>
                    </w:rPr>
                    <w:t>n/a</w:t>
                  </w:r>
                </w:p>
              </w:tc>
              <w:tc>
                <w:tcPr>
                  <w:tcW w:w="254" w:type="dxa"/>
                  <w:tcBorders>
                    <w:top w:val="single" w:color="auto" w:sz="4" w:space="0"/>
                    <w:left w:val="nil"/>
                    <w:bottom w:val="single" w:color="auto" w:sz="4" w:space="0"/>
                    <w:right w:val="single" w:color="auto" w:sz="4" w:space="0"/>
                  </w:tcBorders>
                </w:tcPr>
                <w:p w14:paraId="690A4008">
                  <w:pPr>
                    <w:adjustRightInd w:val="0"/>
                    <w:rPr>
                      <w:color w:val="000000"/>
                      <w:sz w:val="18"/>
                      <w:szCs w:val="18"/>
                    </w:rPr>
                  </w:pPr>
                  <w:r>
                    <w:rPr>
                      <w:color w:val="000000"/>
                      <w:sz w:val="18"/>
                      <w:szCs w:val="18"/>
                    </w:rPr>
                    <w:t>n/a</w:t>
                  </w:r>
                </w:p>
              </w:tc>
              <w:tc>
                <w:tcPr>
                  <w:tcW w:w="2465" w:type="dxa"/>
                  <w:tcBorders>
                    <w:top w:val="single" w:color="auto" w:sz="4" w:space="0"/>
                    <w:left w:val="nil"/>
                    <w:bottom w:val="single" w:color="auto" w:sz="4" w:space="0"/>
                    <w:right w:val="single" w:color="auto" w:sz="4" w:space="0"/>
                  </w:tcBorders>
                </w:tcPr>
                <w:p w14:paraId="64D02E86">
                  <w:pPr>
                    <w:pStyle w:val="127"/>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5C6B8F92">
                  <w:pPr>
                    <w:pStyle w:val="127"/>
                    <w:snapToGrid w:val="0"/>
                    <w:rPr>
                      <w:rFonts w:ascii="Times New Roman" w:hAnsi="Times New Roman"/>
                      <w:color w:val="000000"/>
                      <w:szCs w:val="18"/>
                    </w:rPr>
                  </w:pPr>
                </w:p>
              </w:tc>
            </w:tr>
            <w:tr w14:paraId="1F65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80" w:type="dxa"/>
                  <w:tcBorders>
                    <w:top w:val="single" w:color="auto" w:sz="4" w:space="0"/>
                    <w:left w:val="single" w:color="auto" w:sz="4" w:space="0"/>
                    <w:bottom w:val="single" w:color="auto" w:sz="4" w:space="0"/>
                    <w:right w:val="single" w:color="auto" w:sz="4" w:space="0"/>
                  </w:tcBorders>
                </w:tcPr>
                <w:p w14:paraId="34764CF6">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-5-1b</w:t>
                  </w:r>
                </w:p>
              </w:tc>
              <w:tc>
                <w:tcPr>
                  <w:tcW w:w="1219" w:type="dxa"/>
                  <w:tcBorders>
                    <w:top w:val="single" w:color="auto" w:sz="4" w:space="0"/>
                    <w:left w:val="nil"/>
                    <w:bottom w:val="single" w:color="auto" w:sz="4" w:space="0"/>
                    <w:right w:val="single" w:color="auto" w:sz="4" w:space="0"/>
                  </w:tcBorders>
                </w:tcPr>
                <w:p w14:paraId="3AC2B338">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RedCap UEs</w:t>
                  </w:r>
                  <w:r>
                    <w:rPr>
                      <w:color w:val="000000"/>
                      <w:sz w:val="18"/>
                      <w:szCs w:val="18"/>
                    </w:rPr>
                    <w:t xml:space="preserve">  </w:t>
                  </w:r>
                </w:p>
              </w:tc>
              <w:tc>
                <w:tcPr>
                  <w:tcW w:w="1665" w:type="dxa"/>
                  <w:tcBorders>
                    <w:top w:val="single" w:color="auto" w:sz="4" w:space="0"/>
                    <w:left w:val="nil"/>
                    <w:bottom w:val="single" w:color="auto" w:sz="4" w:space="0"/>
                    <w:right w:val="single" w:color="auto" w:sz="4" w:space="0"/>
                  </w:tcBorders>
                </w:tcPr>
                <w:p w14:paraId="327C1537">
                  <w:pPr>
                    <w:rPr>
                      <w:color w:val="000000"/>
                      <w:sz w:val="18"/>
                      <w:szCs w:val="18"/>
                    </w:rPr>
                  </w:pPr>
                  <w:r>
                    <w:rPr>
                      <w:color w:val="000000"/>
                      <w:sz w:val="18"/>
                      <w:szCs w:val="18"/>
                    </w:rPr>
                    <w:t xml:space="preserve">Support of PRS measurement with Rx frequency hopping in RRC_IDLE </w:t>
                  </w:r>
                  <w:r>
                    <w:rPr>
                      <w:strike/>
                      <w:color w:val="C00000"/>
                      <w:sz w:val="18"/>
                      <w:szCs w:val="18"/>
                    </w:rPr>
                    <w:t xml:space="preserve"> for RedCap UEs</w:t>
                  </w:r>
                </w:p>
              </w:tc>
              <w:tc>
                <w:tcPr>
                  <w:tcW w:w="601" w:type="dxa"/>
                  <w:tcBorders>
                    <w:top w:val="single" w:color="auto" w:sz="4" w:space="0"/>
                    <w:left w:val="nil"/>
                    <w:bottom w:val="single" w:color="auto" w:sz="4" w:space="0"/>
                    <w:right w:val="single" w:color="auto" w:sz="4" w:space="0"/>
                  </w:tcBorders>
                </w:tcPr>
                <w:p w14:paraId="55F24381">
                  <w:pPr>
                    <w:adjustRightInd w:val="0"/>
                    <w:rPr>
                      <w:rFonts w:eastAsia="MS Mincho"/>
                      <w:color w:val="000000"/>
                      <w:sz w:val="18"/>
                      <w:szCs w:val="18"/>
                    </w:rPr>
                  </w:pPr>
                  <w:r>
                    <w:rPr>
                      <w:rFonts w:eastAsia="等线"/>
                      <w:color w:val="000000"/>
                      <w:sz w:val="18"/>
                      <w:szCs w:val="18"/>
                    </w:rPr>
                    <w:t>41-5-1</w:t>
                  </w:r>
                </w:p>
              </w:tc>
              <w:tc>
                <w:tcPr>
                  <w:tcW w:w="508" w:type="dxa"/>
                  <w:tcBorders>
                    <w:top w:val="single" w:color="auto" w:sz="4" w:space="0"/>
                    <w:left w:val="nil"/>
                    <w:bottom w:val="single" w:color="auto" w:sz="4" w:space="0"/>
                    <w:right w:val="single" w:color="auto" w:sz="4" w:space="0"/>
                  </w:tcBorders>
                </w:tcPr>
                <w:p w14:paraId="4F7A7E00">
                  <w:pPr>
                    <w:adjustRightInd w:val="0"/>
                    <w:rPr>
                      <w:color w:val="000000"/>
                      <w:sz w:val="18"/>
                      <w:szCs w:val="18"/>
                    </w:rPr>
                  </w:pPr>
                  <w:r>
                    <w:rPr>
                      <w:color w:val="000000"/>
                      <w:sz w:val="18"/>
                      <w:szCs w:val="18"/>
                    </w:rPr>
                    <w:t>Yes</w:t>
                  </w:r>
                </w:p>
              </w:tc>
              <w:tc>
                <w:tcPr>
                  <w:tcW w:w="301" w:type="dxa"/>
                  <w:tcBorders>
                    <w:top w:val="single" w:color="auto" w:sz="4" w:space="0"/>
                    <w:left w:val="nil"/>
                    <w:bottom w:val="single" w:color="auto" w:sz="4" w:space="0"/>
                    <w:right w:val="single" w:color="auto" w:sz="4" w:space="0"/>
                  </w:tcBorders>
                </w:tcPr>
                <w:p w14:paraId="68ECF890">
                  <w:pPr>
                    <w:adjustRightInd w:val="0"/>
                    <w:rPr>
                      <w:color w:val="000000"/>
                      <w:sz w:val="18"/>
                      <w:szCs w:val="18"/>
                    </w:rPr>
                  </w:pPr>
                  <w:r>
                    <w:rPr>
                      <w:color w:val="000000"/>
                      <w:sz w:val="18"/>
                      <w:szCs w:val="18"/>
                    </w:rPr>
                    <w:t>n/a</w:t>
                  </w:r>
                </w:p>
              </w:tc>
              <w:tc>
                <w:tcPr>
                  <w:tcW w:w="951" w:type="dxa"/>
                  <w:tcBorders>
                    <w:top w:val="single" w:color="auto" w:sz="4" w:space="0"/>
                    <w:left w:val="nil"/>
                    <w:bottom w:val="single" w:color="auto" w:sz="4" w:space="0"/>
                    <w:right w:val="single" w:color="auto" w:sz="4" w:space="0"/>
                  </w:tcBorders>
                </w:tcPr>
                <w:p w14:paraId="35E64B83">
                  <w:pPr>
                    <w:adjustRightInd w:val="0"/>
                    <w:rPr>
                      <w:color w:val="000000"/>
                      <w:sz w:val="18"/>
                      <w:szCs w:val="18"/>
                    </w:rPr>
                  </w:pPr>
                  <w:r>
                    <w:rPr>
                      <w:color w:val="000000"/>
                      <w:sz w:val="18"/>
                      <w:szCs w:val="18"/>
                    </w:rPr>
                    <w:t xml:space="preserve">PRS measurement with Rx frequency hopping in RRC_IDLE </w:t>
                  </w:r>
                  <w:r>
                    <w:rPr>
                      <w:strike/>
                      <w:color w:val="C00000"/>
                      <w:sz w:val="18"/>
                      <w:szCs w:val="18"/>
                    </w:rPr>
                    <w:t xml:space="preserve"> for RedCap UEs</w:t>
                  </w:r>
                  <w:r>
                    <w:rPr>
                      <w:color w:val="000000"/>
                      <w:sz w:val="18"/>
                      <w:szCs w:val="18"/>
                    </w:rPr>
                    <w:t xml:space="preserve"> is not supported</w:t>
                  </w:r>
                </w:p>
              </w:tc>
              <w:tc>
                <w:tcPr>
                  <w:tcW w:w="486" w:type="dxa"/>
                  <w:tcBorders>
                    <w:top w:val="single" w:color="auto" w:sz="4" w:space="0"/>
                    <w:left w:val="nil"/>
                    <w:bottom w:val="single" w:color="auto" w:sz="4" w:space="0"/>
                    <w:right w:val="single" w:color="auto" w:sz="4" w:space="0"/>
                  </w:tcBorders>
                </w:tcPr>
                <w:p w14:paraId="65C6091B">
                  <w:pPr>
                    <w:adjustRightInd w:val="0"/>
                    <w:rPr>
                      <w:color w:val="000000"/>
                      <w:sz w:val="18"/>
                      <w:szCs w:val="18"/>
                    </w:rPr>
                  </w:pPr>
                  <w:r>
                    <w:rPr>
                      <w:color w:val="000000"/>
                      <w:sz w:val="18"/>
                      <w:szCs w:val="18"/>
                    </w:rPr>
                    <w:t>Per band</w:t>
                  </w:r>
                </w:p>
              </w:tc>
              <w:tc>
                <w:tcPr>
                  <w:tcW w:w="262" w:type="dxa"/>
                  <w:tcBorders>
                    <w:top w:val="single" w:color="auto" w:sz="4" w:space="0"/>
                    <w:left w:val="nil"/>
                    <w:bottom w:val="single" w:color="auto" w:sz="4" w:space="0"/>
                    <w:right w:val="single" w:color="auto" w:sz="4" w:space="0"/>
                  </w:tcBorders>
                </w:tcPr>
                <w:p w14:paraId="5768552F">
                  <w:pPr>
                    <w:adjustRightInd w:val="0"/>
                    <w:rPr>
                      <w:color w:val="000000"/>
                      <w:sz w:val="18"/>
                      <w:szCs w:val="18"/>
                    </w:rPr>
                  </w:pPr>
                  <w:r>
                    <w:rPr>
                      <w:color w:val="000000"/>
                      <w:sz w:val="18"/>
                      <w:szCs w:val="18"/>
                    </w:rPr>
                    <w:t>n/a</w:t>
                  </w:r>
                </w:p>
              </w:tc>
              <w:tc>
                <w:tcPr>
                  <w:tcW w:w="271" w:type="dxa"/>
                  <w:tcBorders>
                    <w:top w:val="single" w:color="auto" w:sz="4" w:space="0"/>
                    <w:left w:val="nil"/>
                    <w:bottom w:val="single" w:color="auto" w:sz="4" w:space="0"/>
                    <w:right w:val="single" w:color="auto" w:sz="4" w:space="0"/>
                  </w:tcBorders>
                </w:tcPr>
                <w:p w14:paraId="0DEB01EF">
                  <w:pPr>
                    <w:adjustRightInd w:val="0"/>
                    <w:rPr>
                      <w:color w:val="000000"/>
                      <w:sz w:val="18"/>
                      <w:szCs w:val="18"/>
                    </w:rPr>
                  </w:pPr>
                  <w:r>
                    <w:rPr>
                      <w:color w:val="000000"/>
                      <w:sz w:val="18"/>
                      <w:szCs w:val="18"/>
                    </w:rPr>
                    <w:t>n/a</w:t>
                  </w:r>
                </w:p>
              </w:tc>
              <w:tc>
                <w:tcPr>
                  <w:tcW w:w="254" w:type="dxa"/>
                  <w:tcBorders>
                    <w:top w:val="single" w:color="auto" w:sz="4" w:space="0"/>
                    <w:left w:val="nil"/>
                    <w:bottom w:val="single" w:color="auto" w:sz="4" w:space="0"/>
                    <w:right w:val="single" w:color="auto" w:sz="4" w:space="0"/>
                  </w:tcBorders>
                </w:tcPr>
                <w:p w14:paraId="21641F7C">
                  <w:pPr>
                    <w:adjustRightInd w:val="0"/>
                    <w:rPr>
                      <w:color w:val="000000"/>
                      <w:sz w:val="18"/>
                      <w:szCs w:val="18"/>
                    </w:rPr>
                  </w:pPr>
                  <w:r>
                    <w:rPr>
                      <w:color w:val="000000"/>
                      <w:sz w:val="18"/>
                      <w:szCs w:val="18"/>
                    </w:rPr>
                    <w:t>n/a</w:t>
                  </w:r>
                </w:p>
              </w:tc>
              <w:tc>
                <w:tcPr>
                  <w:tcW w:w="2465" w:type="dxa"/>
                  <w:tcBorders>
                    <w:top w:val="single" w:color="auto" w:sz="4" w:space="0"/>
                    <w:left w:val="nil"/>
                    <w:bottom w:val="single" w:color="auto" w:sz="4" w:space="0"/>
                    <w:right w:val="single" w:color="auto" w:sz="4" w:space="0"/>
                  </w:tcBorders>
                </w:tcPr>
                <w:p w14:paraId="1AFBB623">
                  <w:pPr>
                    <w:pStyle w:val="127"/>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6180ED3C">
                  <w:pPr>
                    <w:pStyle w:val="127"/>
                    <w:snapToGrid w:val="0"/>
                    <w:rPr>
                      <w:rFonts w:ascii="Times New Roman" w:hAnsi="Times New Roman"/>
                      <w:color w:val="000000"/>
                      <w:szCs w:val="18"/>
                    </w:rPr>
                  </w:pPr>
                </w:p>
              </w:tc>
            </w:tr>
            <w:tr w14:paraId="5AA87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80" w:type="dxa"/>
                  <w:tcBorders>
                    <w:top w:val="single" w:color="auto" w:sz="4" w:space="0"/>
                    <w:left w:val="single" w:color="auto" w:sz="4" w:space="0"/>
                    <w:bottom w:val="single" w:color="auto" w:sz="4" w:space="0"/>
                    <w:right w:val="single" w:color="auto" w:sz="4" w:space="0"/>
                  </w:tcBorders>
                </w:tcPr>
                <w:p w14:paraId="661FB436">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w:t>
                  </w:r>
                </w:p>
              </w:tc>
              <w:tc>
                <w:tcPr>
                  <w:tcW w:w="1219" w:type="dxa"/>
                  <w:tcBorders>
                    <w:top w:val="single" w:color="auto" w:sz="4" w:space="0"/>
                    <w:left w:val="nil"/>
                    <w:bottom w:val="single" w:color="auto" w:sz="4" w:space="0"/>
                    <w:right w:val="single" w:color="auto" w:sz="4" w:space="0"/>
                  </w:tcBorders>
                </w:tcPr>
                <w:p w14:paraId="0908C819">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RedCap UEs</w:t>
                  </w:r>
                </w:p>
              </w:tc>
              <w:tc>
                <w:tcPr>
                  <w:tcW w:w="1665" w:type="dxa"/>
                  <w:tcBorders>
                    <w:top w:val="single" w:color="auto" w:sz="4" w:space="0"/>
                    <w:left w:val="nil"/>
                    <w:bottom w:val="single" w:color="auto" w:sz="4" w:space="0"/>
                    <w:right w:val="single" w:color="auto" w:sz="4" w:space="0"/>
                  </w:tcBorders>
                </w:tcPr>
                <w:p w14:paraId="33B3EA70">
                  <w:pPr>
                    <w:rPr>
                      <w:color w:val="000000"/>
                      <w:sz w:val="18"/>
                      <w:szCs w:val="18"/>
                    </w:rPr>
                  </w:pPr>
                  <w:r>
                    <w:rPr>
                      <w:color w:val="000000"/>
                      <w:sz w:val="18"/>
                      <w:szCs w:val="18"/>
                    </w:rPr>
                    <w:t>1. Maximum SRS bandwidth across all hops</w:t>
                  </w:r>
                </w:p>
                <w:p w14:paraId="2FB7FB27">
                  <w:pPr>
                    <w:rPr>
                      <w:color w:val="000000"/>
                      <w:sz w:val="18"/>
                      <w:szCs w:val="18"/>
                    </w:rPr>
                  </w:pPr>
                  <w:r>
                    <w:rPr>
                      <w:color w:val="000000"/>
                      <w:sz w:val="18"/>
                      <w:szCs w:val="18"/>
                    </w:rPr>
                    <w:t>2. Maximum number of hops</w:t>
                  </w:r>
                </w:p>
                <w:p w14:paraId="03954ED6">
                  <w:pPr>
                    <w:rPr>
                      <w:color w:val="000000"/>
                      <w:sz w:val="18"/>
                      <w:szCs w:val="18"/>
                    </w:rPr>
                  </w:pPr>
                  <w:r>
                    <w:rPr>
                      <w:color w:val="000000"/>
                      <w:sz w:val="18"/>
                      <w:szCs w:val="18"/>
                    </w:rPr>
                    <w:t>3. RF Tx retuning time between consecutive hops</w:t>
                  </w:r>
                </w:p>
                <w:p w14:paraId="1E3B3EB8">
                  <w:pPr>
                    <w:rPr>
                      <w:color w:val="000000"/>
                      <w:sz w:val="18"/>
                      <w:szCs w:val="18"/>
                    </w:rPr>
                  </w:pPr>
                  <w:r>
                    <w:rPr>
                      <w:color w:val="000000"/>
                      <w:sz w:val="18"/>
                      <w:szCs w:val="18"/>
                    </w:rPr>
                    <w:t>4. Switching time between active BWP and frequency hop</w:t>
                  </w:r>
                </w:p>
                <w:p w14:paraId="633A3823">
                  <w:pPr>
                    <w:rPr>
                      <w:color w:val="000000"/>
                      <w:sz w:val="18"/>
                      <w:szCs w:val="18"/>
                    </w:rPr>
                  </w:pPr>
                  <w:r>
                    <w:rPr>
                      <w:color w:val="000000"/>
                      <w:sz w:val="18"/>
                      <w:szCs w:val="18"/>
                    </w:rPr>
                    <w:t>5. Overlapping PRB(s) between adjacent hops</w:t>
                  </w:r>
                </w:p>
                <w:p w14:paraId="2480FEB2">
                  <w:pPr>
                    <w:rPr>
                      <w:color w:val="000000"/>
                      <w:sz w:val="18"/>
                      <w:szCs w:val="18"/>
                    </w:rPr>
                  </w:pPr>
                  <w:r>
                    <w:rPr>
                      <w:color w:val="000000"/>
                      <w:sz w:val="18"/>
                      <w:szCs w:val="18"/>
                    </w:rPr>
                    <w:t>6. Support of {0,1,2,4} overlapping PRB(s) between adjacent hops</w:t>
                  </w:r>
                </w:p>
                <w:p w14:paraId="36714428">
                  <w:pPr>
                    <w:rPr>
                      <w:color w:val="000000"/>
                      <w:sz w:val="18"/>
                      <w:szCs w:val="18"/>
                    </w:rPr>
                  </w:pPr>
                  <w:r>
                    <w:rPr>
                      <w:color w:val="000000"/>
                      <w:sz w:val="18"/>
                      <w:szCs w:val="18"/>
                    </w:rPr>
                    <w:t>7. Maximum number of positioning SRS resources with Tx frequency hopping</w:t>
                  </w:r>
                </w:p>
              </w:tc>
              <w:tc>
                <w:tcPr>
                  <w:tcW w:w="601" w:type="dxa"/>
                  <w:tcBorders>
                    <w:top w:val="single" w:color="auto" w:sz="4" w:space="0"/>
                    <w:left w:val="nil"/>
                    <w:bottom w:val="single" w:color="auto" w:sz="4" w:space="0"/>
                    <w:right w:val="single" w:color="auto" w:sz="4" w:space="0"/>
                  </w:tcBorders>
                </w:tcPr>
                <w:p w14:paraId="6C995805">
                  <w:pPr>
                    <w:adjustRightInd w:val="0"/>
                    <w:rPr>
                      <w:rFonts w:eastAsia="MS Mincho"/>
                      <w:color w:val="000000"/>
                      <w:sz w:val="18"/>
                      <w:szCs w:val="18"/>
                    </w:rPr>
                  </w:pPr>
                  <w:r>
                    <w:rPr>
                      <w:rFonts w:eastAsia="MS Mincho"/>
                      <w:color w:val="000000"/>
                      <w:sz w:val="18"/>
                      <w:szCs w:val="18"/>
                    </w:rPr>
                    <w:t>13-8</w:t>
                  </w:r>
                  <w:r>
                    <w:rPr>
                      <w:rFonts w:eastAsia="等线"/>
                      <w:strike/>
                      <w:color w:val="C00000"/>
                      <w:sz w:val="18"/>
                      <w:szCs w:val="18"/>
                    </w:rPr>
                    <w:t>, one of {28-1, 48-1}</w:t>
                  </w:r>
                </w:p>
              </w:tc>
              <w:tc>
                <w:tcPr>
                  <w:tcW w:w="508" w:type="dxa"/>
                  <w:tcBorders>
                    <w:top w:val="single" w:color="auto" w:sz="4" w:space="0"/>
                    <w:left w:val="nil"/>
                    <w:bottom w:val="single" w:color="auto" w:sz="4" w:space="0"/>
                    <w:right w:val="single" w:color="auto" w:sz="4" w:space="0"/>
                  </w:tcBorders>
                </w:tcPr>
                <w:p w14:paraId="45E3CD67">
                  <w:pPr>
                    <w:adjustRightInd w:val="0"/>
                    <w:rPr>
                      <w:color w:val="000000"/>
                      <w:sz w:val="18"/>
                      <w:szCs w:val="18"/>
                    </w:rPr>
                  </w:pPr>
                  <w:r>
                    <w:rPr>
                      <w:color w:val="000000"/>
                      <w:sz w:val="18"/>
                      <w:szCs w:val="18"/>
                    </w:rPr>
                    <w:t>Yes</w:t>
                  </w:r>
                </w:p>
              </w:tc>
              <w:tc>
                <w:tcPr>
                  <w:tcW w:w="301" w:type="dxa"/>
                  <w:tcBorders>
                    <w:top w:val="single" w:color="auto" w:sz="4" w:space="0"/>
                    <w:left w:val="nil"/>
                    <w:bottom w:val="single" w:color="auto" w:sz="4" w:space="0"/>
                    <w:right w:val="single" w:color="auto" w:sz="4" w:space="0"/>
                  </w:tcBorders>
                </w:tcPr>
                <w:p w14:paraId="6CAEBFD7">
                  <w:pPr>
                    <w:adjustRightInd w:val="0"/>
                    <w:rPr>
                      <w:color w:val="000000"/>
                      <w:sz w:val="18"/>
                      <w:szCs w:val="18"/>
                    </w:rPr>
                  </w:pPr>
                  <w:r>
                    <w:rPr>
                      <w:color w:val="000000"/>
                      <w:sz w:val="18"/>
                      <w:szCs w:val="18"/>
                    </w:rPr>
                    <w:t>n/a</w:t>
                  </w:r>
                </w:p>
              </w:tc>
              <w:tc>
                <w:tcPr>
                  <w:tcW w:w="951" w:type="dxa"/>
                  <w:tcBorders>
                    <w:top w:val="single" w:color="auto" w:sz="4" w:space="0"/>
                    <w:left w:val="nil"/>
                    <w:bottom w:val="single" w:color="auto" w:sz="4" w:space="0"/>
                    <w:right w:val="single" w:color="auto" w:sz="4" w:space="0"/>
                  </w:tcBorders>
                </w:tcPr>
                <w:p w14:paraId="05C9F99C">
                  <w:pPr>
                    <w:adjustRightInd w:val="0"/>
                    <w:rPr>
                      <w:color w:val="000000"/>
                      <w:sz w:val="18"/>
                      <w:szCs w:val="18"/>
                    </w:rPr>
                  </w:pPr>
                  <w:r>
                    <w:rPr>
                      <w:color w:val="000000"/>
                      <w:sz w:val="18"/>
                      <w:szCs w:val="18"/>
                    </w:rPr>
                    <w:t>Positioning SRS with Tx hopping in RRC_CONNECTED is not supported</w:t>
                  </w:r>
                </w:p>
              </w:tc>
              <w:tc>
                <w:tcPr>
                  <w:tcW w:w="486" w:type="dxa"/>
                  <w:tcBorders>
                    <w:top w:val="single" w:color="auto" w:sz="4" w:space="0"/>
                    <w:left w:val="nil"/>
                    <w:bottom w:val="single" w:color="auto" w:sz="4" w:space="0"/>
                    <w:right w:val="single" w:color="auto" w:sz="4" w:space="0"/>
                  </w:tcBorders>
                </w:tcPr>
                <w:p w14:paraId="2071ED8A">
                  <w:pPr>
                    <w:adjustRightInd w:val="0"/>
                    <w:rPr>
                      <w:color w:val="000000"/>
                      <w:sz w:val="18"/>
                      <w:szCs w:val="18"/>
                    </w:rPr>
                  </w:pPr>
                  <w:r>
                    <w:rPr>
                      <w:color w:val="000000"/>
                      <w:sz w:val="18"/>
                      <w:szCs w:val="18"/>
                    </w:rPr>
                    <w:t>Per band</w:t>
                  </w:r>
                </w:p>
              </w:tc>
              <w:tc>
                <w:tcPr>
                  <w:tcW w:w="262" w:type="dxa"/>
                  <w:tcBorders>
                    <w:top w:val="single" w:color="auto" w:sz="4" w:space="0"/>
                    <w:left w:val="nil"/>
                    <w:bottom w:val="single" w:color="auto" w:sz="4" w:space="0"/>
                    <w:right w:val="single" w:color="auto" w:sz="4" w:space="0"/>
                  </w:tcBorders>
                </w:tcPr>
                <w:p w14:paraId="2289C2DC">
                  <w:pPr>
                    <w:adjustRightInd w:val="0"/>
                    <w:rPr>
                      <w:color w:val="000000"/>
                      <w:sz w:val="18"/>
                      <w:szCs w:val="18"/>
                    </w:rPr>
                  </w:pPr>
                  <w:r>
                    <w:rPr>
                      <w:color w:val="000000"/>
                      <w:sz w:val="18"/>
                      <w:szCs w:val="18"/>
                    </w:rPr>
                    <w:t>n/a</w:t>
                  </w:r>
                </w:p>
              </w:tc>
              <w:tc>
                <w:tcPr>
                  <w:tcW w:w="271" w:type="dxa"/>
                  <w:tcBorders>
                    <w:top w:val="single" w:color="auto" w:sz="4" w:space="0"/>
                    <w:left w:val="nil"/>
                    <w:bottom w:val="single" w:color="auto" w:sz="4" w:space="0"/>
                    <w:right w:val="single" w:color="auto" w:sz="4" w:space="0"/>
                  </w:tcBorders>
                </w:tcPr>
                <w:p w14:paraId="5F6E16D5">
                  <w:pPr>
                    <w:adjustRightInd w:val="0"/>
                    <w:rPr>
                      <w:color w:val="000000"/>
                      <w:sz w:val="18"/>
                      <w:szCs w:val="18"/>
                    </w:rPr>
                  </w:pPr>
                  <w:r>
                    <w:rPr>
                      <w:color w:val="000000"/>
                      <w:sz w:val="18"/>
                      <w:szCs w:val="18"/>
                    </w:rPr>
                    <w:t>n/a</w:t>
                  </w:r>
                </w:p>
              </w:tc>
              <w:tc>
                <w:tcPr>
                  <w:tcW w:w="254" w:type="dxa"/>
                  <w:tcBorders>
                    <w:top w:val="single" w:color="auto" w:sz="4" w:space="0"/>
                    <w:left w:val="nil"/>
                    <w:bottom w:val="single" w:color="auto" w:sz="4" w:space="0"/>
                    <w:right w:val="single" w:color="auto" w:sz="4" w:space="0"/>
                  </w:tcBorders>
                </w:tcPr>
                <w:p w14:paraId="40EDCA10">
                  <w:pPr>
                    <w:adjustRightInd w:val="0"/>
                    <w:rPr>
                      <w:color w:val="000000"/>
                      <w:sz w:val="18"/>
                      <w:szCs w:val="18"/>
                    </w:rPr>
                  </w:pPr>
                  <w:r>
                    <w:rPr>
                      <w:color w:val="000000"/>
                      <w:sz w:val="18"/>
                      <w:szCs w:val="18"/>
                    </w:rPr>
                    <w:t>n/a</w:t>
                  </w:r>
                </w:p>
              </w:tc>
              <w:tc>
                <w:tcPr>
                  <w:tcW w:w="2465" w:type="dxa"/>
                  <w:tcBorders>
                    <w:top w:val="single" w:color="auto" w:sz="4" w:space="0"/>
                    <w:left w:val="nil"/>
                    <w:bottom w:val="single" w:color="auto" w:sz="4" w:space="0"/>
                    <w:right w:val="single" w:color="auto" w:sz="4" w:space="0"/>
                  </w:tcBorders>
                </w:tcPr>
                <w:p w14:paraId="61BE6C53">
                  <w:pPr>
                    <w:pStyle w:val="127"/>
                    <w:snapToGrid w:val="0"/>
                    <w:rPr>
                      <w:rFonts w:ascii="Times New Roman" w:hAnsi="Times New Roman"/>
                      <w:color w:val="000000"/>
                      <w:szCs w:val="18"/>
                    </w:rPr>
                  </w:pPr>
                  <w:r>
                    <w:rPr>
                      <w:rFonts w:ascii="Times New Roman" w:hAnsi="Times New Roman"/>
                      <w:color w:val="000000"/>
                      <w:szCs w:val="18"/>
                    </w:rPr>
                    <w:t>Component 1 candidate values:</w:t>
                  </w:r>
                </w:p>
                <w:p w14:paraId="1E41EAB5">
                  <w:pPr>
                    <w:pStyle w:val="127"/>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5C9D26D0">
                  <w:pPr>
                    <w:pStyle w:val="127"/>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14:textFill>
                        <w14:solidFill>
                          <w14:schemeClr w14:val="tx1"/>
                        </w14:solidFill>
                      </w14:textFill>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579FFB86">
                  <w:pPr>
                    <w:pStyle w:val="127"/>
                    <w:snapToGrid w:val="0"/>
                    <w:rPr>
                      <w:rFonts w:ascii="Times New Roman" w:hAnsi="Times New Roman"/>
                      <w:color w:val="000000"/>
                      <w:szCs w:val="18"/>
                    </w:rPr>
                  </w:pPr>
                </w:p>
                <w:p w14:paraId="15DCE5BB">
                  <w:pPr>
                    <w:pStyle w:val="127"/>
                    <w:snapToGrid w:val="0"/>
                    <w:rPr>
                      <w:rFonts w:ascii="Times New Roman" w:hAnsi="Times New Roman"/>
                      <w:color w:val="000000"/>
                      <w:szCs w:val="18"/>
                    </w:rPr>
                  </w:pPr>
                  <w:r>
                    <w:rPr>
                      <w:rFonts w:ascii="Times New Roman" w:hAnsi="Times New Roman"/>
                      <w:color w:val="000000"/>
                      <w:szCs w:val="18"/>
                    </w:rPr>
                    <w:t>Component 2 candidate values: {2,3,4,5,6}</w:t>
                  </w:r>
                </w:p>
                <w:p w14:paraId="04E9CAB6">
                  <w:pPr>
                    <w:pStyle w:val="127"/>
                    <w:snapToGrid w:val="0"/>
                    <w:rPr>
                      <w:rFonts w:ascii="Times New Roman" w:hAnsi="Times New Roman"/>
                      <w:color w:val="000000"/>
                      <w:szCs w:val="18"/>
                    </w:rPr>
                  </w:pPr>
                </w:p>
                <w:p w14:paraId="651408DF">
                  <w:pPr>
                    <w:pStyle w:val="127"/>
                    <w:snapToGrid w:val="0"/>
                    <w:rPr>
                      <w:rFonts w:ascii="Times New Roman" w:hAnsi="Times New Roman"/>
                      <w:color w:val="000000"/>
                      <w:szCs w:val="18"/>
                    </w:rPr>
                  </w:pPr>
                  <w:r>
                    <w:rPr>
                      <w:rFonts w:ascii="Times New Roman" w:hAnsi="Times New Roman"/>
                      <w:color w:val="000000"/>
                      <w:szCs w:val="18"/>
                    </w:rPr>
                    <w:t>Component 3 candidate values:</w:t>
                  </w:r>
                </w:p>
                <w:p w14:paraId="0CED4778">
                  <w:pPr>
                    <w:pStyle w:val="127"/>
                    <w:snapToGrid w:val="0"/>
                    <w:rPr>
                      <w:rFonts w:ascii="Times New Roman" w:hAnsi="Times New Roman"/>
                      <w:color w:val="000000"/>
                      <w:szCs w:val="18"/>
                    </w:rPr>
                  </w:pPr>
                  <w:r>
                    <w:rPr>
                      <w:rFonts w:ascii="Times New Roman" w:hAnsi="Times New Roman"/>
                      <w:color w:val="000000"/>
                      <w:szCs w:val="18"/>
                    </w:rPr>
                    <w:t>FR1: {70us, 140us, 210us}</w:t>
                  </w:r>
                </w:p>
                <w:p w14:paraId="34B8380F">
                  <w:pPr>
                    <w:pStyle w:val="127"/>
                    <w:snapToGrid w:val="0"/>
                    <w:rPr>
                      <w:rFonts w:ascii="Times New Roman" w:hAnsi="Times New Roman"/>
                      <w:color w:val="000000"/>
                      <w:szCs w:val="18"/>
                    </w:rPr>
                  </w:pPr>
                  <w:r>
                    <w:rPr>
                      <w:rFonts w:ascii="Times New Roman" w:hAnsi="Times New Roman"/>
                      <w:color w:val="000000"/>
                      <w:szCs w:val="18"/>
                    </w:rPr>
                    <w:t>FR2: {35us, 70us, 140us}</w:t>
                  </w:r>
                </w:p>
                <w:p w14:paraId="559C114B">
                  <w:pPr>
                    <w:pStyle w:val="127"/>
                    <w:snapToGrid w:val="0"/>
                    <w:rPr>
                      <w:rFonts w:ascii="Times New Roman" w:hAnsi="Times New Roman"/>
                      <w:color w:val="000000"/>
                      <w:szCs w:val="18"/>
                    </w:rPr>
                  </w:pPr>
                </w:p>
                <w:p w14:paraId="1FA0D848">
                  <w:pPr>
                    <w:pStyle w:val="127"/>
                    <w:snapToGrid w:val="0"/>
                    <w:rPr>
                      <w:rFonts w:ascii="Times New Roman" w:hAnsi="Times New Roman"/>
                      <w:color w:val="000000"/>
                      <w:szCs w:val="18"/>
                    </w:rPr>
                  </w:pPr>
                  <w:r>
                    <w:rPr>
                      <w:rFonts w:ascii="Times New Roman" w:hAnsi="Times New Roman"/>
                      <w:color w:val="000000"/>
                      <w:szCs w:val="18"/>
                    </w:rPr>
                    <w:t>Component 4 candidate values:</w:t>
                  </w:r>
                </w:p>
                <w:p w14:paraId="2737B261">
                  <w:pPr>
                    <w:pStyle w:val="127"/>
                    <w:snapToGrid w:val="0"/>
                    <w:rPr>
                      <w:rFonts w:ascii="Times New Roman" w:hAnsi="Times New Roman"/>
                      <w:color w:val="000000"/>
                      <w:szCs w:val="18"/>
                    </w:rPr>
                  </w:pPr>
                  <w:r>
                    <w:rPr>
                      <w:rFonts w:ascii="Times New Roman" w:hAnsi="Times New Roman"/>
                      <w:color w:val="000000"/>
                      <w:szCs w:val="18"/>
                    </w:rPr>
                    <w:t>{100us, 140us, 200us, 300us, 500us}</w:t>
                  </w:r>
                </w:p>
                <w:p w14:paraId="37C5E15B">
                  <w:pPr>
                    <w:pStyle w:val="127"/>
                    <w:snapToGrid w:val="0"/>
                    <w:rPr>
                      <w:rFonts w:ascii="Times New Roman" w:hAnsi="Times New Roman"/>
                      <w:bCs/>
                      <w:color w:val="000000"/>
                      <w:szCs w:val="18"/>
                    </w:rPr>
                  </w:pPr>
                </w:p>
                <w:p w14:paraId="040FD7C9">
                  <w:pPr>
                    <w:pStyle w:val="127"/>
                    <w:snapToGrid w:val="0"/>
                    <w:rPr>
                      <w:rFonts w:ascii="Times New Roman" w:hAnsi="Times New Roman"/>
                      <w:bCs/>
                      <w:color w:val="000000"/>
                      <w:szCs w:val="18"/>
                    </w:rPr>
                  </w:pPr>
                  <w:r>
                    <w:rPr>
                      <w:rFonts w:ascii="Times New Roman" w:hAnsi="Times New Roman"/>
                      <w:bCs/>
                      <w:color w:val="000000"/>
                      <w:szCs w:val="18"/>
                    </w:rPr>
                    <w:t>Component 7 candidate values:</w:t>
                  </w:r>
                </w:p>
                <w:p w14:paraId="4CD1FF13">
                  <w:pPr>
                    <w:pStyle w:val="127"/>
                    <w:snapToGrid w:val="0"/>
                    <w:rPr>
                      <w:rFonts w:ascii="Times New Roman" w:hAnsi="Times New Roman"/>
                      <w:bCs/>
                      <w:color w:val="000000"/>
                      <w:szCs w:val="18"/>
                    </w:rPr>
                  </w:pPr>
                  <w:r>
                    <w:rPr>
                      <w:rFonts w:ascii="Times New Roman" w:hAnsi="Times New Roman"/>
                      <w:bCs/>
                      <w:color w:val="000000"/>
                      <w:szCs w:val="18"/>
                    </w:rPr>
                    <w:t>Periodic: {1,2,4,8,16,32,64}</w:t>
                  </w:r>
                </w:p>
                <w:p w14:paraId="0C85316B">
                  <w:pPr>
                    <w:pStyle w:val="127"/>
                    <w:snapToGrid w:val="0"/>
                    <w:rPr>
                      <w:rFonts w:ascii="Times New Roman" w:hAnsi="Times New Roman"/>
                      <w:bCs/>
                      <w:color w:val="000000"/>
                      <w:szCs w:val="18"/>
                    </w:rPr>
                  </w:pPr>
                  <w:r>
                    <w:rPr>
                      <w:rFonts w:ascii="Times New Roman" w:hAnsi="Times New Roman"/>
                      <w:bCs/>
                      <w:color w:val="000000"/>
                      <w:szCs w:val="18"/>
                    </w:rPr>
                    <w:t>Aperiodic: {0,1,2,4,8,16,32,64}</w:t>
                  </w:r>
                </w:p>
                <w:p w14:paraId="29592FCB">
                  <w:pPr>
                    <w:pStyle w:val="127"/>
                    <w:snapToGrid w:val="0"/>
                    <w:rPr>
                      <w:rFonts w:ascii="Times New Roman" w:hAnsi="Times New Roman"/>
                      <w:bCs/>
                      <w:color w:val="000000"/>
                      <w:szCs w:val="18"/>
                    </w:rPr>
                  </w:pPr>
                  <w:r>
                    <w:rPr>
                      <w:rFonts w:ascii="Times New Roman" w:hAnsi="Times New Roman"/>
                      <w:bCs/>
                      <w:color w:val="000000"/>
                      <w:szCs w:val="18"/>
                    </w:rPr>
                    <w:t>Semi-persistent: {0,1,2,4,8,16,32,64}</w:t>
                  </w:r>
                </w:p>
                <w:p w14:paraId="4CB4910C">
                  <w:pPr>
                    <w:pStyle w:val="127"/>
                    <w:snapToGrid w:val="0"/>
                    <w:rPr>
                      <w:rFonts w:ascii="Times New Roman" w:hAnsi="Times New Roman"/>
                      <w:bCs/>
                      <w:color w:val="000000"/>
                      <w:szCs w:val="18"/>
                    </w:rPr>
                  </w:pPr>
                </w:p>
                <w:p w14:paraId="227F1A07">
                  <w:pPr>
                    <w:pStyle w:val="127"/>
                    <w:snapToGrid w:val="0"/>
                    <w:rPr>
                      <w:rFonts w:ascii="Times New Roman" w:hAnsi="Times New Roman"/>
                      <w:bCs/>
                      <w:color w:val="000000"/>
                      <w:szCs w:val="18"/>
                    </w:rPr>
                  </w:pPr>
                  <w:r>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1DCB224F">
                  <w:pPr>
                    <w:pStyle w:val="127"/>
                    <w:snapToGrid w:val="0"/>
                    <w:rPr>
                      <w:rFonts w:ascii="Times New Roman" w:hAnsi="Times New Roman"/>
                      <w:color w:val="000000"/>
                      <w:szCs w:val="18"/>
                    </w:rPr>
                  </w:pPr>
                </w:p>
                <w:p w14:paraId="7CD650D2">
                  <w:pPr>
                    <w:pStyle w:val="127"/>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14:paraId="0748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80" w:type="dxa"/>
                  <w:tcBorders>
                    <w:top w:val="single" w:color="auto" w:sz="4" w:space="0"/>
                    <w:left w:val="single" w:color="auto" w:sz="4" w:space="0"/>
                    <w:bottom w:val="single" w:color="auto" w:sz="4" w:space="0"/>
                    <w:right w:val="single" w:color="auto" w:sz="4" w:space="0"/>
                  </w:tcBorders>
                </w:tcPr>
                <w:p w14:paraId="07A47186">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-5-2a</w:t>
                  </w:r>
                </w:p>
              </w:tc>
              <w:tc>
                <w:tcPr>
                  <w:tcW w:w="1219" w:type="dxa"/>
                  <w:tcBorders>
                    <w:top w:val="single" w:color="auto" w:sz="4" w:space="0"/>
                    <w:left w:val="nil"/>
                    <w:bottom w:val="single" w:color="auto" w:sz="4" w:space="0"/>
                    <w:right w:val="single" w:color="auto" w:sz="4" w:space="0"/>
                  </w:tcBorders>
                </w:tcPr>
                <w:p w14:paraId="66C73783">
                  <w:pPr>
                    <w:adjustRightInd w:val="0"/>
                    <w:rPr>
                      <w:sz w:val="18"/>
                      <w:szCs w:val="18"/>
                    </w:rPr>
                  </w:pPr>
                  <w:r>
                    <w:rPr>
                      <w:sz w:val="18"/>
                      <w:szCs w:val="18"/>
                    </w:rPr>
                    <w:t>Support of positioning SRS with Tx frequency hopping in RRC_INACTIVE</w:t>
                  </w:r>
                  <w:r>
                    <w:rPr>
                      <w:strike/>
                      <w:color w:val="C00000"/>
                      <w:sz w:val="18"/>
                      <w:szCs w:val="18"/>
                    </w:rPr>
                    <w:t xml:space="preserve"> for RedCap UEs</w:t>
                  </w:r>
                </w:p>
              </w:tc>
              <w:tc>
                <w:tcPr>
                  <w:tcW w:w="1665" w:type="dxa"/>
                  <w:tcBorders>
                    <w:top w:val="single" w:color="auto" w:sz="4" w:space="0"/>
                    <w:left w:val="nil"/>
                    <w:bottom w:val="single" w:color="auto" w:sz="4" w:space="0"/>
                    <w:right w:val="single" w:color="auto" w:sz="4" w:space="0"/>
                  </w:tcBorders>
                </w:tcPr>
                <w:p w14:paraId="32C67156">
                  <w:pPr>
                    <w:rPr>
                      <w:sz w:val="18"/>
                      <w:szCs w:val="18"/>
                    </w:rPr>
                  </w:pPr>
                  <w:r>
                    <w:rPr>
                      <w:sz w:val="18"/>
                      <w:szCs w:val="18"/>
                    </w:rPr>
                    <w:t>1. Maximum SRS bandwidth across all hops</w:t>
                  </w:r>
                </w:p>
                <w:p w14:paraId="05F98022">
                  <w:pPr>
                    <w:rPr>
                      <w:sz w:val="18"/>
                      <w:szCs w:val="18"/>
                    </w:rPr>
                  </w:pPr>
                  <w:r>
                    <w:rPr>
                      <w:sz w:val="18"/>
                      <w:szCs w:val="18"/>
                    </w:rPr>
                    <w:t>2. Maximum number of hops</w:t>
                  </w:r>
                </w:p>
                <w:p w14:paraId="09F20AE6">
                  <w:pPr>
                    <w:rPr>
                      <w:sz w:val="18"/>
                      <w:szCs w:val="18"/>
                    </w:rPr>
                  </w:pPr>
                  <w:r>
                    <w:rPr>
                      <w:sz w:val="18"/>
                      <w:szCs w:val="18"/>
                    </w:rPr>
                    <w:t>3. RF Tx retuning time between consecutive hops</w:t>
                  </w:r>
                </w:p>
                <w:p w14:paraId="27001BFD">
                  <w:pPr>
                    <w:rPr>
                      <w:sz w:val="18"/>
                      <w:szCs w:val="18"/>
                    </w:rPr>
                  </w:pPr>
                  <w:r>
                    <w:rPr>
                      <w:sz w:val="18"/>
                      <w:szCs w:val="18"/>
                    </w:rPr>
                    <w:t>4. Switching time between active BWP and frequency hop</w:t>
                  </w:r>
                </w:p>
                <w:p w14:paraId="5BC17BFE">
                  <w:pPr>
                    <w:rPr>
                      <w:sz w:val="18"/>
                      <w:szCs w:val="18"/>
                    </w:rPr>
                  </w:pPr>
                  <w:r>
                    <w:rPr>
                      <w:sz w:val="18"/>
                      <w:szCs w:val="18"/>
                    </w:rPr>
                    <w:t>5. Overlapping PRB(s) between adjacent hops</w:t>
                  </w:r>
                </w:p>
                <w:p w14:paraId="60579567">
                  <w:pPr>
                    <w:rPr>
                      <w:sz w:val="18"/>
                      <w:szCs w:val="18"/>
                    </w:rPr>
                  </w:pPr>
                  <w:r>
                    <w:rPr>
                      <w:sz w:val="18"/>
                      <w:szCs w:val="18"/>
                    </w:rPr>
                    <w:t>6. Support of {0,1,2,4} overlapping PRB(s) between adjacent hops</w:t>
                  </w:r>
                </w:p>
                <w:p w14:paraId="514FA17B">
                  <w:pPr>
                    <w:rPr>
                      <w:sz w:val="18"/>
                      <w:szCs w:val="18"/>
                    </w:rPr>
                  </w:pPr>
                  <w:r>
                    <w:rPr>
                      <w:sz w:val="18"/>
                      <w:szCs w:val="18"/>
                    </w:rPr>
                    <w:t>7. Maximum number of positioning SRS resources with Tx frequency hopping</w:t>
                  </w:r>
                </w:p>
              </w:tc>
              <w:tc>
                <w:tcPr>
                  <w:tcW w:w="601" w:type="dxa"/>
                  <w:tcBorders>
                    <w:top w:val="single" w:color="auto" w:sz="4" w:space="0"/>
                    <w:left w:val="nil"/>
                    <w:bottom w:val="single" w:color="auto" w:sz="4" w:space="0"/>
                    <w:right w:val="single" w:color="auto" w:sz="4" w:space="0"/>
                  </w:tcBorders>
                </w:tcPr>
                <w:p w14:paraId="38A8BD51">
                  <w:pPr>
                    <w:adjustRightInd w:val="0"/>
                    <w:rPr>
                      <w:rFonts w:eastAsia="MS Mincho"/>
                      <w:sz w:val="18"/>
                      <w:szCs w:val="18"/>
                    </w:rPr>
                  </w:pPr>
                  <w:r>
                    <w:rPr>
                      <w:rFonts w:eastAsia="MS Mincho"/>
                      <w:sz w:val="18"/>
                      <w:szCs w:val="18"/>
                    </w:rPr>
                    <w:t>27-15b</w:t>
                  </w:r>
                  <w:r>
                    <w:rPr>
                      <w:rFonts w:eastAsia="等线"/>
                      <w:strike/>
                      <w:color w:val="C00000"/>
                      <w:sz w:val="18"/>
                      <w:szCs w:val="18"/>
                    </w:rPr>
                    <w:t>, one of {28-1, 48-1}</w:t>
                  </w:r>
                  <w:r>
                    <w:rPr>
                      <w:rFonts w:eastAsia="MS Mincho"/>
                      <w:sz w:val="18"/>
                      <w:szCs w:val="18"/>
                    </w:rPr>
                    <w:t xml:space="preserve"> </w:t>
                  </w:r>
                </w:p>
              </w:tc>
              <w:tc>
                <w:tcPr>
                  <w:tcW w:w="508" w:type="dxa"/>
                  <w:tcBorders>
                    <w:top w:val="single" w:color="auto" w:sz="4" w:space="0"/>
                    <w:left w:val="nil"/>
                    <w:bottom w:val="single" w:color="auto" w:sz="4" w:space="0"/>
                    <w:right w:val="single" w:color="auto" w:sz="4" w:space="0"/>
                  </w:tcBorders>
                </w:tcPr>
                <w:p w14:paraId="01BA9886">
                  <w:pPr>
                    <w:adjustRightInd w:val="0"/>
                    <w:rPr>
                      <w:sz w:val="18"/>
                      <w:szCs w:val="18"/>
                    </w:rPr>
                  </w:pPr>
                  <w:r>
                    <w:rPr>
                      <w:sz w:val="18"/>
                      <w:szCs w:val="18"/>
                    </w:rPr>
                    <w:t>Yes</w:t>
                  </w:r>
                </w:p>
              </w:tc>
              <w:tc>
                <w:tcPr>
                  <w:tcW w:w="301" w:type="dxa"/>
                  <w:tcBorders>
                    <w:top w:val="single" w:color="auto" w:sz="4" w:space="0"/>
                    <w:left w:val="nil"/>
                    <w:bottom w:val="single" w:color="auto" w:sz="4" w:space="0"/>
                    <w:right w:val="single" w:color="auto" w:sz="4" w:space="0"/>
                  </w:tcBorders>
                </w:tcPr>
                <w:p w14:paraId="503B8B7E">
                  <w:pPr>
                    <w:adjustRightInd w:val="0"/>
                    <w:rPr>
                      <w:sz w:val="18"/>
                      <w:szCs w:val="18"/>
                    </w:rPr>
                  </w:pPr>
                  <w:r>
                    <w:rPr>
                      <w:sz w:val="18"/>
                      <w:szCs w:val="18"/>
                    </w:rPr>
                    <w:t>n/a</w:t>
                  </w:r>
                </w:p>
              </w:tc>
              <w:tc>
                <w:tcPr>
                  <w:tcW w:w="951" w:type="dxa"/>
                  <w:tcBorders>
                    <w:top w:val="single" w:color="auto" w:sz="4" w:space="0"/>
                    <w:left w:val="nil"/>
                    <w:bottom w:val="single" w:color="auto" w:sz="4" w:space="0"/>
                    <w:right w:val="single" w:color="auto" w:sz="4" w:space="0"/>
                  </w:tcBorders>
                </w:tcPr>
                <w:p w14:paraId="789B9F89">
                  <w:pPr>
                    <w:adjustRightInd w:val="0"/>
                    <w:rPr>
                      <w:sz w:val="18"/>
                      <w:szCs w:val="18"/>
                    </w:rPr>
                  </w:pPr>
                  <w:r>
                    <w:rPr>
                      <w:sz w:val="18"/>
                      <w:szCs w:val="18"/>
                    </w:rPr>
                    <w:t>Positioning SRS with Tx hopping in RRC_INACTIVE is not supported</w:t>
                  </w:r>
                </w:p>
              </w:tc>
              <w:tc>
                <w:tcPr>
                  <w:tcW w:w="486" w:type="dxa"/>
                  <w:tcBorders>
                    <w:top w:val="single" w:color="auto" w:sz="4" w:space="0"/>
                    <w:left w:val="nil"/>
                    <w:bottom w:val="single" w:color="auto" w:sz="4" w:space="0"/>
                    <w:right w:val="single" w:color="auto" w:sz="4" w:space="0"/>
                  </w:tcBorders>
                </w:tcPr>
                <w:p w14:paraId="3487DA42">
                  <w:pPr>
                    <w:adjustRightInd w:val="0"/>
                    <w:rPr>
                      <w:sz w:val="18"/>
                      <w:szCs w:val="18"/>
                    </w:rPr>
                  </w:pPr>
                  <w:r>
                    <w:rPr>
                      <w:sz w:val="18"/>
                      <w:szCs w:val="18"/>
                    </w:rPr>
                    <w:t>Per band</w:t>
                  </w:r>
                </w:p>
              </w:tc>
              <w:tc>
                <w:tcPr>
                  <w:tcW w:w="262" w:type="dxa"/>
                  <w:tcBorders>
                    <w:top w:val="single" w:color="auto" w:sz="4" w:space="0"/>
                    <w:left w:val="nil"/>
                    <w:bottom w:val="single" w:color="auto" w:sz="4" w:space="0"/>
                    <w:right w:val="single" w:color="auto" w:sz="4" w:space="0"/>
                  </w:tcBorders>
                </w:tcPr>
                <w:p w14:paraId="10E31CA0">
                  <w:pPr>
                    <w:adjustRightInd w:val="0"/>
                    <w:rPr>
                      <w:sz w:val="18"/>
                      <w:szCs w:val="18"/>
                    </w:rPr>
                  </w:pPr>
                  <w:r>
                    <w:rPr>
                      <w:sz w:val="18"/>
                      <w:szCs w:val="18"/>
                    </w:rPr>
                    <w:t>n/a</w:t>
                  </w:r>
                </w:p>
              </w:tc>
              <w:tc>
                <w:tcPr>
                  <w:tcW w:w="271" w:type="dxa"/>
                  <w:tcBorders>
                    <w:top w:val="single" w:color="auto" w:sz="4" w:space="0"/>
                    <w:left w:val="nil"/>
                    <w:bottom w:val="single" w:color="auto" w:sz="4" w:space="0"/>
                    <w:right w:val="single" w:color="auto" w:sz="4" w:space="0"/>
                  </w:tcBorders>
                </w:tcPr>
                <w:p w14:paraId="2D9A9AEE">
                  <w:pPr>
                    <w:adjustRightInd w:val="0"/>
                    <w:rPr>
                      <w:sz w:val="18"/>
                      <w:szCs w:val="18"/>
                    </w:rPr>
                  </w:pPr>
                  <w:r>
                    <w:rPr>
                      <w:sz w:val="18"/>
                      <w:szCs w:val="18"/>
                    </w:rPr>
                    <w:t>n/a</w:t>
                  </w:r>
                </w:p>
              </w:tc>
              <w:tc>
                <w:tcPr>
                  <w:tcW w:w="254" w:type="dxa"/>
                  <w:tcBorders>
                    <w:top w:val="single" w:color="auto" w:sz="4" w:space="0"/>
                    <w:left w:val="nil"/>
                    <w:bottom w:val="single" w:color="auto" w:sz="4" w:space="0"/>
                    <w:right w:val="single" w:color="auto" w:sz="4" w:space="0"/>
                  </w:tcBorders>
                </w:tcPr>
                <w:p w14:paraId="1B992A28">
                  <w:pPr>
                    <w:adjustRightInd w:val="0"/>
                    <w:rPr>
                      <w:sz w:val="18"/>
                      <w:szCs w:val="18"/>
                    </w:rPr>
                  </w:pPr>
                  <w:r>
                    <w:rPr>
                      <w:sz w:val="18"/>
                      <w:szCs w:val="18"/>
                    </w:rPr>
                    <w:t>n/a</w:t>
                  </w:r>
                </w:p>
              </w:tc>
              <w:tc>
                <w:tcPr>
                  <w:tcW w:w="2465" w:type="dxa"/>
                  <w:tcBorders>
                    <w:top w:val="single" w:color="auto" w:sz="4" w:space="0"/>
                    <w:left w:val="nil"/>
                    <w:bottom w:val="single" w:color="auto" w:sz="4" w:space="0"/>
                    <w:right w:val="single" w:color="auto" w:sz="4" w:space="0"/>
                  </w:tcBorders>
                </w:tcPr>
                <w:p w14:paraId="750D1BFA">
                  <w:pPr>
                    <w:pStyle w:val="127"/>
                    <w:snapToGrid w:val="0"/>
                    <w:rPr>
                      <w:rFonts w:ascii="Times New Roman" w:hAnsi="Times New Roman"/>
                      <w:szCs w:val="18"/>
                    </w:rPr>
                  </w:pPr>
                  <w:r>
                    <w:rPr>
                      <w:rFonts w:ascii="Times New Roman" w:hAnsi="Times New Roman"/>
                      <w:szCs w:val="18"/>
                    </w:rPr>
                    <w:t>Component 1 candidate values:</w:t>
                  </w:r>
                </w:p>
                <w:p w14:paraId="7564B52E">
                  <w:pPr>
                    <w:pStyle w:val="127"/>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7AF7828C">
                  <w:pPr>
                    <w:pStyle w:val="127"/>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77EABA11">
                  <w:pPr>
                    <w:pStyle w:val="127"/>
                    <w:snapToGrid w:val="0"/>
                    <w:rPr>
                      <w:rFonts w:ascii="Times New Roman" w:hAnsi="Times New Roman"/>
                      <w:szCs w:val="18"/>
                    </w:rPr>
                  </w:pPr>
                </w:p>
                <w:p w14:paraId="7DCAF65F">
                  <w:pPr>
                    <w:pStyle w:val="127"/>
                    <w:snapToGrid w:val="0"/>
                    <w:rPr>
                      <w:rFonts w:ascii="Times New Roman" w:hAnsi="Times New Roman"/>
                      <w:szCs w:val="18"/>
                    </w:rPr>
                  </w:pPr>
                  <w:r>
                    <w:rPr>
                      <w:rFonts w:ascii="Times New Roman" w:hAnsi="Times New Roman"/>
                      <w:szCs w:val="18"/>
                    </w:rPr>
                    <w:t>Component 2 candidate values: {2,3,4,5,6}</w:t>
                  </w:r>
                </w:p>
                <w:p w14:paraId="52A30C88">
                  <w:pPr>
                    <w:pStyle w:val="127"/>
                    <w:snapToGrid w:val="0"/>
                    <w:rPr>
                      <w:rFonts w:ascii="Times New Roman" w:hAnsi="Times New Roman"/>
                      <w:szCs w:val="18"/>
                    </w:rPr>
                  </w:pPr>
                </w:p>
                <w:p w14:paraId="636EBD14">
                  <w:pPr>
                    <w:pStyle w:val="127"/>
                    <w:snapToGrid w:val="0"/>
                    <w:rPr>
                      <w:rFonts w:ascii="Times New Roman" w:hAnsi="Times New Roman"/>
                      <w:szCs w:val="18"/>
                    </w:rPr>
                  </w:pPr>
                  <w:r>
                    <w:rPr>
                      <w:rFonts w:ascii="Times New Roman" w:hAnsi="Times New Roman"/>
                      <w:szCs w:val="18"/>
                    </w:rPr>
                    <w:t>Component 3 candidate values:</w:t>
                  </w:r>
                </w:p>
                <w:p w14:paraId="40FD3969">
                  <w:pPr>
                    <w:pStyle w:val="127"/>
                    <w:snapToGrid w:val="0"/>
                    <w:rPr>
                      <w:rFonts w:ascii="Times New Roman" w:hAnsi="Times New Roman"/>
                      <w:szCs w:val="18"/>
                    </w:rPr>
                  </w:pPr>
                  <w:r>
                    <w:rPr>
                      <w:rFonts w:ascii="Times New Roman" w:hAnsi="Times New Roman"/>
                      <w:szCs w:val="18"/>
                    </w:rPr>
                    <w:t>FR1: {70us, 140us, 210us}</w:t>
                  </w:r>
                </w:p>
                <w:p w14:paraId="18B0B6D8">
                  <w:pPr>
                    <w:pStyle w:val="127"/>
                    <w:snapToGrid w:val="0"/>
                    <w:rPr>
                      <w:rFonts w:ascii="Times New Roman" w:hAnsi="Times New Roman"/>
                      <w:szCs w:val="18"/>
                    </w:rPr>
                  </w:pPr>
                  <w:r>
                    <w:rPr>
                      <w:rFonts w:ascii="Times New Roman" w:hAnsi="Times New Roman"/>
                      <w:szCs w:val="18"/>
                    </w:rPr>
                    <w:t>FR2: {35us, 70us, 140us}</w:t>
                  </w:r>
                </w:p>
                <w:p w14:paraId="59273E37">
                  <w:pPr>
                    <w:pStyle w:val="127"/>
                    <w:snapToGrid w:val="0"/>
                    <w:rPr>
                      <w:rFonts w:ascii="Times New Roman" w:hAnsi="Times New Roman"/>
                      <w:szCs w:val="18"/>
                    </w:rPr>
                  </w:pPr>
                </w:p>
                <w:p w14:paraId="18EDF908">
                  <w:pPr>
                    <w:pStyle w:val="127"/>
                    <w:snapToGrid w:val="0"/>
                    <w:rPr>
                      <w:rFonts w:ascii="Times New Roman" w:hAnsi="Times New Roman"/>
                      <w:szCs w:val="18"/>
                    </w:rPr>
                  </w:pPr>
                  <w:r>
                    <w:rPr>
                      <w:rFonts w:ascii="Times New Roman" w:hAnsi="Times New Roman"/>
                      <w:szCs w:val="18"/>
                    </w:rPr>
                    <w:t>Component 4 candidate values:</w:t>
                  </w:r>
                </w:p>
                <w:p w14:paraId="7590A812">
                  <w:pPr>
                    <w:pStyle w:val="127"/>
                    <w:snapToGrid w:val="0"/>
                    <w:rPr>
                      <w:rFonts w:ascii="Times New Roman" w:hAnsi="Times New Roman"/>
                      <w:szCs w:val="18"/>
                    </w:rPr>
                  </w:pPr>
                  <w:r>
                    <w:rPr>
                      <w:rFonts w:ascii="Times New Roman" w:hAnsi="Times New Roman"/>
                      <w:szCs w:val="18"/>
                    </w:rPr>
                    <w:t>{100us, 140us, 200us, 300us, 500us}</w:t>
                  </w:r>
                </w:p>
                <w:p w14:paraId="605BF1E7">
                  <w:pPr>
                    <w:pStyle w:val="127"/>
                    <w:snapToGrid w:val="0"/>
                    <w:rPr>
                      <w:rFonts w:ascii="Times New Roman" w:hAnsi="Times New Roman"/>
                      <w:szCs w:val="18"/>
                    </w:rPr>
                  </w:pPr>
                </w:p>
                <w:p w14:paraId="0CF60767">
                  <w:pPr>
                    <w:pStyle w:val="127"/>
                    <w:snapToGrid w:val="0"/>
                    <w:rPr>
                      <w:rFonts w:ascii="Times New Roman" w:hAnsi="Times New Roman"/>
                      <w:szCs w:val="18"/>
                      <w:lang w:val="fr-FR"/>
                    </w:rPr>
                  </w:pPr>
                  <w:r>
                    <w:rPr>
                      <w:rFonts w:ascii="Times New Roman" w:hAnsi="Times New Roman"/>
                      <w:szCs w:val="18"/>
                      <w:lang w:val="fr-FR"/>
                    </w:rPr>
                    <w:t>Component 7 candidate values:</w:t>
                  </w:r>
                </w:p>
                <w:p w14:paraId="33777472">
                  <w:pPr>
                    <w:pStyle w:val="127"/>
                    <w:snapToGrid w:val="0"/>
                    <w:rPr>
                      <w:rFonts w:ascii="Times New Roman" w:hAnsi="Times New Roman"/>
                      <w:szCs w:val="18"/>
                      <w:lang w:val="fr-FR"/>
                    </w:rPr>
                  </w:pPr>
                  <w:r>
                    <w:rPr>
                      <w:rFonts w:ascii="Times New Roman" w:hAnsi="Times New Roman"/>
                      <w:szCs w:val="18"/>
                      <w:lang w:val="fr-FR"/>
                    </w:rPr>
                    <w:t>Periodic: {1,2,4,8,16,32,64}</w:t>
                  </w:r>
                </w:p>
                <w:p w14:paraId="01E415EE">
                  <w:pPr>
                    <w:pStyle w:val="127"/>
                    <w:snapToGrid w:val="0"/>
                    <w:rPr>
                      <w:rFonts w:ascii="Times New Roman" w:hAnsi="Times New Roman"/>
                      <w:szCs w:val="18"/>
                      <w:lang w:val="fr-FR"/>
                    </w:rPr>
                  </w:pPr>
                  <w:r>
                    <w:rPr>
                      <w:rFonts w:ascii="Times New Roman" w:hAnsi="Times New Roman"/>
                      <w:szCs w:val="18"/>
                      <w:lang w:val="fr-FR"/>
                    </w:rPr>
                    <w:t>Semi-persistent: {0,1,2,4,8,16,32,64}</w:t>
                  </w:r>
                </w:p>
                <w:p w14:paraId="1C154105">
                  <w:pPr>
                    <w:pStyle w:val="127"/>
                    <w:snapToGrid w:val="0"/>
                    <w:rPr>
                      <w:rFonts w:ascii="Times New Roman" w:hAnsi="Times New Roman"/>
                      <w:bCs/>
                      <w:szCs w:val="18"/>
                      <w:lang w:val="fr-FR"/>
                    </w:rPr>
                  </w:pPr>
                </w:p>
                <w:p w14:paraId="55FF7F56">
                  <w:pPr>
                    <w:pStyle w:val="127"/>
                    <w:snapToGrid w:val="0"/>
                    <w:rPr>
                      <w:rFonts w:ascii="Times New Roman" w:hAnsi="Times New Roman"/>
                      <w:bCs/>
                      <w:szCs w:val="18"/>
                    </w:rPr>
                  </w:pPr>
                  <w:r>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6EF956A7">
                  <w:pPr>
                    <w:pStyle w:val="127"/>
                    <w:snapToGrid w:val="0"/>
                    <w:rPr>
                      <w:rFonts w:ascii="Times New Roman" w:hAnsi="Times New Roman"/>
                      <w:bCs/>
                      <w:szCs w:val="18"/>
                    </w:rPr>
                  </w:pPr>
                </w:p>
                <w:p w14:paraId="36A160FB">
                  <w:pPr>
                    <w:pStyle w:val="127"/>
                    <w:snapToGrid w:val="0"/>
                    <w:rPr>
                      <w:rFonts w:ascii="Times New Roman" w:hAnsi="Times New Roman"/>
                      <w:szCs w:val="18"/>
                    </w:rPr>
                  </w:pPr>
                  <w:r>
                    <w:rPr>
                      <w:rFonts w:ascii="Times New Roman" w:hAnsi="Times New Roman"/>
                      <w:szCs w:val="18"/>
                    </w:rPr>
                    <w:t>Need for location server to know if the feature is supported</w:t>
                  </w:r>
                </w:p>
              </w:tc>
            </w:tr>
          </w:tbl>
          <w:p w14:paraId="37FB5539">
            <w:pPr>
              <w:overflowPunct w:val="0"/>
              <w:autoSpaceDE w:val="0"/>
              <w:autoSpaceDN w:val="0"/>
              <w:adjustRightInd w:val="0"/>
              <w:snapToGrid w:val="0"/>
              <w:spacing w:before="120" w:beforeLines="50" w:after="120" w:afterLines="50"/>
              <w:contextualSpacing/>
              <w:jc w:val="both"/>
              <w:textAlignment w:val="baseline"/>
              <w:rPr>
                <w:i/>
                <w:iCs/>
                <w:sz w:val="18"/>
                <w:szCs w:val="18"/>
              </w:rPr>
            </w:pPr>
          </w:p>
          <w:p w14:paraId="280A21A7">
            <w:pPr>
              <w:overflowPunct w:val="0"/>
              <w:autoSpaceDE w:val="0"/>
              <w:autoSpaceDN w:val="0"/>
              <w:adjustRightInd w:val="0"/>
              <w:snapToGrid w:val="0"/>
              <w:spacing w:before="120" w:beforeLines="50" w:after="120" w:afterLines="50"/>
              <w:contextualSpacing/>
              <w:jc w:val="both"/>
              <w:textAlignment w:val="baseline"/>
              <w:rPr>
                <w:i/>
                <w:iCs/>
                <w:sz w:val="18"/>
                <w:szCs w:val="18"/>
              </w:rPr>
            </w:pPr>
          </w:p>
        </w:tc>
      </w:tr>
    </w:tbl>
    <w:p w14:paraId="22FC2810">
      <w:pPr>
        <w:rPr>
          <w:b/>
        </w:rPr>
      </w:pPr>
    </w:p>
    <w:p w14:paraId="2CDDB750">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14:paraId="791B241E">
      <w:pPr>
        <w:rPr>
          <w:rFonts w:ascii="Arial" w:hAnsi="Arial" w:eastAsia="MS Mincho"/>
          <w:sz w:val="32"/>
          <w:szCs w:val="32"/>
        </w:rPr>
      </w:pPr>
    </w:p>
    <w:p w14:paraId="4BCFE6F6">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2</w:t>
      </w:r>
    </w:p>
    <w:p w14:paraId="30B454A0">
      <w:pPr>
        <w:pStyle w:val="108"/>
        <w:numPr>
          <w:ilvl w:val="0"/>
          <w:numId w:val="20"/>
        </w:numPr>
        <w:ind w:leftChars="0"/>
        <w:jc w:val="both"/>
        <w:rPr>
          <w:b/>
          <w:szCs w:val="24"/>
        </w:rPr>
      </w:pPr>
      <w:r>
        <w:rPr>
          <w:b/>
          <w:szCs w:val="24"/>
        </w:rPr>
        <w:t>Extend Rel-18’s DL and UL frequency hopping for DL-PRS reception and UL SRS for positioning transmission to non-RedCap UEs</w:t>
      </w:r>
      <w:r>
        <w:rPr>
          <w:rFonts w:hint="eastAsia"/>
          <w:b/>
          <w:szCs w:val="24"/>
        </w:rPr>
        <w:t>.</w:t>
      </w:r>
    </w:p>
    <w:p w14:paraId="41DFEA29">
      <w:pPr>
        <w:pStyle w:val="108"/>
        <w:numPr>
          <w:ilvl w:val="1"/>
          <w:numId w:val="20"/>
        </w:numPr>
        <w:ind w:leftChars="0"/>
        <w:jc w:val="both"/>
        <w:rPr>
          <w:b/>
          <w:szCs w:val="24"/>
        </w:rPr>
      </w:pPr>
      <w:r>
        <w:rPr>
          <w:b/>
          <w:szCs w:val="24"/>
        </w:rPr>
        <w:t>At least support the maximum SRS or DL PRS bandwidths across up to three intra-band contiguous carriers or PFLs respectively.</w:t>
      </w:r>
    </w:p>
    <w:p w14:paraId="45B6DAD6">
      <w:pPr>
        <w:rPr>
          <w:b/>
        </w:rPr>
      </w:pPr>
    </w:p>
    <w:p w14:paraId="10404E5C">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t>ZTE Corporation, China Unicom</w:t>
      </w:r>
      <w:r>
        <w:rPr>
          <w:rFonts w:hint="eastAsia"/>
        </w:rPr>
        <w:t>,</w:t>
      </w:r>
      <w:r>
        <w:t xml:space="preserve"> Sanechips, Huawei, HiSilicon</w:t>
      </w:r>
      <w:r>
        <w:rPr>
          <w:rFonts w:eastAsia="MS Mincho" w:cs="Batang"/>
          <w:sz w:val="22"/>
          <w:szCs w:val="22"/>
        </w:rPr>
        <w:t>.</w:t>
      </w:r>
    </w:p>
    <w:p w14:paraId="2AB6CA6D">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4"/>
        <w:gridCol w:w="1121"/>
        <w:gridCol w:w="6823"/>
      </w:tblGrid>
      <w:tr w14:paraId="66F5F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shd w:val="clear" w:color="auto" w:fill="F1F1F1" w:themeFill="background1" w:themeFillShade="F2"/>
          </w:tcPr>
          <w:p w14:paraId="42D3E7F4">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14:paraId="2AF482B9">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823" w:type="dxa"/>
            <w:shd w:val="clear" w:color="auto" w:fill="F1F1F1" w:themeFill="background1" w:themeFillShade="F2"/>
          </w:tcPr>
          <w:p w14:paraId="362CFA3B">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14:paraId="4C8A1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14:paraId="4D57A8C1">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Qualcomm</w:t>
            </w:r>
          </w:p>
        </w:tc>
        <w:tc>
          <w:tcPr>
            <w:tcW w:w="1121" w:type="dxa"/>
          </w:tcPr>
          <w:p w14:paraId="31A19A6F">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Open with comments</w:t>
            </w:r>
          </w:p>
        </w:tc>
        <w:tc>
          <w:tcPr>
            <w:tcW w:w="6823" w:type="dxa"/>
          </w:tcPr>
          <w:p w14:paraId="77509AAE">
            <w:pPr>
              <w:overflowPunct w:val="0"/>
              <w:autoSpaceDE w:val="0"/>
              <w:autoSpaceDN w:val="0"/>
              <w:adjustRightInd w:val="0"/>
              <w:spacing w:after="120" w:afterLines="50"/>
              <w:jc w:val="both"/>
              <w:textAlignment w:val="baseline"/>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14:paraId="2837F3B9">
            <w:pPr>
              <w:overflowPunct w:val="0"/>
              <w:autoSpaceDE w:val="0"/>
              <w:autoSpaceDN w:val="0"/>
              <w:adjustRightInd w:val="0"/>
              <w:spacing w:after="120" w:afterLines="50"/>
              <w:jc w:val="both"/>
              <w:textAlignment w:val="baseline"/>
              <w:rPr>
                <w:sz w:val="22"/>
                <w:lang w:val="en-US"/>
              </w:rPr>
            </w:pPr>
            <w:r>
              <w:rPr>
                <w:sz w:val="22"/>
                <w:lang w:val="en-US"/>
              </w:rPr>
              <w:t>Specifically, we need to discuss at least the following aspects:</w:t>
            </w:r>
          </w:p>
          <w:p w14:paraId="7598B221">
            <w:pPr>
              <w:numPr>
                <w:ilvl w:val="0"/>
                <w:numId w:val="22"/>
              </w:numPr>
              <w:tabs>
                <w:tab w:val="left" w:pos="720"/>
              </w:tabs>
              <w:overflowPunct w:val="0"/>
              <w:autoSpaceDE w:val="0"/>
              <w:autoSpaceDN w:val="0"/>
              <w:adjustRightInd w:val="0"/>
              <w:spacing w:after="120" w:afterLines="50"/>
              <w:jc w:val="both"/>
              <w:textAlignment w:val="baseline"/>
              <w:rPr>
                <w:sz w:val="22"/>
                <w:lang w:val="en-US"/>
              </w:rPr>
            </w:pPr>
            <w:r>
              <w:rPr>
                <w:b/>
                <w:bCs/>
                <w:sz w:val="22"/>
                <w:lang w:val="en-US"/>
              </w:rPr>
              <w:t>UE’s Transmission in Guard Band</w:t>
            </w:r>
            <w:r>
              <w:rPr>
                <w:sz w:val="22"/>
                <w:lang w:val="en-US"/>
              </w:rPr>
              <w:t>: Between contiguous CCs in intraband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017AD132">
            <w:pPr>
              <w:numPr>
                <w:ilvl w:val="0"/>
                <w:numId w:val="22"/>
              </w:numPr>
              <w:overflowPunct w:val="0"/>
              <w:autoSpaceDE w:val="0"/>
              <w:autoSpaceDN w:val="0"/>
              <w:adjustRightInd w:val="0"/>
              <w:spacing w:after="120" w:afterLines="50"/>
              <w:jc w:val="both"/>
              <w:textAlignment w:val="baseline"/>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14:paraId="5C54C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14:paraId="096EAA3E">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vivo</w:t>
            </w:r>
          </w:p>
        </w:tc>
        <w:tc>
          <w:tcPr>
            <w:tcW w:w="1121" w:type="dxa"/>
          </w:tcPr>
          <w:p w14:paraId="18EF5E14">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823" w:type="dxa"/>
          </w:tcPr>
          <w:p w14:paraId="78406DC7">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hint="eastAsia" w:eastAsiaTheme="minorEastAsia"/>
                <w:sz w:val="22"/>
                <w:lang w:val="en-US" w:eastAsia="zh-CN"/>
              </w:rPr>
              <w:t>t exist, why we need to support frequency hopping other than measuring whole bandwidth directly.</w:t>
            </w:r>
          </w:p>
          <w:p w14:paraId="6163ECBC">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For</w:t>
            </w:r>
            <w:r>
              <w:rPr>
                <w:rFonts w:hint="eastAsia" w:eastAsiaTheme="minorEastAsia"/>
                <w:sz w:val="22"/>
                <w:lang w:val="en-US" w:eastAsia="zh-CN"/>
              </w:rPr>
              <w:t xml:space="preserve"> the sub-bullet, even for the Redcap UE which can only support the </w:t>
            </w:r>
            <w:r>
              <w:rPr>
                <w:rFonts w:eastAsiaTheme="minorEastAsia"/>
                <w:sz w:val="22"/>
                <w:lang w:val="en-US" w:eastAsia="zh-CN"/>
              </w:rPr>
              <w:t>frequency hopping</w:t>
            </w:r>
            <w:r>
              <w:rPr>
                <w:rFonts w:hint="eastAsia" w:eastAsiaTheme="minor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hint="eastAsia" w:eastAsiaTheme="minorEastAsia"/>
                <w:sz w:val="22"/>
                <w:lang w:val="en-US" w:eastAsia="zh-CN"/>
              </w:rPr>
              <w:t>.</w:t>
            </w:r>
          </w:p>
        </w:tc>
      </w:tr>
      <w:tr w14:paraId="2B3D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14:paraId="71D45BD2">
            <w:pPr>
              <w:overflowPunct w:val="0"/>
              <w:autoSpaceDE w:val="0"/>
              <w:autoSpaceDN w:val="0"/>
              <w:adjustRightInd w:val="0"/>
              <w:spacing w:after="120" w:afterLines="50"/>
              <w:jc w:val="both"/>
              <w:textAlignment w:val="baseline"/>
              <w:rPr>
                <w:sz w:val="22"/>
              </w:rPr>
            </w:pPr>
            <w:r>
              <w:rPr>
                <w:sz w:val="22"/>
              </w:rPr>
              <w:t>xiaomi</w:t>
            </w:r>
          </w:p>
        </w:tc>
        <w:tc>
          <w:tcPr>
            <w:tcW w:w="1121" w:type="dxa"/>
          </w:tcPr>
          <w:p w14:paraId="3E7DFEEC">
            <w:pPr>
              <w:overflowPunct w:val="0"/>
              <w:autoSpaceDE w:val="0"/>
              <w:autoSpaceDN w:val="0"/>
              <w:adjustRightInd w:val="0"/>
              <w:spacing w:after="120" w:afterLines="50"/>
              <w:jc w:val="both"/>
              <w:textAlignment w:val="baseline"/>
              <w:rPr>
                <w:sz w:val="22"/>
                <w:lang w:val="en-US"/>
              </w:rPr>
            </w:pPr>
          </w:p>
        </w:tc>
        <w:tc>
          <w:tcPr>
            <w:tcW w:w="6823" w:type="dxa"/>
          </w:tcPr>
          <w:p w14:paraId="05D63633">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 xml:space="preserve">hare the similar view with Qualcomm with respect to the guard band. For RedCap SRS frequency hopping, overlapping RBs are introduced for the phase rotation estimation. However, for </w:t>
            </w:r>
            <w:r>
              <w:rPr>
                <w:rFonts w:hint="eastAsia" w:eastAsiaTheme="minor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hint="eastAsia" w:eastAsiaTheme="minorEastAsia"/>
                <w:sz w:val="22"/>
                <w:lang w:val="en-US" w:eastAsia="zh-CN"/>
              </w:rPr>
              <w:t>overlapping</w:t>
            </w:r>
            <w:r>
              <w:rPr>
                <w:rFonts w:eastAsiaTheme="minorEastAsia"/>
                <w:sz w:val="22"/>
                <w:lang w:val="en-US" w:eastAsia="zh-CN"/>
              </w:rPr>
              <w:t xml:space="preserve"> </w:t>
            </w:r>
            <w:r>
              <w:rPr>
                <w:rFonts w:hint="eastAsia" w:eastAsiaTheme="minorEastAsia"/>
                <w:sz w:val="22"/>
                <w:lang w:val="en-US" w:eastAsia="zh-CN"/>
              </w:rPr>
              <w:t>RBs</w:t>
            </w:r>
            <w:r>
              <w:rPr>
                <w:rFonts w:eastAsiaTheme="minorEastAsia"/>
                <w:sz w:val="22"/>
                <w:lang w:val="en-US" w:eastAsia="zh-CN"/>
              </w:rPr>
              <w:t xml:space="preserve"> defined for RedCap UEs can’t cover the guard band if SRS hopping is enabled between different CCs of continuous intra-band CA.</w:t>
            </w:r>
          </w:p>
          <w:p w14:paraId="0989C9BE">
            <w:pPr>
              <w:overflowPunct w:val="0"/>
              <w:autoSpaceDE w:val="0"/>
              <w:autoSpaceDN w:val="0"/>
              <w:adjustRightInd w:val="0"/>
              <w:spacing w:after="120" w:afterLines="50"/>
              <w:jc w:val="both"/>
              <w:textAlignment w:val="baseline"/>
              <w:rPr>
                <w:sz w:val="22"/>
                <w:lang w:val="en-US"/>
              </w:rPr>
            </w:pPr>
          </w:p>
        </w:tc>
      </w:tr>
      <w:tr w14:paraId="200F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14:paraId="51BC0ADD">
            <w:pPr>
              <w:overflowPunct w:val="0"/>
              <w:autoSpaceDE w:val="0"/>
              <w:autoSpaceDN w:val="0"/>
              <w:adjustRightInd w:val="0"/>
              <w:spacing w:after="120" w:afterLines="50"/>
              <w:jc w:val="both"/>
              <w:textAlignment w:val="baseline"/>
              <w:rPr>
                <w:sz w:val="22"/>
              </w:rPr>
            </w:pPr>
            <w:r>
              <w:rPr>
                <w:rFonts w:hint="eastAsia" w:eastAsia="Malgun Gothic"/>
                <w:sz w:val="22"/>
                <w:lang w:val="en-US" w:eastAsia="ko-KR"/>
              </w:rPr>
              <w:t>S</w:t>
            </w:r>
            <w:r>
              <w:rPr>
                <w:rFonts w:eastAsia="Malgun Gothic"/>
                <w:sz w:val="22"/>
                <w:lang w:val="en-US" w:eastAsia="ko-KR"/>
              </w:rPr>
              <w:t>amsung</w:t>
            </w:r>
          </w:p>
        </w:tc>
        <w:tc>
          <w:tcPr>
            <w:tcW w:w="1121" w:type="dxa"/>
          </w:tcPr>
          <w:p w14:paraId="7445D3E7">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823" w:type="dxa"/>
          </w:tcPr>
          <w:p w14:paraId="791F3370">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14:paraId="206D0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14:paraId="5A25BA6F">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宋体"/>
                <w:sz w:val="22"/>
                <w:lang w:val="en-US" w:eastAsia="zh-CN"/>
              </w:rPr>
              <w:t>ZTE</w:t>
            </w:r>
          </w:p>
        </w:tc>
        <w:tc>
          <w:tcPr>
            <w:tcW w:w="1121" w:type="dxa"/>
          </w:tcPr>
          <w:p w14:paraId="30CD098D">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宋体"/>
                <w:sz w:val="22"/>
                <w:lang w:val="en-US" w:eastAsia="zh-CN"/>
              </w:rPr>
              <w:t>Y</w:t>
            </w:r>
          </w:p>
        </w:tc>
        <w:tc>
          <w:tcPr>
            <w:tcW w:w="6823" w:type="dxa"/>
          </w:tcPr>
          <w:p w14:paraId="0F50A74C">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To Qualcomm, thanks for the in principle support. We are ok to clarify that UE does not transmit SRS for positioning on guardband. Regarding the BWP issue, based on current frequency hopping pattern designed and reflected in 38.211, the bottom of BWP + number of hop + hop bandwidth will decide the frequency index of the first hop in time domain. The upper bound of BWP actually does not impact frequency location of the highest hop.</w:t>
            </w:r>
          </w:p>
          <w:p w14:paraId="7CBFD15A">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To vivo, MIMO SRS frequency hopping within 100MHz is also supported  in 5G for power boosting. We think it is also beneficial to extend positioning frequency hopping feature to non-RedCap UE. For frequency hopping across CCs, our initial thinking is try to minimize the spec impact and only introduce UE feature. For example, a CA can be configured to a UE, up to UE capability on whether transmit SRS in multiple CCs simultaneously or in a frequency hopping way.</w:t>
            </w:r>
          </w:p>
          <w:p w14:paraId="41E9F8F3">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For the guardband issue raise by xiaomi, we think from Rx</w:t>
            </w:r>
            <w:r>
              <w:rPr>
                <w:rFonts w:eastAsia="宋体"/>
                <w:sz w:val="22"/>
                <w:lang w:val="en-US" w:eastAsia="zh-CN"/>
              </w:rPr>
              <w:t>’</w:t>
            </w:r>
            <w:r>
              <w:rPr>
                <w:rFonts w:hint="eastAsia" w:eastAsia="宋体"/>
                <w:sz w:val="22"/>
                <w:lang w:val="en-US" w:eastAsia="zh-CN"/>
              </w:rPr>
              <w:t>s perspective, a receiver can use advanced method to estimate the phase jump. Also for Rel-18 frequency hopping, 0 overlap is already supported which means it is possible for a receiver to align SRS receptions without overlap PRB.</w:t>
            </w:r>
          </w:p>
          <w:p w14:paraId="478B906F">
            <w:pPr>
              <w:overflowPunct w:val="0"/>
              <w:autoSpaceDE w:val="0"/>
              <w:autoSpaceDN w:val="0"/>
              <w:adjustRightInd w:val="0"/>
              <w:spacing w:after="120" w:afterLines="50"/>
              <w:jc w:val="both"/>
              <w:textAlignment w:val="baseline"/>
              <w:rPr>
                <w:sz w:val="22"/>
                <w:lang w:val="en-US"/>
              </w:rPr>
            </w:pPr>
            <w:r>
              <w:rPr>
                <w:rFonts w:hint="eastAsia" w:eastAsia="宋体"/>
                <w:sz w:val="22"/>
                <w:lang w:val="en-US" w:eastAsia="zh-CN"/>
              </w:rPr>
              <w:t>To samsung, we target on UEs with no CA capability. The UE may not be able to transmit 300MHz simultaneously, but with frequency hopping across carriers, UE without CA capability can achieve a equivalent larget bandwidth.</w:t>
            </w:r>
          </w:p>
        </w:tc>
      </w:tr>
      <w:tr w14:paraId="305FF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14:paraId="4274CF89">
            <w:pPr>
              <w:overflowPunct w:val="0"/>
              <w:autoSpaceDE w:val="0"/>
              <w:autoSpaceDN w:val="0"/>
              <w:adjustRightInd w:val="0"/>
              <w:spacing w:after="120" w:afterLines="50"/>
              <w:jc w:val="both"/>
              <w:textAlignment w:val="baseline"/>
              <w:rPr>
                <w:rFonts w:hint="eastAsia" w:eastAsia="宋体"/>
                <w:sz w:val="22"/>
                <w:lang w:val="en-US" w:eastAsia="zh-CN"/>
              </w:rPr>
            </w:pPr>
            <w:r>
              <w:rPr>
                <w:sz w:val="22"/>
              </w:rPr>
              <w:t>Nokia</w:t>
            </w:r>
          </w:p>
        </w:tc>
        <w:tc>
          <w:tcPr>
            <w:tcW w:w="1121" w:type="dxa"/>
          </w:tcPr>
          <w:p w14:paraId="001FDC3F">
            <w:pPr>
              <w:overflowPunct w:val="0"/>
              <w:autoSpaceDE w:val="0"/>
              <w:autoSpaceDN w:val="0"/>
              <w:adjustRightInd w:val="0"/>
              <w:spacing w:after="120" w:afterLines="50"/>
              <w:jc w:val="both"/>
              <w:textAlignment w:val="baseline"/>
              <w:rPr>
                <w:rFonts w:hint="eastAsia" w:eastAsia="宋体"/>
                <w:sz w:val="22"/>
                <w:lang w:val="en-US" w:eastAsia="zh-CN"/>
              </w:rPr>
            </w:pPr>
            <w:r>
              <w:rPr>
                <w:sz w:val="22"/>
                <w:lang w:val="en-US"/>
              </w:rPr>
              <w:t xml:space="preserve"> Yes</w:t>
            </w:r>
          </w:p>
        </w:tc>
        <w:tc>
          <w:tcPr>
            <w:tcW w:w="6823" w:type="dxa"/>
          </w:tcPr>
          <w:p w14:paraId="37EDAA39">
            <w:pPr>
              <w:overflowPunct w:val="0"/>
              <w:autoSpaceDE w:val="0"/>
              <w:autoSpaceDN w:val="0"/>
              <w:adjustRightInd w:val="0"/>
              <w:spacing w:after="120" w:afterLines="50"/>
              <w:jc w:val="both"/>
              <w:textAlignment w:val="baseline"/>
              <w:rPr>
                <w:rFonts w:hint="eastAsia" w:eastAsia="宋体"/>
                <w:sz w:val="22"/>
                <w:lang w:val="en-US" w:eastAsia="zh-CN"/>
              </w:rPr>
            </w:pPr>
            <w:r>
              <w:rPr>
                <w:rFonts w:eastAsiaTheme="minorEastAsia"/>
                <w:sz w:val="22"/>
                <w:lang w:val="en-US" w:eastAsia="zh-CN"/>
              </w:rPr>
              <w:t>We are supportive of the idea, although details may need to be further discussed.</w:t>
            </w:r>
          </w:p>
        </w:tc>
      </w:tr>
    </w:tbl>
    <w:p w14:paraId="4171CCB1">
      <w:pPr>
        <w:rPr>
          <w:b/>
          <w:lang w:val="en-US"/>
        </w:rPr>
      </w:pPr>
    </w:p>
    <w:p w14:paraId="25AFA30C">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PUSCH antenna switching</w:t>
      </w:r>
    </w:p>
    <w:p w14:paraId="1E7F8624">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14:paraId="50CA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65672A59">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[2</w:t>
            </w:r>
            <w:r>
              <w:rPr>
                <w:rFonts w:ascii="Arial" w:hAnsi="Arial" w:eastAsia="MS Mincho"/>
                <w:sz w:val="22"/>
                <w:szCs w:val="22"/>
                <w:lang w:val="en-US"/>
              </w:rPr>
              <w:t>]</w:t>
            </w:r>
          </w:p>
        </w:tc>
        <w:tc>
          <w:tcPr>
            <w:tcW w:w="9066" w:type="dxa"/>
          </w:tcPr>
          <w:p w14:paraId="264DB2DC">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Background</w:t>
            </w:r>
          </w:p>
          <w:p w14:paraId="52BF5A83">
            <w:pPr>
              <w:overflowPunct w:val="0"/>
              <w:autoSpaceDE w:val="0"/>
              <w:autoSpaceDN w:val="0"/>
              <w:adjustRightInd w:val="0"/>
              <w:spacing w:after="180"/>
              <w:jc w:val="both"/>
              <w:textAlignment w:val="baseline"/>
              <w:rPr>
                <w:rFonts w:eastAsia="MS Mincho"/>
                <w:sz w:val="18"/>
                <w:szCs w:val="18"/>
              </w:rPr>
            </w:pPr>
            <w:r>
              <w:rPr>
                <w:rFonts w:hint="eastAsia" w:eastAsiaTheme="minor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hint="eastAsia" w:eastAsiaTheme="minorEastAsia"/>
                <w:sz w:val="18"/>
                <w:szCs w:val="18"/>
                <w:lang w:eastAsia="zh-CN"/>
              </w:rPr>
              <w:t xml:space="preserve">SRS </w:t>
            </w:r>
            <w:r>
              <w:rPr>
                <w:rFonts w:eastAsiaTheme="minorEastAsia"/>
                <w:sz w:val="18"/>
                <w:szCs w:val="18"/>
                <w:lang w:eastAsia="zh-CN"/>
              </w:rPr>
              <w:t>resources with usage</w:t>
            </w:r>
            <w:r>
              <w:rPr>
                <w:rFonts w:hint="eastAsia" w:eastAsiaTheme="minorEastAsia"/>
                <w:sz w:val="18"/>
                <w:szCs w:val="18"/>
                <w:lang w:eastAsia="zh-CN"/>
              </w:rPr>
              <w:t xml:space="preserve"> </w:t>
            </w:r>
            <w:r>
              <w:rPr>
                <w:rFonts w:eastAsiaTheme="minorEastAsia"/>
                <w:sz w:val="18"/>
                <w:szCs w:val="18"/>
                <w:lang w:eastAsia="zh-CN"/>
              </w:rPr>
              <w:t xml:space="preserve">for </w:t>
            </w:r>
            <w:r>
              <w:rPr>
                <w:rFonts w:hint="eastAsia" w:eastAsiaTheme="minorEastAsia"/>
                <w:sz w:val="18"/>
                <w:szCs w:val="18"/>
                <w:lang w:eastAsia="zh-CN"/>
              </w:rPr>
              <w:t>codebook and non-codebook are for PUSCH transmission,</w:t>
            </w:r>
            <w:r>
              <w:rPr>
                <w:rFonts w:eastAsiaTheme="minorEastAsia"/>
                <w:sz w:val="18"/>
                <w:szCs w:val="18"/>
                <w:lang w:eastAsia="zh-CN"/>
              </w:rPr>
              <w:t xml:space="preserve"> while </w:t>
            </w:r>
            <w:r>
              <w:rPr>
                <w:rFonts w:hint="eastAsia" w:eastAsiaTheme="minorEastAsia"/>
                <w:sz w:val="18"/>
                <w:szCs w:val="18"/>
                <w:lang w:eastAsia="zh-CN"/>
              </w:rPr>
              <w:t>SRS</w:t>
            </w:r>
            <w:r>
              <w:rPr>
                <w:rFonts w:eastAsiaTheme="minorEastAsia"/>
                <w:sz w:val="18"/>
                <w:szCs w:val="18"/>
                <w:lang w:eastAsia="zh-CN"/>
              </w:rPr>
              <w:t xml:space="preserve"> resources with usage</w:t>
            </w:r>
            <w:r>
              <w:rPr>
                <w:rFonts w:hint="eastAsia" w:eastAsiaTheme="minor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hint="eastAsia" w:eastAsiaTheme="minor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hint="eastAsia" w:eastAsiaTheme="minorEastAsia"/>
                <w:sz w:val="18"/>
                <w:szCs w:val="18"/>
                <w:lang w:eastAsia="zh-CN"/>
              </w:rPr>
              <w:t xml:space="preserve"> etc</w:t>
            </w:r>
            <w:r>
              <w:rPr>
                <w:rFonts w:eastAsiaTheme="minorEastAsia"/>
                <w:sz w:val="18"/>
                <w:szCs w:val="18"/>
                <w:lang w:eastAsia="zh-CN"/>
              </w:rPr>
              <w:t xml:space="preserve">. gNB can </w:t>
            </w:r>
            <w:r>
              <w:rPr>
                <w:rFonts w:hint="eastAsia" w:eastAsiaTheme="minorEastAsia"/>
                <w:sz w:val="18"/>
                <w:szCs w:val="18"/>
                <w:lang w:eastAsia="zh-CN"/>
              </w:rPr>
              <w:t>configure</w:t>
            </w:r>
            <w:r>
              <w:rPr>
                <w:rFonts w:eastAsiaTheme="minorEastAsia"/>
                <w:sz w:val="18"/>
                <w:szCs w:val="18"/>
                <w:lang w:eastAsia="zh-CN"/>
              </w:rPr>
              <w:t xml:space="preserve"> a UE </w:t>
            </w:r>
            <w:r>
              <w:rPr>
                <w:rFonts w:hint="eastAsia" w:eastAsiaTheme="minor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7CC9A434">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Discussion</w:t>
            </w:r>
          </w:p>
          <w:p w14:paraId="6E5AF6C6">
            <w:pPr>
              <w:overflowPunct w:val="0"/>
              <w:autoSpaceDE w:val="0"/>
              <w:autoSpaceDN w:val="0"/>
              <w:adjustRightInd w:val="0"/>
              <w:spacing w:after="180"/>
              <w:jc w:val="both"/>
              <w:textAlignment w:val="baseline"/>
              <w:rPr>
                <w:rFonts w:eastAsiaTheme="minorEastAsia"/>
                <w:sz w:val="18"/>
                <w:szCs w:val="18"/>
              </w:rPr>
            </w:pPr>
            <w:r>
              <w:rPr>
                <w:rFonts w:hint="eastAsia" w:eastAsiaTheme="minor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hint="eastAsia" w:eastAsiaTheme="minor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2A40A214">
            <w:pPr>
              <w:overflowPunct w:val="0"/>
              <w:autoSpaceDE w:val="0"/>
              <w:autoSpaceDN w:val="0"/>
              <w:adjustRightInd w:val="0"/>
              <w:spacing w:after="180"/>
              <w:jc w:val="both"/>
              <w:textAlignment w:val="baseline"/>
              <w:rPr>
                <w:rFonts w:eastAsiaTheme="minorEastAsia"/>
                <w:sz w:val="18"/>
                <w:szCs w:val="18"/>
              </w:rPr>
            </w:pPr>
            <w:r>
              <w:rPr>
                <w:rFonts w:eastAsiaTheme="minorEastAsia"/>
                <w:sz w:val="18"/>
                <w:szCs w:val="18"/>
              </w:rPr>
              <w:t>Figure 2.1 shows evaluation results</w:t>
            </w:r>
            <w:r>
              <w:rPr>
                <w:rFonts w:hint="eastAsia" w:eastAsiaTheme="minorEastAsia"/>
                <w:sz w:val="18"/>
                <w:szCs w:val="18"/>
              </w:rPr>
              <w:t xml:space="preserve">, </w:t>
            </w:r>
            <w:r>
              <w:rPr>
                <w:rFonts w:eastAsiaTheme="minorEastAsia"/>
                <w:sz w:val="18"/>
                <w:szCs w:val="18"/>
              </w:rPr>
              <w:t xml:space="preserve">the UE is equipped with 1Tx chain but 4 antennas, </w:t>
            </w:r>
            <w:r>
              <w:rPr>
                <w:rFonts w:hint="eastAsia" w:eastAsiaTheme="minor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hint="eastAsia" w:eastAsiaTheme="minor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time period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64A5FA62">
            <w:pPr>
              <w:overflowPunct w:val="0"/>
              <w:autoSpaceDE w:val="0"/>
              <w:autoSpaceDN w:val="0"/>
              <w:adjustRightInd w:val="0"/>
              <w:spacing w:after="180"/>
              <w:textAlignment w:val="baseline"/>
              <w:rPr>
                <w:rFonts w:eastAsiaTheme="minorEastAsia"/>
                <w:sz w:val="18"/>
                <w:szCs w:val="18"/>
              </w:rPr>
            </w:pPr>
          </w:p>
          <w:p w14:paraId="0EE6F765">
            <w:pPr>
              <w:overflowPunct w:val="0"/>
              <w:autoSpaceDE w:val="0"/>
              <w:autoSpaceDN w:val="0"/>
              <w:adjustRightInd w:val="0"/>
              <w:spacing w:after="180"/>
              <w:jc w:val="center"/>
              <w:textAlignment w:val="baseline"/>
              <w:rPr>
                <w:rFonts w:eastAsiaTheme="minorEastAsia"/>
                <w:sz w:val="18"/>
                <w:szCs w:val="18"/>
                <w:lang w:eastAsia="zh-CN"/>
              </w:rPr>
            </w:pPr>
            <w:r>
              <w:rPr>
                <w:rFonts w:eastAsiaTheme="minorEastAsia"/>
                <w:sz w:val="18"/>
                <w:szCs w:val="18"/>
                <w:lang w:val="en-US" w:eastAsia="zh-CN"/>
              </w:rPr>
              <w:drawing>
                <wp:inline distT="0" distB="0" distL="0" distR="0">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694C2540">
            <w:pPr>
              <w:overflowPunct w:val="0"/>
              <w:autoSpaceDE w:val="0"/>
              <w:autoSpaceDN w:val="0"/>
              <w:adjustRightInd w:val="0"/>
              <w:spacing w:after="180"/>
              <w:jc w:val="center"/>
              <w:textAlignment w:val="baseline"/>
              <w:rPr>
                <w:rFonts w:eastAsiaTheme="minorEastAsia"/>
                <w:sz w:val="18"/>
                <w:szCs w:val="18"/>
                <w:lang w:eastAsia="zh-CN"/>
              </w:rPr>
            </w:pPr>
            <w:r>
              <w:rPr>
                <w:rFonts w:hint="eastAsia" w:eastAsiaTheme="minorEastAsia"/>
                <w:sz w:val="18"/>
                <w:szCs w:val="18"/>
                <w:lang w:eastAsia="zh-CN"/>
              </w:rPr>
              <w:t>F</w:t>
            </w:r>
            <w:r>
              <w:rPr>
                <w:rFonts w:eastAsiaTheme="minorEastAsia"/>
                <w:sz w:val="18"/>
                <w:szCs w:val="18"/>
                <w:lang w:eastAsia="zh-CN"/>
              </w:rPr>
              <w:t>igure 2.1, impact of PUSCH antenna switching delay on performance</w:t>
            </w:r>
          </w:p>
          <w:p w14:paraId="486BF13E">
            <w:pPr>
              <w:overflowPunct w:val="0"/>
              <w:autoSpaceDE w:val="0"/>
              <w:autoSpaceDN w:val="0"/>
              <w:adjustRightInd w:val="0"/>
              <w:spacing w:after="180"/>
              <w:textAlignment w:val="baseline"/>
              <w:rPr>
                <w:rFonts w:eastAsiaTheme="minorEastAsia"/>
                <w:sz w:val="18"/>
                <w:szCs w:val="18"/>
                <w:lang w:eastAsia="zh-CN"/>
              </w:rPr>
            </w:pPr>
          </w:p>
          <w:p w14:paraId="6B43C1B9">
            <w:pPr>
              <w:overflowPunct w:val="0"/>
              <w:autoSpaceDE w:val="0"/>
              <w:autoSpaceDN w:val="0"/>
              <w:adjustRightInd w:val="0"/>
              <w:spacing w:after="180"/>
              <w:textAlignment w:val="baseline"/>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228D07CD">
            <w:pPr>
              <w:numPr>
                <w:ilvl w:val="0"/>
                <w:numId w:val="23"/>
              </w:numPr>
              <w:overflowPunct w:val="0"/>
              <w:autoSpaceDE w:val="0"/>
              <w:autoSpaceDN w:val="0"/>
              <w:adjustRightInd w:val="0"/>
              <w:spacing w:after="120"/>
              <w:jc w:val="both"/>
              <w:textAlignment w:val="baseline"/>
              <w:rPr>
                <w:rFonts w:eastAsiaTheme="minorEastAsia"/>
                <w:sz w:val="18"/>
                <w:szCs w:val="18"/>
                <w:lang w:eastAsia="zh-CN"/>
              </w:rPr>
            </w:pPr>
            <w:r>
              <w:rPr>
                <w:rFonts w:hint="eastAsia" w:eastAsiaTheme="minorEastAsia"/>
                <w:sz w:val="18"/>
                <w:szCs w:val="18"/>
                <w:lang w:eastAsia="zh-CN"/>
              </w:rPr>
              <w:t>It is beneficial to support spec based PUSCH antenna switching</w:t>
            </w:r>
          </w:p>
          <w:p w14:paraId="658222E4">
            <w:pPr>
              <w:numPr>
                <w:ilvl w:val="0"/>
                <w:numId w:val="23"/>
              </w:numPr>
              <w:overflowPunct w:val="0"/>
              <w:autoSpaceDE w:val="0"/>
              <w:autoSpaceDN w:val="0"/>
              <w:adjustRightInd w:val="0"/>
              <w:spacing w:after="120"/>
              <w:jc w:val="both"/>
              <w:textAlignment w:val="baseline"/>
              <w:rPr>
                <w:rFonts w:eastAsiaTheme="minorEastAsia"/>
                <w:sz w:val="18"/>
                <w:szCs w:val="18"/>
                <w:lang w:eastAsia="zh-CN"/>
              </w:rPr>
            </w:pPr>
            <w:r>
              <w:rPr>
                <w:rFonts w:hint="eastAsia" w:eastAsiaTheme="minor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hint="eastAsia" w:eastAsiaTheme="minorEastAsia"/>
                <w:sz w:val="18"/>
                <w:szCs w:val="18"/>
                <w:lang w:eastAsia="zh-CN"/>
              </w:rPr>
              <w:t xml:space="preserve"> is needed.</w:t>
            </w:r>
          </w:p>
          <w:p w14:paraId="03868CD1">
            <w:pPr>
              <w:overflowPunct w:val="0"/>
              <w:autoSpaceDE w:val="0"/>
              <w:autoSpaceDN w:val="0"/>
              <w:adjustRightInd w:val="0"/>
              <w:spacing w:after="180"/>
              <w:textAlignment w:val="baseline"/>
              <w:rPr>
                <w:rFonts w:eastAsiaTheme="minorEastAsia"/>
                <w:sz w:val="18"/>
                <w:szCs w:val="18"/>
                <w:lang w:eastAsia="zh-CN"/>
              </w:rPr>
            </w:pPr>
          </w:p>
          <w:p w14:paraId="6EC87454">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5AE16B04">
            <w:pPr>
              <w:overflowPunct w:val="0"/>
              <w:autoSpaceDE w:val="0"/>
              <w:autoSpaceDN w:val="0"/>
              <w:adjustRightInd w:val="0"/>
              <w:spacing w:after="180"/>
              <w:jc w:val="both"/>
              <w:textAlignment w:val="baseline"/>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14:paraId="4B36E0BD">
            <w:pPr>
              <w:overflowPunct w:val="0"/>
              <w:autoSpaceDE w:val="0"/>
              <w:autoSpaceDN w:val="0"/>
              <w:adjustRightInd w:val="0"/>
              <w:spacing w:after="180"/>
              <w:textAlignment w:val="baseline"/>
              <w:rPr>
                <w:rFonts w:eastAsiaTheme="minorEastAsia"/>
                <w:sz w:val="18"/>
                <w:szCs w:val="18"/>
                <w:lang w:eastAsia="zh-CN"/>
              </w:rPr>
            </w:pPr>
          </w:p>
          <w:p w14:paraId="745D4854">
            <w:pPr>
              <w:overflowPunct w:val="0"/>
              <w:autoSpaceDE w:val="0"/>
              <w:autoSpaceDN w:val="0"/>
              <w:adjustRightInd w:val="0"/>
              <w:spacing w:after="180"/>
              <w:textAlignment w:val="baseline"/>
              <w:rPr>
                <w:rFonts w:eastAsiaTheme="minorEastAsia"/>
                <w:sz w:val="18"/>
                <w:szCs w:val="18"/>
                <w:lang w:eastAsia="zh-CN"/>
              </w:rPr>
            </w:pPr>
            <w:r>
              <w:rPr>
                <w:rFonts w:hint="eastAsia" w:eastAsiaTheme="minorEastAsia"/>
                <w:sz w:val="18"/>
                <w:szCs w:val="18"/>
                <w:lang w:eastAsia="zh-CN"/>
              </w:rPr>
              <w:t>P</w:t>
            </w:r>
            <w:r>
              <w:rPr>
                <w:rFonts w:eastAsiaTheme="minorEastAsia"/>
                <w:sz w:val="18"/>
                <w:szCs w:val="18"/>
                <w:lang w:eastAsia="zh-CN"/>
              </w:rPr>
              <w:t>roposal:</w:t>
            </w:r>
          </w:p>
          <w:p w14:paraId="49365F11">
            <w:pPr>
              <w:pStyle w:val="108"/>
              <w:widowControl w:val="0"/>
              <w:numPr>
                <w:ilvl w:val="0"/>
                <w:numId w:val="24"/>
              </w:numPr>
              <w:overflowPunct w:val="0"/>
              <w:autoSpaceDE w:val="0"/>
              <w:autoSpaceDN w:val="0"/>
              <w:adjustRightInd w:val="0"/>
              <w:spacing w:after="120"/>
              <w:ind w:leftChars="0"/>
              <w:jc w:val="both"/>
              <w:textAlignment w:val="baseline"/>
              <w:rPr>
                <w:rFonts w:eastAsiaTheme="minorEastAsia"/>
                <w:sz w:val="18"/>
                <w:szCs w:val="18"/>
              </w:rPr>
            </w:pPr>
            <w:r>
              <w:rPr>
                <w:rFonts w:eastAsiaTheme="minorEastAsia"/>
                <w:sz w:val="18"/>
                <w:szCs w:val="18"/>
              </w:rPr>
              <w:t>Support to configure maximum of 4 SRS resources for codebook based transmission</w:t>
            </w:r>
          </w:p>
          <w:p w14:paraId="2FF78C6D">
            <w:pPr>
              <w:pStyle w:val="108"/>
              <w:widowControl w:val="0"/>
              <w:numPr>
                <w:ilvl w:val="0"/>
                <w:numId w:val="24"/>
              </w:numPr>
              <w:overflowPunct w:val="0"/>
              <w:autoSpaceDE w:val="0"/>
              <w:autoSpaceDN w:val="0"/>
              <w:adjustRightInd w:val="0"/>
              <w:spacing w:after="120"/>
              <w:ind w:leftChars="0"/>
              <w:jc w:val="both"/>
              <w:textAlignment w:val="baseline"/>
              <w:rPr>
                <w:rFonts w:eastAsiaTheme="minorEastAsia"/>
                <w:sz w:val="18"/>
                <w:szCs w:val="18"/>
              </w:rPr>
            </w:pPr>
            <w:r>
              <w:rPr>
                <w:rFonts w:eastAsiaTheme="minorEastAsia"/>
                <w:sz w:val="18"/>
                <w:szCs w:val="18"/>
              </w:rPr>
              <w:t>Introduce following new UE capabilities</w:t>
            </w:r>
          </w:p>
          <w:p w14:paraId="41B2A3B7">
            <w:pPr>
              <w:pStyle w:val="108"/>
              <w:widowControl w:val="0"/>
              <w:numPr>
                <w:ilvl w:val="1"/>
                <w:numId w:val="24"/>
              </w:numPr>
              <w:overflowPunct w:val="0"/>
              <w:autoSpaceDE w:val="0"/>
              <w:autoSpaceDN w:val="0"/>
              <w:adjustRightInd w:val="0"/>
              <w:spacing w:after="120"/>
              <w:ind w:leftChars="0"/>
              <w:jc w:val="both"/>
              <w:textAlignment w:val="baseline"/>
              <w:rPr>
                <w:rFonts w:eastAsiaTheme="minorEastAsia"/>
                <w:sz w:val="18"/>
                <w:szCs w:val="18"/>
              </w:rPr>
            </w:pPr>
            <w:r>
              <w:rPr>
                <w:rFonts w:eastAsiaTheme="minorEastAsia"/>
                <w:sz w:val="18"/>
                <w:szCs w:val="18"/>
              </w:rPr>
              <w:t>Support of max 4 SRS resources in a set for codebook based UL transmission</w:t>
            </w:r>
          </w:p>
          <w:p w14:paraId="396926B8">
            <w:pPr>
              <w:widowControl w:val="0"/>
              <w:overflowPunct w:val="0"/>
              <w:autoSpaceDE w:val="0"/>
              <w:autoSpaceDN w:val="0"/>
              <w:adjustRightInd w:val="0"/>
              <w:spacing w:after="120"/>
              <w:ind w:left="420"/>
              <w:jc w:val="both"/>
              <w:textAlignment w:val="baseline"/>
              <w:rPr>
                <w:rFonts w:eastAsia="MS Mincho"/>
                <w:sz w:val="18"/>
                <w:szCs w:val="18"/>
              </w:rPr>
            </w:pPr>
          </w:p>
          <w:p w14:paraId="138030DD">
            <w:pPr>
              <w:overflowPunct w:val="0"/>
              <w:autoSpaceDE w:val="0"/>
              <w:autoSpaceDN w:val="0"/>
              <w:adjustRightInd w:val="0"/>
              <w:spacing w:after="180"/>
              <w:textAlignment w:val="baseline"/>
              <w:rPr>
                <w:rFonts w:eastAsiaTheme="minorEastAsia"/>
                <w:sz w:val="18"/>
                <w:szCs w:val="18"/>
                <w:lang w:eastAsia="zh-CN"/>
              </w:rPr>
            </w:pPr>
            <w:r>
              <w:rPr>
                <w:rFonts w:eastAsiaTheme="minorEastAsia"/>
                <w:sz w:val="18"/>
                <w:szCs w:val="18"/>
                <w:lang w:val="en-US" w:eastAsia="zh-CN"/>
              </w:rPr>
              <mc:AlternateContent>
                <mc:Choice Requires="wps">
                  <w:drawing>
                    <wp:anchor distT="0" distB="0" distL="114300" distR="114300" simplePos="0" relativeHeight="251662336" behindDoc="0" locked="0" layoutInCell="1" allowOverlap="1">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083CE35D">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 xml:space="preserve">38.214 Section 6.1.1.1 </w:t>
                                  </w:r>
                                </w:p>
                                <w:p w14:paraId="0ACACEDE">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w:t>
                                  </w:r>
                                </w:p>
                                <w:p w14:paraId="3EF387C3">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For codebook based transmission, only one SRS resource can be indicated based on the SRI from within the SRS resource set. </w:t>
                                  </w:r>
                                  <w:r>
                                    <w:rPr>
                                      <w:rFonts w:hAnsi="Calibri" w:asciiTheme="minorHAnsi" w:eastAsiaTheme="minorEastAsia" w:cstheme="minorBidi"/>
                                      <w:strike/>
                                      <w:color w:val="FF0000"/>
                                      <w:kern w:val="24"/>
                                      <w:sz w:val="18"/>
                                      <w:szCs w:val="18"/>
                                      <w:lang w:val="en-GB"/>
                                    </w:rPr>
                                    <w:t xml:space="preserve">Except when higher layer parameter </w:t>
                                  </w:r>
                                  <w:r>
                                    <w:rPr>
                                      <w:rFonts w:hAnsi="Calibri" w:asciiTheme="minorHAnsi" w:eastAsiaTheme="minorEastAsia" w:cstheme="minorBidi"/>
                                      <w:i/>
                                      <w:iCs/>
                                      <w:strike/>
                                      <w:color w:val="FF0000"/>
                                      <w:kern w:val="24"/>
                                      <w:sz w:val="18"/>
                                      <w:szCs w:val="18"/>
                                      <w:lang w:val="en-GB"/>
                                    </w:rPr>
                                    <w:t>ul-FullPowerTransmission</w:t>
                                  </w:r>
                                  <w:r>
                                    <w:rPr>
                                      <w:rFonts w:hAnsi="Calibri" w:asciiTheme="minorHAnsi" w:eastAsiaTheme="minorEastAsia" w:cstheme="minorBidi"/>
                                      <w:strike/>
                                      <w:color w:val="FF0000"/>
                                      <w:kern w:val="24"/>
                                      <w:sz w:val="18"/>
                                      <w:szCs w:val="18"/>
                                      <w:lang w:val="en-GB"/>
                                    </w:rPr>
                                    <w:t xml:space="preserve"> is set to 'fullpowerMode2', t</w:t>
                                  </w:r>
                                  <w:r>
                                    <w:rPr>
                                      <w:rFonts w:hAnsi="Calibri" w:asciiTheme="minorHAnsi" w:eastAsiaTheme="minorEastAsia" w:cstheme="minorBidi"/>
                                      <w:color w:val="FF0000"/>
                                      <w:kern w:val="24"/>
                                      <w:sz w:val="18"/>
                                      <w:szCs w:val="18"/>
                                      <w:lang w:val="en-GB"/>
                                    </w:rPr>
                                    <w:t>T</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he maximum number of configured SRS resources </w:t>
                                  </w:r>
                                  <w:r>
                                    <w:rPr>
                                      <w:rFonts w:hAnsi="Calibri" w:asciiTheme="minorHAnsi" w:eastAsiaTheme="minorEastAsia" w:cstheme="minorBidi"/>
                                      <w:color w:val="000000" w:themeColor="text1"/>
                                      <w:kern w:val="24"/>
                                      <w:sz w:val="18"/>
                                      <w:szCs w:val="18"/>
                                      <w14:textFill>
                                        <w14:solidFill>
                                          <w14:schemeClr w14:val="tx1"/>
                                        </w14:solidFill>
                                      </w14:textFill>
                                    </w:rPr>
                                    <w:t xml:space="preserve">for codebook based transmission </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is </w:t>
                                  </w:r>
                                  <w:r>
                                    <w:rPr>
                                      <w:rFonts w:hAnsi="Calibri" w:asciiTheme="minorHAnsi" w:eastAsiaTheme="minorEastAsia" w:cstheme="minorBidi"/>
                                      <w:strike/>
                                      <w:color w:val="FF0000"/>
                                      <w:kern w:val="24"/>
                                      <w:sz w:val="18"/>
                                      <w:szCs w:val="18"/>
                                      <w:lang w:val="en-GB"/>
                                    </w:rPr>
                                    <w:t>2</w:t>
                                  </w:r>
                                  <w:r>
                                    <w:rPr>
                                      <w:rFonts w:hAnsi="Calibri" w:asciiTheme="minorHAnsi" w:eastAsiaTheme="minorEastAsia" w:cstheme="minorBidi"/>
                                      <w:color w:val="FF0000"/>
                                      <w:kern w:val="24"/>
                                      <w:sz w:val="18"/>
                                      <w:szCs w:val="18"/>
                                      <w:lang w:val="en-GB"/>
                                    </w:rPr>
                                    <w:t>4</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 If aperiodic SRS is configured for a UE, the SRS request field in DCI triggers the transmission of aperiodic SRS resources. </w:t>
                                  </w:r>
                                </w:p>
                                <w:p w14:paraId="4B6AC631">
                                  <w:pPr>
                                    <w:pStyle w:val="50"/>
                                    <w:spacing w:before="0" w:beforeAutospacing="0" w:after="0" w:afterAutospacing="0"/>
                                    <w:rPr>
                                      <w:sz w:val="21"/>
                                    </w:rPr>
                                  </w:pPr>
                                  <w:r>
                                    <w:rPr>
                                      <w:rFonts w:hAnsi="Calibri" w:asciiTheme="minorHAnsi" w:eastAsiaTheme="minorEastAsia" w:cstheme="minorBidi"/>
                                      <w:color w:val="000000" w:themeColor="text1"/>
                                      <w:kern w:val="24"/>
                                      <w:sz w:val="21"/>
                                      <w14:textFill>
                                        <w14:solidFill>
                                          <w14:schemeClr w14:val="tx1"/>
                                        </w14:solidFill>
                                      </w14:textFill>
                                    </w:rPr>
                                    <w:t>..</w:t>
                                  </w:r>
                                </w:p>
                              </w:txbxContent>
                            </wps:txbx>
                            <wps:bodyPr wrap="square" rtlCol="0">
                              <a:noAutofit/>
                            </wps:bodyPr>
                          </wps:wsp>
                        </a:graphicData>
                      </a:graphic>
                    </wp:anchor>
                  </w:drawing>
                </mc:Choice>
                <mc:Fallback>
                  <w:pict>
                    <v:shape id="文本框 3" o:spid="_x0000_s1026" o:spt="202" type="#_x0000_t202" style="position:absolute;left:0pt;margin-left:4.6pt;margin-top:1.95pt;height:91.15pt;width:322.2pt;mso-position-horizontal-relative:margin;z-index:251662336;mso-width-relative:page;mso-height-relative:page;" filled="f" stroked="t" coordsize="21600,21600" o:gfxdata="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XygoHUAAAABwEAAA8AAAAA&#10;AAAAAQAgAAAAIgAAAGRycy9kb3ducmV2LnhtbFBLAQIUABQAAAAIAIdO4kAZxvLz3wEAAKcDAAAO&#10;AAAAAAAAAAEAIAAAACMBAABkcnMvZTJvRG9jLnhtbFBLBQYAAAAABgAGAFkBAAB0BQAAAAA=&#10;">
                      <v:fill on="f" focussize="0,0"/>
                      <v:stroke color="#000000 [3213]" joinstyle="round"/>
                      <v:imagedata o:title=""/>
                      <o:lock v:ext="edit" aspectratio="f"/>
                      <v:textbox>
                        <w:txbxContent>
                          <w:p w14:paraId="083CE35D">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 xml:space="preserve">38.214 Section 6.1.1.1 </w:t>
                            </w:r>
                          </w:p>
                          <w:p w14:paraId="0ACACEDE">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w:t>
                            </w:r>
                          </w:p>
                          <w:p w14:paraId="3EF387C3">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For codebook based transmission, only one SRS resource can be indicated based on the SRI from within the SRS resource set. </w:t>
                            </w:r>
                            <w:r>
                              <w:rPr>
                                <w:rFonts w:hAnsi="Calibri" w:asciiTheme="minorHAnsi" w:eastAsiaTheme="minorEastAsia" w:cstheme="minorBidi"/>
                                <w:strike/>
                                <w:color w:val="FF0000"/>
                                <w:kern w:val="24"/>
                                <w:sz w:val="18"/>
                                <w:szCs w:val="18"/>
                                <w:lang w:val="en-GB"/>
                              </w:rPr>
                              <w:t xml:space="preserve">Except when higher layer parameter </w:t>
                            </w:r>
                            <w:r>
                              <w:rPr>
                                <w:rFonts w:hAnsi="Calibri" w:asciiTheme="minorHAnsi" w:eastAsiaTheme="minorEastAsia" w:cstheme="minorBidi"/>
                                <w:i/>
                                <w:iCs/>
                                <w:strike/>
                                <w:color w:val="FF0000"/>
                                <w:kern w:val="24"/>
                                <w:sz w:val="18"/>
                                <w:szCs w:val="18"/>
                                <w:lang w:val="en-GB"/>
                              </w:rPr>
                              <w:t>ul-FullPowerTransmission</w:t>
                            </w:r>
                            <w:r>
                              <w:rPr>
                                <w:rFonts w:hAnsi="Calibri" w:asciiTheme="minorHAnsi" w:eastAsiaTheme="minorEastAsia" w:cstheme="minorBidi"/>
                                <w:strike/>
                                <w:color w:val="FF0000"/>
                                <w:kern w:val="24"/>
                                <w:sz w:val="18"/>
                                <w:szCs w:val="18"/>
                                <w:lang w:val="en-GB"/>
                              </w:rPr>
                              <w:t xml:space="preserve"> is set to 'fullpowerMode2', t</w:t>
                            </w:r>
                            <w:r>
                              <w:rPr>
                                <w:rFonts w:hAnsi="Calibri" w:asciiTheme="minorHAnsi" w:eastAsiaTheme="minorEastAsia" w:cstheme="minorBidi"/>
                                <w:color w:val="FF0000"/>
                                <w:kern w:val="24"/>
                                <w:sz w:val="18"/>
                                <w:szCs w:val="18"/>
                                <w:lang w:val="en-GB"/>
                              </w:rPr>
                              <w:t>T</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he maximum number of configured SRS resources </w:t>
                            </w:r>
                            <w:r>
                              <w:rPr>
                                <w:rFonts w:hAnsi="Calibri" w:asciiTheme="minorHAnsi" w:eastAsiaTheme="minorEastAsia" w:cstheme="minorBidi"/>
                                <w:color w:val="000000" w:themeColor="text1"/>
                                <w:kern w:val="24"/>
                                <w:sz w:val="18"/>
                                <w:szCs w:val="18"/>
                                <w14:textFill>
                                  <w14:solidFill>
                                    <w14:schemeClr w14:val="tx1"/>
                                  </w14:solidFill>
                                </w14:textFill>
                              </w:rPr>
                              <w:t xml:space="preserve">for codebook based transmission </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is </w:t>
                            </w:r>
                            <w:r>
                              <w:rPr>
                                <w:rFonts w:hAnsi="Calibri" w:asciiTheme="minorHAnsi" w:eastAsiaTheme="minorEastAsia" w:cstheme="minorBidi"/>
                                <w:strike/>
                                <w:color w:val="FF0000"/>
                                <w:kern w:val="24"/>
                                <w:sz w:val="18"/>
                                <w:szCs w:val="18"/>
                                <w:lang w:val="en-GB"/>
                              </w:rPr>
                              <w:t>2</w:t>
                            </w:r>
                            <w:r>
                              <w:rPr>
                                <w:rFonts w:hAnsi="Calibri" w:asciiTheme="minorHAnsi" w:eastAsiaTheme="minorEastAsia" w:cstheme="minorBidi"/>
                                <w:color w:val="FF0000"/>
                                <w:kern w:val="24"/>
                                <w:sz w:val="18"/>
                                <w:szCs w:val="18"/>
                                <w:lang w:val="en-GB"/>
                              </w:rPr>
                              <w:t>4</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 If aperiodic SRS is configured for a UE, the SRS request field in DCI triggers the transmission of aperiodic SRS resources. </w:t>
                            </w:r>
                          </w:p>
                          <w:p w14:paraId="4B6AC631">
                            <w:pPr>
                              <w:pStyle w:val="50"/>
                              <w:spacing w:before="0" w:beforeAutospacing="0" w:after="0" w:afterAutospacing="0"/>
                              <w:rPr>
                                <w:sz w:val="21"/>
                              </w:rPr>
                            </w:pPr>
                            <w:r>
                              <w:rPr>
                                <w:rFonts w:hAnsi="Calibri" w:asciiTheme="minorHAnsi" w:eastAsiaTheme="minorEastAsia" w:cstheme="minorBidi"/>
                                <w:color w:val="000000" w:themeColor="text1"/>
                                <w:kern w:val="24"/>
                                <w:sz w:val="21"/>
                                <w14:textFill>
                                  <w14:solidFill>
                                    <w14:schemeClr w14:val="tx1"/>
                                  </w14:solidFill>
                                </w14:textFill>
                              </w:rPr>
                              <w:t>..</w:t>
                            </w:r>
                          </w:p>
                        </w:txbxContent>
                      </v:textbox>
                    </v:shape>
                  </w:pict>
                </mc:Fallback>
              </mc:AlternateContent>
            </w:r>
          </w:p>
          <w:p w14:paraId="6C10E0E5">
            <w:pPr>
              <w:overflowPunct w:val="0"/>
              <w:autoSpaceDE w:val="0"/>
              <w:autoSpaceDN w:val="0"/>
              <w:adjustRightInd w:val="0"/>
              <w:spacing w:after="180"/>
              <w:textAlignment w:val="baseline"/>
              <w:rPr>
                <w:rFonts w:eastAsiaTheme="minorEastAsia"/>
                <w:sz w:val="18"/>
                <w:szCs w:val="18"/>
                <w:lang w:eastAsia="zh-CN"/>
              </w:rPr>
            </w:pPr>
          </w:p>
          <w:p w14:paraId="27301BE5">
            <w:pPr>
              <w:widowControl w:val="0"/>
              <w:overflowPunct w:val="0"/>
              <w:autoSpaceDE w:val="0"/>
              <w:autoSpaceDN w:val="0"/>
              <w:adjustRightInd w:val="0"/>
              <w:spacing w:after="120"/>
              <w:jc w:val="both"/>
              <w:textAlignment w:val="baseline"/>
              <w:rPr>
                <w:rFonts w:eastAsia="MS Mincho"/>
                <w:sz w:val="18"/>
                <w:szCs w:val="18"/>
              </w:rPr>
            </w:pPr>
          </w:p>
          <w:p w14:paraId="2017BDAD">
            <w:pPr>
              <w:widowControl w:val="0"/>
              <w:overflowPunct w:val="0"/>
              <w:autoSpaceDE w:val="0"/>
              <w:autoSpaceDN w:val="0"/>
              <w:adjustRightInd w:val="0"/>
              <w:spacing w:after="120"/>
              <w:jc w:val="both"/>
              <w:textAlignment w:val="baseline"/>
              <w:rPr>
                <w:rFonts w:eastAsia="MS Mincho"/>
                <w:sz w:val="18"/>
                <w:szCs w:val="18"/>
              </w:rPr>
            </w:pPr>
          </w:p>
          <w:p w14:paraId="0A080BAD">
            <w:pPr>
              <w:widowControl w:val="0"/>
              <w:overflowPunct w:val="0"/>
              <w:autoSpaceDE w:val="0"/>
              <w:autoSpaceDN w:val="0"/>
              <w:adjustRightInd w:val="0"/>
              <w:spacing w:after="120"/>
              <w:jc w:val="both"/>
              <w:textAlignment w:val="baseline"/>
              <w:rPr>
                <w:rFonts w:eastAsia="MS Mincho"/>
                <w:sz w:val="18"/>
                <w:szCs w:val="18"/>
              </w:rPr>
            </w:pPr>
          </w:p>
          <w:p w14:paraId="4810D1C8">
            <w:pPr>
              <w:widowControl w:val="0"/>
              <w:overflowPunct w:val="0"/>
              <w:autoSpaceDE w:val="0"/>
              <w:autoSpaceDN w:val="0"/>
              <w:adjustRightInd w:val="0"/>
              <w:spacing w:after="120"/>
              <w:jc w:val="both"/>
              <w:textAlignment w:val="baseline"/>
              <w:rPr>
                <w:rFonts w:eastAsia="MS Mincho"/>
                <w:sz w:val="18"/>
                <w:szCs w:val="18"/>
              </w:rPr>
            </w:pPr>
          </w:p>
        </w:tc>
      </w:tr>
    </w:tbl>
    <w:p w14:paraId="64FBD2EB">
      <w:pPr>
        <w:rPr>
          <w:b/>
        </w:rPr>
      </w:pPr>
    </w:p>
    <w:p w14:paraId="33C62DAA">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14:paraId="035CF4ED">
      <w:pPr>
        <w:rPr>
          <w:rFonts w:ascii="Arial" w:hAnsi="Arial" w:eastAsia="MS Mincho"/>
          <w:sz w:val="32"/>
          <w:szCs w:val="32"/>
        </w:rPr>
      </w:pPr>
    </w:p>
    <w:p w14:paraId="320A8951">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3</w:t>
      </w:r>
    </w:p>
    <w:p w14:paraId="2D55B258">
      <w:pPr>
        <w:pStyle w:val="108"/>
        <w:numPr>
          <w:ilvl w:val="0"/>
          <w:numId w:val="20"/>
        </w:numPr>
        <w:ind w:leftChars="0"/>
        <w:jc w:val="both"/>
        <w:rPr>
          <w:b/>
        </w:rPr>
      </w:pPr>
      <w:r>
        <w:rPr>
          <w:b/>
        </w:rPr>
        <w:t>Support to configure maximum of 4 SRS resources for codebook based transmission</w:t>
      </w:r>
    </w:p>
    <w:p w14:paraId="193AE5D4">
      <w:pPr>
        <w:pStyle w:val="108"/>
        <w:numPr>
          <w:ilvl w:val="0"/>
          <w:numId w:val="20"/>
        </w:numPr>
        <w:ind w:leftChars="0"/>
        <w:jc w:val="both"/>
        <w:rPr>
          <w:b/>
        </w:rPr>
      </w:pPr>
      <w:r>
        <w:rPr>
          <w:b/>
        </w:rPr>
        <w:t>Introduce following new UE capabilities</w:t>
      </w:r>
      <w:r>
        <w:rPr>
          <w:rFonts w:hint="eastAsia"/>
          <w:b/>
        </w:rPr>
        <w:t>.</w:t>
      </w:r>
    </w:p>
    <w:p w14:paraId="266393D4">
      <w:pPr>
        <w:pStyle w:val="108"/>
        <w:numPr>
          <w:ilvl w:val="1"/>
          <w:numId w:val="20"/>
        </w:numPr>
        <w:ind w:leftChars="0"/>
        <w:jc w:val="both"/>
        <w:rPr>
          <w:b/>
        </w:rPr>
      </w:pPr>
      <w:r>
        <w:rPr>
          <w:b/>
        </w:rPr>
        <w:t>Support of max 4 SRS resources in a set for codebook based UL transmission</w:t>
      </w:r>
      <w:r>
        <w:rPr>
          <w:rFonts w:hint="eastAsia"/>
          <w:b/>
        </w:rPr>
        <w:t>.</w:t>
      </w:r>
    </w:p>
    <w:p w14:paraId="4676C512">
      <w:pPr>
        <w:rPr>
          <w:b/>
        </w:rPr>
      </w:pPr>
    </w:p>
    <w:p w14:paraId="4AC8908B">
      <w:pPr>
        <w:rPr>
          <w:rFonts w:eastAsia="MS Mincho" w:cs="Batang"/>
          <w:sz w:val="22"/>
          <w:szCs w:val="22"/>
        </w:rPr>
      </w:pPr>
      <w:r>
        <w:rPr>
          <w:rFonts w:hint="eastAsia" w:eastAsia="MS Mincho" w:cs="Batang"/>
          <w:sz w:val="22"/>
          <w:szCs w:val="22"/>
        </w:rPr>
        <w:t>T</w:t>
      </w:r>
      <w:r>
        <w:rPr>
          <w:rFonts w:eastAsia="MS Mincho" w:cs="Batang"/>
          <w:sz w:val="22"/>
          <w:szCs w:val="22"/>
        </w:rPr>
        <w:t>his proposal is already supported by vivo, CMCC, China Unicom, Deutsche Telekom, Ericsson.</w:t>
      </w:r>
    </w:p>
    <w:p w14:paraId="0014EE19">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0"/>
        <w:gridCol w:w="1121"/>
        <w:gridCol w:w="6827"/>
      </w:tblGrid>
      <w:tr w14:paraId="2436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shd w:val="clear" w:color="auto" w:fill="F1F1F1" w:themeFill="background1" w:themeFillShade="F2"/>
          </w:tcPr>
          <w:p w14:paraId="37824734">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14:paraId="02256010">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827" w:type="dxa"/>
            <w:shd w:val="clear" w:color="auto" w:fill="F1F1F1" w:themeFill="background1" w:themeFillShade="F2"/>
          </w:tcPr>
          <w:p w14:paraId="5D60682C">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14:paraId="6CBC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14:paraId="290A6538">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MS Mincho"/>
                <w:sz w:val="22"/>
                <w:lang w:val="en-US"/>
              </w:rPr>
              <w:t>DOCOMO</w:t>
            </w:r>
          </w:p>
        </w:tc>
        <w:tc>
          <w:tcPr>
            <w:tcW w:w="1121" w:type="dxa"/>
          </w:tcPr>
          <w:p w14:paraId="53C00BDE">
            <w:pPr>
              <w:overflowPunct w:val="0"/>
              <w:autoSpaceDE w:val="0"/>
              <w:autoSpaceDN w:val="0"/>
              <w:adjustRightInd w:val="0"/>
              <w:spacing w:after="120" w:afterLines="50"/>
              <w:jc w:val="both"/>
              <w:textAlignment w:val="baseline"/>
              <w:rPr>
                <w:rFonts w:eastAsia="MS Mincho"/>
                <w:sz w:val="22"/>
                <w:lang w:val="en-US"/>
              </w:rPr>
            </w:pPr>
            <w:r>
              <w:rPr>
                <w:rFonts w:eastAsia="MS Mincho"/>
                <w:sz w:val="22"/>
                <w:lang w:val="en-US"/>
              </w:rPr>
              <w:t>O</w:t>
            </w:r>
            <w:r>
              <w:rPr>
                <w:rFonts w:hint="eastAsia" w:eastAsia="MS Mincho"/>
                <w:sz w:val="22"/>
                <w:lang w:val="en-US"/>
              </w:rPr>
              <w:t>pen, see comment</w:t>
            </w:r>
          </w:p>
        </w:tc>
        <w:tc>
          <w:tcPr>
            <w:tcW w:w="6827" w:type="dxa"/>
          </w:tcPr>
          <w:p w14:paraId="54710358">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12633AB0">
            <w:pPr>
              <w:overflowPunct w:val="0"/>
              <w:autoSpaceDE w:val="0"/>
              <w:autoSpaceDN w:val="0"/>
              <w:adjustRightInd w:val="0"/>
              <w:spacing w:after="120" w:afterLines="50"/>
              <w:jc w:val="both"/>
              <w:textAlignment w:val="baseline"/>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xTyR with x&lt;&lt;y (like 1T4R). For the particular SRS, our understanding is that PCMAX can be quite different for different ports due to a term </w:t>
            </w:r>
            <w:r>
              <w:rPr>
                <w:sz w:val="22"/>
              </w:rPr>
              <w:t>∆T</w:t>
            </w:r>
            <w:r>
              <w:rPr>
                <w:sz w:val="22"/>
                <w:vertAlign w:val="subscript"/>
              </w:rPr>
              <w:t>RxSRS</w:t>
            </w:r>
            <w:r>
              <w:rPr>
                <w:rFonts w:hint="eastAsia"/>
                <w:sz w:val="22"/>
                <w:lang w:val="en-US"/>
              </w:rPr>
              <w:t xml:space="preserve">, according to 38.101, defined as: </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1"/>
            </w:tblGrid>
            <w:tr w14:paraId="103A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5" w:type="dxa"/>
                </w:tcPr>
                <w:p w14:paraId="744A0B3B">
                  <w:pPr>
                    <w:overflowPunct w:val="0"/>
                    <w:autoSpaceDE w:val="0"/>
                    <w:autoSpaceDN w:val="0"/>
                    <w:adjustRightInd w:val="0"/>
                    <w:spacing w:after="180"/>
                    <w:ind w:left="568" w:hanging="284"/>
                    <w:textAlignment w:val="baseline"/>
                    <w:rPr>
                      <w:rFonts w:eastAsia="Times New Roman"/>
                      <w:sz w:val="20"/>
                    </w:rPr>
                  </w:pPr>
                  <w:r>
                    <w:rPr>
                      <w:rFonts w:eastAsia="Times New Roman"/>
                      <w:sz w:val="20"/>
                      <w:lang w:val="en-US"/>
                    </w:rPr>
                    <w:tab/>
                  </w:r>
                  <w:r>
                    <w:rPr>
                      <w:rFonts w:eastAsia="Times New Roman"/>
                      <w:sz w:val="20"/>
                      <w:lang w:val="en-US"/>
                    </w:rPr>
                    <w:t>∆T</w:t>
                  </w:r>
                  <w:r>
                    <w:rPr>
                      <w:rFonts w:eastAsia="Times New Roman"/>
                      <w:sz w:val="20"/>
                      <w:vertAlign w:val="subscript"/>
                      <w:lang w:val="en-US"/>
                    </w:rPr>
                    <w:t>RxSRS</w:t>
                  </w:r>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 xml:space="preserve">SRS-ResourceSet </w:t>
                  </w:r>
                  <w:r>
                    <w:rPr>
                      <w:rFonts w:eastAsia="Times New Roman"/>
                      <w:sz w:val="20"/>
                      <w:lang w:val="en-US"/>
                    </w:rPr>
                    <w:t xml:space="preserve">set as ‘antennaSwitching’ when </w:t>
                  </w:r>
                </w:p>
                <w:p w14:paraId="1013DA8F">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a)</w:t>
                  </w:r>
                  <w:r>
                    <w:rPr>
                      <w:rFonts w:eastAsia="Times New Roman"/>
                      <w:sz w:val="20"/>
                      <w:lang w:val="en-US"/>
                    </w:rPr>
                    <w:tab/>
                  </w:r>
                  <w:r>
                    <w:rPr>
                      <w:rFonts w:eastAsia="Times New Roman"/>
                      <w:sz w:val="20"/>
                      <w:lang w:val="en-US"/>
                    </w:rPr>
                    <w:t xml:space="preserve">UE transmits SRS on the second SRS resource in every configured SRS resource set when the </w:t>
                  </w:r>
                  <w:r>
                    <w:rPr>
                      <w:rFonts w:eastAsia="Times New Roman"/>
                      <w:i/>
                      <w:sz w:val="20"/>
                      <w:lang w:val="en-US"/>
                    </w:rPr>
                    <w:t>SRS-TxSwitch</w:t>
                  </w:r>
                  <w:r>
                    <w:rPr>
                      <w:rFonts w:eastAsia="Times New Roman"/>
                      <w:sz w:val="20"/>
                      <w:lang w:val="en-US"/>
                    </w:rPr>
                    <w:t xml:space="preserve"> capability is indicated as 't1r2' or 't1r1-t1r2' </w:t>
                  </w:r>
                </w:p>
                <w:p w14:paraId="2900467D">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b)</w:t>
                  </w:r>
                  <w:r>
                    <w:rPr>
                      <w:rFonts w:eastAsia="Times New Roman"/>
                      <w:sz w:val="20"/>
                      <w:lang w:val="en-US"/>
                    </w:rPr>
                    <w:tab/>
                  </w:r>
                  <w:r>
                    <w:rPr>
                      <w:rFonts w:eastAsia="Times New Roman"/>
                      <w:sz w:val="20"/>
                      <w:lang w:val="en-US"/>
                    </w:rPr>
                    <w:t xml:space="preserve">UE transmits SRS on the second, third and fourth SRS resources of the total 4 SRS resources from all configured SRS resource set(s) consisting of one SRS port when the </w:t>
                  </w:r>
                  <w:r>
                    <w:rPr>
                      <w:rFonts w:eastAsia="Times New Roman"/>
                      <w:i/>
                      <w:sz w:val="20"/>
                      <w:lang w:val="en-US"/>
                    </w:rPr>
                    <w:t>SRS-TxSwitch</w:t>
                  </w:r>
                  <w:r>
                    <w:rPr>
                      <w:rFonts w:eastAsia="Times New Roman"/>
                      <w:sz w:val="20"/>
                      <w:lang w:val="en-US"/>
                    </w:rPr>
                    <w:t xml:space="preserve"> capability is indicated as 't1r4' or, 't1r4-t2r4' or 't1r1-t1r2-t1r4' or, 't1r1-t1r2-t2r2-t1r4-t2r4' </w:t>
                  </w:r>
                </w:p>
                <w:p w14:paraId="04582831">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c)</w:t>
                  </w:r>
                  <w:r>
                    <w:rPr>
                      <w:rFonts w:eastAsia="Times New Roman"/>
                      <w:sz w:val="20"/>
                      <w:lang w:val="en-US"/>
                    </w:rPr>
                    <w:tab/>
                  </w:r>
                  <w:r>
                    <w:rPr>
                      <w:rFonts w:eastAsia="Times New Roman"/>
                      <w:sz w:val="20"/>
                      <w:lang w:val="en-US"/>
                    </w:rPr>
                    <w:t xml:space="preserve">UE transmits SRS from the SRS port pair on the second SRS resource in every configured SRS resource set consisting of two SRS ports when the </w:t>
                  </w:r>
                  <w:r>
                    <w:rPr>
                      <w:rFonts w:eastAsia="Times New Roman"/>
                      <w:i/>
                      <w:sz w:val="20"/>
                      <w:lang w:val="en-US"/>
                    </w:rPr>
                    <w:t xml:space="preserve">SRS-TxSwitch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14:paraId="4510D9F9">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d)</w:t>
                  </w:r>
                  <w:r>
                    <w:rPr>
                      <w:rFonts w:eastAsia="Times New Roman"/>
                      <w:sz w:val="20"/>
                      <w:lang w:val="en-US"/>
                    </w:rPr>
                    <w:tab/>
                  </w:r>
                  <w:r>
                    <w:rPr>
                      <w:rFonts w:eastAsia="Times New Roman"/>
                      <w:sz w:val="20"/>
                      <w:lang w:val="en-US"/>
                    </w:rPr>
                    <w:t>UE transmits SRS to a DL-only carrier</w:t>
                  </w:r>
                </w:p>
                <w:p w14:paraId="132AA3EF">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e)</w:t>
                  </w:r>
                  <w:r>
                    <w:rPr>
                      <w:rFonts w:eastAsia="Times New Roman"/>
                      <w:sz w:val="20"/>
                      <w:lang w:val="en-US"/>
                    </w:rPr>
                    <w:tab/>
                  </w:r>
                  <w:r>
                    <w:rPr>
                      <w:rFonts w:eastAsia="Times New Roman"/>
                      <w:sz w:val="20"/>
                      <w:lang w:val="en-US"/>
                    </w:rPr>
                    <w:t xml:space="preserve">UE transmits SRS on the second, third, fourth, fifth, sixth, senventh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3D688AB4">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 xml:space="preserve">f) </w:t>
                  </w:r>
                  <w:r>
                    <w:rPr>
                      <w:rFonts w:eastAsia="Times New Roman"/>
                      <w:sz w:val="20"/>
                      <w:lang w:val="en-US"/>
                    </w:rPr>
                    <w:tab/>
                  </w:r>
                  <w:r>
                    <w:rPr>
                      <w:rFonts w:eastAsia="Times New Roman"/>
                      <w:sz w:val="20"/>
                      <w:lang w:val="en-US"/>
                    </w:rPr>
                    <w:t>UE transmits SRS from the SRS port pair on the second, third and fourth SRS resource in every configured SRS resource set consisting of two SRS ports when the SRS-TxSwitch capability is indicated as ' t2r8' or ' t1r8-t2r8'.</w:t>
                  </w:r>
                </w:p>
                <w:p w14:paraId="2F45E0E7">
                  <w:pPr>
                    <w:overflowPunct w:val="0"/>
                    <w:autoSpaceDE w:val="0"/>
                    <w:autoSpaceDN w:val="0"/>
                    <w:adjustRightInd w:val="0"/>
                    <w:spacing w:after="180"/>
                    <w:ind w:left="568" w:hanging="284"/>
                    <w:textAlignment w:val="baseline"/>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14:paraId="10279D98">
                  <w:pPr>
                    <w:overflowPunct w:val="0"/>
                    <w:autoSpaceDE w:val="0"/>
                    <w:autoSpaceDN w:val="0"/>
                    <w:adjustRightInd w:val="0"/>
                    <w:spacing w:after="180"/>
                    <w:ind w:left="851" w:hanging="284"/>
                    <w:textAlignment w:val="baseline"/>
                    <w:rPr>
                      <w:rFonts w:eastAsia="Times New Roman"/>
                      <w:sz w:val="20"/>
                    </w:rPr>
                  </w:pPr>
                  <w:r>
                    <w:rPr>
                      <w:rFonts w:eastAsia="Times New Roman"/>
                      <w:sz w:val="20"/>
                      <w:lang w:val="en-US"/>
                    </w:rPr>
                    <w:t>-</w:t>
                  </w:r>
                  <w:r>
                    <w:rPr>
                      <w:rFonts w:eastAsia="Times New Roman"/>
                      <w:sz w:val="20"/>
                      <w:lang w:val="en-US"/>
                    </w:rPr>
                    <w:tab/>
                  </w:r>
                  <w:r>
                    <w:rPr>
                      <w:rFonts w:eastAsia="Times New Roman"/>
                      <w:sz w:val="20"/>
                      <w:lang w:val="en-US"/>
                    </w:rPr>
                    <w:t>The value of ∆T</w:t>
                  </w:r>
                  <w:r>
                    <w:rPr>
                      <w:rFonts w:eastAsia="Times New Roman"/>
                      <w:sz w:val="20"/>
                      <w:vertAlign w:val="subscript"/>
                      <w:lang w:val="en-US"/>
                    </w:rPr>
                    <w:t>RxSRS</w:t>
                  </w:r>
                  <w:r>
                    <w:rPr>
                      <w:rFonts w:eastAsia="Times New Roman"/>
                      <w:sz w:val="20"/>
                      <w:lang w:val="en-US"/>
                    </w:rPr>
                    <w:t xml:space="preserve"> is 4.5dB for bands whose F</w:t>
                  </w:r>
                  <w:r>
                    <w:rPr>
                      <w:rFonts w:eastAsia="Times New Roman"/>
                      <w:sz w:val="20"/>
                      <w:vertAlign w:val="subscript"/>
                      <w:lang w:val="en-US"/>
                    </w:rPr>
                    <w:t xml:space="preserve">UL_high </w:t>
                  </w:r>
                  <w:r>
                    <w:rPr>
                      <w:rFonts w:eastAsia="Times New Roman"/>
                      <w:sz w:val="20"/>
                      <w:lang w:val="en-US"/>
                    </w:rPr>
                    <w:t>is higher than the F</w:t>
                  </w:r>
                  <w:r>
                    <w:rPr>
                      <w:rFonts w:eastAsia="Times New Roman"/>
                      <w:sz w:val="20"/>
                      <w:vertAlign w:val="subscript"/>
                      <w:lang w:val="en-US"/>
                    </w:rPr>
                    <w:t xml:space="preserve">UL_low </w:t>
                  </w:r>
                  <w:r>
                    <w:rPr>
                      <w:rFonts w:eastAsia="Times New Roman"/>
                      <w:sz w:val="20"/>
                      <w:lang w:val="en-US"/>
                    </w:rPr>
                    <w:t>of n79 and 3 dB for bands whose F</w:t>
                  </w:r>
                  <w:r>
                    <w:rPr>
                      <w:rFonts w:eastAsia="Times New Roman"/>
                      <w:sz w:val="20"/>
                      <w:vertAlign w:val="subscript"/>
                      <w:lang w:val="en-US"/>
                    </w:rPr>
                    <w:t>UL_high</w:t>
                  </w:r>
                  <w:r>
                    <w:rPr>
                      <w:rFonts w:eastAsia="Times New Roman"/>
                      <w:sz w:val="20"/>
                      <w:lang w:val="en-US"/>
                    </w:rPr>
                    <w:t xml:space="preserve"> is lower than the F</w:t>
                  </w:r>
                  <w:r>
                    <w:rPr>
                      <w:rFonts w:eastAsia="Times New Roman"/>
                      <w:sz w:val="20"/>
                      <w:vertAlign w:val="subscript"/>
                      <w:lang w:val="en-US"/>
                    </w:rPr>
                    <w:t xml:space="preserve">UL_low </w:t>
                  </w:r>
                  <w:r>
                    <w:rPr>
                      <w:rFonts w:eastAsia="Times New Roman"/>
                      <w:sz w:val="20"/>
                      <w:lang w:val="en-US"/>
                    </w:rPr>
                    <w:t>of n79 when the device is capable of power class 3 or power class 5 or power class 1.5 in the band, or when the device is capable of power class 2 in the band and ΔP</w:t>
                  </w:r>
                  <w:r>
                    <w:rPr>
                      <w:rFonts w:eastAsia="Times New Roman"/>
                      <w:sz w:val="20"/>
                      <w:vertAlign w:val="subscript"/>
                      <w:lang w:val="en-US"/>
                    </w:rPr>
                    <w:t>PowerClass</w:t>
                  </w:r>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0B729FAF">
                  <w:pPr>
                    <w:overflowPunct w:val="0"/>
                    <w:autoSpaceDE w:val="0"/>
                    <w:autoSpaceDN w:val="0"/>
                    <w:adjustRightInd w:val="0"/>
                    <w:spacing w:after="180"/>
                    <w:ind w:left="851" w:hanging="284"/>
                    <w:textAlignment w:val="baseline"/>
                    <w:rPr>
                      <w:rFonts w:eastAsia="MS Mincho"/>
                      <w:sz w:val="20"/>
                      <w:lang w:val="en-US"/>
                    </w:rPr>
                  </w:pPr>
                  <w:r>
                    <w:rPr>
                      <w:rFonts w:eastAsia="Times New Roman"/>
                      <w:sz w:val="20"/>
                      <w:lang w:val="en-US"/>
                    </w:rPr>
                    <w:t>-</w:t>
                  </w:r>
                  <w:r>
                    <w:rPr>
                      <w:rFonts w:eastAsia="Times New Roman"/>
                      <w:sz w:val="20"/>
                      <w:lang w:val="en-US"/>
                    </w:rPr>
                    <w:tab/>
                  </w:r>
                  <w:r>
                    <w:rPr>
                      <w:rFonts w:eastAsia="Times New Roman"/>
                      <w:sz w:val="20"/>
                      <w:lang w:val="en-US"/>
                    </w:rPr>
                    <w:t>The value of ∆T</w:t>
                  </w:r>
                  <w:r>
                    <w:rPr>
                      <w:rFonts w:eastAsia="Times New Roman"/>
                      <w:sz w:val="20"/>
                      <w:vertAlign w:val="subscript"/>
                      <w:lang w:val="en-US"/>
                    </w:rPr>
                    <w:t>RxSRS</w:t>
                  </w:r>
                  <w:r>
                    <w:rPr>
                      <w:rFonts w:eastAsia="Times New Roman"/>
                      <w:sz w:val="20"/>
                      <w:lang w:val="en-US"/>
                    </w:rPr>
                    <w:t xml:space="preserve"> is 7.5dB for bands whose F</w:t>
                  </w:r>
                  <w:r>
                    <w:rPr>
                      <w:rFonts w:eastAsia="Times New Roman"/>
                      <w:sz w:val="20"/>
                      <w:vertAlign w:val="subscript"/>
                      <w:lang w:val="en-US"/>
                    </w:rPr>
                    <w:t xml:space="preserve">UL_high </w:t>
                  </w:r>
                  <w:r>
                    <w:rPr>
                      <w:rFonts w:eastAsia="Times New Roman"/>
                      <w:sz w:val="20"/>
                      <w:lang w:val="en-US"/>
                    </w:rPr>
                    <w:t>is higher than the F</w:t>
                  </w:r>
                  <w:r>
                    <w:rPr>
                      <w:rFonts w:eastAsia="Times New Roman"/>
                      <w:sz w:val="20"/>
                      <w:vertAlign w:val="subscript"/>
                      <w:lang w:val="en-US"/>
                    </w:rPr>
                    <w:t xml:space="preserve">UL_low </w:t>
                  </w:r>
                  <w:r>
                    <w:rPr>
                      <w:rFonts w:eastAsia="Times New Roman"/>
                      <w:sz w:val="20"/>
                      <w:lang w:val="en-US"/>
                    </w:rPr>
                    <w:t>of n79 and 6 dB for bands whose F</w:t>
                  </w:r>
                  <w:r>
                    <w:rPr>
                      <w:rFonts w:eastAsia="Times New Roman"/>
                      <w:sz w:val="20"/>
                      <w:vertAlign w:val="subscript"/>
                      <w:lang w:val="en-US"/>
                    </w:rPr>
                    <w:t>UL_high</w:t>
                  </w:r>
                  <w:r>
                    <w:rPr>
                      <w:rFonts w:eastAsia="Times New Roman"/>
                      <w:sz w:val="20"/>
                      <w:lang w:val="en-US"/>
                    </w:rPr>
                    <w:t xml:space="preserve"> is lower than the F</w:t>
                  </w:r>
                  <w:r>
                    <w:rPr>
                      <w:rFonts w:eastAsia="Times New Roman"/>
                      <w:sz w:val="20"/>
                      <w:vertAlign w:val="subscript"/>
                      <w:lang w:val="en-US"/>
                    </w:rPr>
                    <w:t xml:space="preserve">UL_low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configured SRS resources consisting of one SRS port when the device is capable of power class 2 in the band and ΔP</w:t>
                  </w:r>
                  <w:r>
                    <w:rPr>
                      <w:rFonts w:eastAsia="Times New Roman"/>
                      <w:sz w:val="20"/>
                      <w:vertAlign w:val="subscript"/>
                      <w:lang w:val="en-US"/>
                    </w:rPr>
                    <w:t>PowerClass</w:t>
                  </w:r>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44129DE6">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According to above, for non-first SRS resource, we understand SRS Tx power will be decreased by 3 to 7.5 dB. </w:t>
            </w:r>
          </w:p>
          <w:p w14:paraId="3E1B596F">
            <w:pPr>
              <w:overflowPunct w:val="0"/>
              <w:autoSpaceDE w:val="0"/>
              <w:autoSpaceDN w:val="0"/>
              <w:adjustRightInd w:val="0"/>
              <w:spacing w:after="120" w:afterLines="50"/>
              <w:jc w:val="both"/>
              <w:textAlignment w:val="baseline"/>
              <w:rPr>
                <w:sz w:val="22"/>
                <w:lang w:val="en-US"/>
              </w:rPr>
            </w:pPr>
            <w:r>
              <w:rPr>
                <w:sz w:val="22"/>
                <w:lang w:val="en-US"/>
              </w:rPr>
              <w:t>A</w:t>
            </w:r>
            <w:r>
              <w:rPr>
                <w:rFonts w:hint="eastAsia"/>
                <w:sz w:val="22"/>
                <w:lang w:val="en-US"/>
              </w:rPr>
              <w:t>nd the above just impacts on P</w:t>
            </w:r>
            <w:r>
              <w:rPr>
                <w:rFonts w:hint="eastAsia"/>
                <w:sz w:val="22"/>
                <w:vertAlign w:val="subscript"/>
                <w:lang w:val="en-US"/>
              </w:rPr>
              <w:t>CMAX_L,f,c</w:t>
            </w:r>
            <w:r>
              <w:rPr>
                <w:rFonts w:hint="eastAsia"/>
                <w:sz w:val="22"/>
                <w:lang w:val="en-US"/>
              </w:rPr>
              <w:t xml:space="preserve"> </w:t>
            </w:r>
            <w:r>
              <w:rPr>
                <w:sz w:val="22"/>
                <w:lang w:val="en-US"/>
              </w:rPr>
              <w:t>–</w:t>
            </w:r>
            <w:r>
              <w:rPr>
                <w:rFonts w:hint="eastAsia"/>
                <w:sz w:val="22"/>
                <w:lang w:val="en-US"/>
              </w:rPr>
              <w:t xml:space="preserve"> which is the lower bound of P</w:t>
            </w:r>
            <w:r>
              <w:rPr>
                <w:rFonts w:hint="eastAsia"/>
                <w:sz w:val="22"/>
                <w:vertAlign w:val="subscript"/>
                <w:lang w:val="en-US"/>
              </w:rPr>
              <w:t>CMAX,f,c</w:t>
            </w:r>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as long as it satisfies the range limit. </w:t>
            </w:r>
          </w:p>
          <w:p w14:paraId="076BB14F">
            <w:pPr>
              <w:overflowPunct w:val="0"/>
              <w:autoSpaceDE w:val="0"/>
              <w:autoSpaceDN w:val="0"/>
              <w:adjustRightInd w:val="0"/>
              <w:spacing w:after="120" w:afterLines="50"/>
              <w:jc w:val="both"/>
              <w:textAlignment w:val="baseline"/>
              <w:rPr>
                <w:sz w:val="22"/>
                <w:lang w:val="en-US"/>
              </w:rPr>
            </w:pPr>
            <w:r>
              <w:rPr>
                <w:sz w:val="22"/>
                <w:lang w:val="en-US"/>
              </w:rPr>
              <w:t>I</w:t>
            </w:r>
            <w:r>
              <w:rPr>
                <w:rFonts w:hint="eastAsia"/>
                <w:sz w:val="22"/>
                <w:lang w:val="en-US"/>
              </w:rPr>
              <w:t xml:space="preserve">n that case, is it really possible for NW, by just measuring/comparing SRS power per port, to recognize which port is better for PUSCH transmission (whose power seems not to be impacted by the above specification)? </w:t>
            </w:r>
          </w:p>
          <w:p w14:paraId="1F0D0AA5">
            <w:pPr>
              <w:overflowPunct w:val="0"/>
              <w:autoSpaceDE w:val="0"/>
              <w:autoSpaceDN w:val="0"/>
              <w:adjustRightInd w:val="0"/>
              <w:spacing w:after="120" w:afterLines="50"/>
              <w:jc w:val="both"/>
              <w:textAlignment w:val="baseline"/>
              <w:rPr>
                <w:sz w:val="22"/>
                <w:lang w:val="en-US"/>
              </w:rPr>
            </w:pPr>
          </w:p>
        </w:tc>
      </w:tr>
      <w:tr w14:paraId="7FA4D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14:paraId="40350CA9">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ZTE</w:t>
            </w:r>
          </w:p>
        </w:tc>
        <w:tc>
          <w:tcPr>
            <w:tcW w:w="1121" w:type="dxa"/>
          </w:tcPr>
          <w:p w14:paraId="088C039F">
            <w:pPr>
              <w:overflowPunct w:val="0"/>
              <w:autoSpaceDE w:val="0"/>
              <w:autoSpaceDN w:val="0"/>
              <w:adjustRightInd w:val="0"/>
              <w:spacing w:after="120" w:afterLines="50"/>
              <w:jc w:val="both"/>
              <w:textAlignment w:val="baseline"/>
              <w:rPr>
                <w:rFonts w:eastAsiaTheme="minorEastAsia"/>
                <w:sz w:val="22"/>
                <w:lang w:val="en-US" w:eastAsia="zh-CN"/>
              </w:rPr>
            </w:pPr>
          </w:p>
        </w:tc>
        <w:tc>
          <w:tcPr>
            <w:tcW w:w="6827" w:type="dxa"/>
          </w:tcPr>
          <w:p w14:paraId="649768FA">
            <w:pPr>
              <w:overflowPunct w:val="0"/>
              <w:autoSpaceDE w:val="0"/>
              <w:autoSpaceDN w:val="0"/>
              <w:adjustRightInd w:val="0"/>
              <w:spacing w:after="120" w:afterLines="50"/>
              <w:jc w:val="both"/>
              <w:textAlignment w:val="baseline"/>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1789D879">
            <w:pPr>
              <w:pStyle w:val="108"/>
              <w:numPr>
                <w:ilvl w:val="0"/>
                <w:numId w:val="25"/>
              </w:numPr>
              <w:overflowPunct w:val="0"/>
              <w:autoSpaceDE w:val="0"/>
              <w:autoSpaceDN w:val="0"/>
              <w:adjustRightInd w:val="0"/>
              <w:spacing w:after="120" w:afterLines="50"/>
              <w:ind w:leftChars="0"/>
              <w:jc w:val="both"/>
              <w:textAlignment w:val="baseline"/>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362CDECA">
            <w:pPr>
              <w:pStyle w:val="108"/>
              <w:numPr>
                <w:ilvl w:val="0"/>
                <w:numId w:val="25"/>
              </w:numPr>
              <w:overflowPunct w:val="0"/>
              <w:autoSpaceDE w:val="0"/>
              <w:autoSpaceDN w:val="0"/>
              <w:adjustRightInd w:val="0"/>
              <w:spacing w:after="120" w:afterLines="50"/>
              <w:ind w:leftChars="0"/>
              <w:jc w:val="both"/>
              <w:textAlignment w:val="baseline"/>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31D40546">
            <w:pPr>
              <w:pStyle w:val="108"/>
              <w:numPr>
                <w:ilvl w:val="0"/>
                <w:numId w:val="25"/>
              </w:numPr>
              <w:overflowPunct w:val="0"/>
              <w:autoSpaceDE w:val="0"/>
              <w:autoSpaceDN w:val="0"/>
              <w:adjustRightInd w:val="0"/>
              <w:spacing w:after="120" w:afterLines="50"/>
              <w:ind w:leftChars="0"/>
              <w:jc w:val="both"/>
              <w:textAlignment w:val="baseline"/>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14:paraId="1A17E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14:paraId="1C62F430">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Spreadtrum</w:t>
            </w:r>
          </w:p>
        </w:tc>
        <w:tc>
          <w:tcPr>
            <w:tcW w:w="1121" w:type="dxa"/>
          </w:tcPr>
          <w:p w14:paraId="743A7F23">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See comments</w:t>
            </w:r>
          </w:p>
        </w:tc>
        <w:tc>
          <w:tcPr>
            <w:tcW w:w="6827" w:type="dxa"/>
          </w:tcPr>
          <w:p w14:paraId="799B1EB4">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Even though we agree that antenna switching is beneficial when part of the antennas are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14:paraId="1F21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14:paraId="6628C61A">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QC</w:t>
            </w:r>
          </w:p>
        </w:tc>
        <w:tc>
          <w:tcPr>
            <w:tcW w:w="1121" w:type="dxa"/>
          </w:tcPr>
          <w:p w14:paraId="2C1CFEF1">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w:t>
            </w:r>
          </w:p>
        </w:tc>
        <w:tc>
          <w:tcPr>
            <w:tcW w:w="6827" w:type="dxa"/>
          </w:tcPr>
          <w:p w14:paraId="6117F542">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etc,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14:paraId="07E5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14:paraId="21E8B150">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121" w:type="dxa"/>
          </w:tcPr>
          <w:p w14:paraId="4536F2F3">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Y</w:t>
            </w:r>
            <w:r>
              <w:rPr>
                <w:rFonts w:eastAsiaTheme="minorEastAsia"/>
                <w:sz w:val="22"/>
                <w:lang w:val="en-US" w:eastAsia="zh-CN"/>
              </w:rPr>
              <w:t>es</w:t>
            </w:r>
          </w:p>
        </w:tc>
        <w:tc>
          <w:tcPr>
            <w:tcW w:w="6827" w:type="dxa"/>
          </w:tcPr>
          <w:p w14:paraId="02B498A3">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0B346106">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Answers to ZTE questions:</w:t>
            </w:r>
          </w:p>
          <w:p w14:paraId="01839D62">
            <w:pPr>
              <w:overflowPunct w:val="0"/>
              <w:autoSpaceDE w:val="0"/>
              <w:autoSpaceDN w:val="0"/>
              <w:adjustRightInd w:val="0"/>
              <w:spacing w:after="120" w:afterLines="50"/>
              <w:ind w:left="240" w:leftChars="100"/>
              <w:jc w:val="both"/>
              <w:textAlignment w:val="baseline"/>
              <w:rPr>
                <w:rFonts w:eastAsiaTheme="minorEastAsia"/>
                <w:sz w:val="22"/>
                <w:lang w:val="en-US" w:eastAsia="zh-CN"/>
              </w:rPr>
            </w:pPr>
            <w:r>
              <w:rPr>
                <w:rFonts w:eastAsiaTheme="minorEastAsia"/>
                <w:sz w:val="22"/>
                <w:lang w:val="en-US" w:eastAsia="zh-CN"/>
              </w:rPr>
              <w:t>To Q1: current spec already allows to configure 2 SRS resources in a set for codebook and also there is no restriction in spec that gNB cannot configure same 2 SRS resources for AS and CB. Hence no additional RRC parameter/rule is needed.</w:t>
            </w:r>
          </w:p>
          <w:p w14:paraId="3829DD33">
            <w:pPr>
              <w:overflowPunct w:val="0"/>
              <w:autoSpaceDE w:val="0"/>
              <w:autoSpaceDN w:val="0"/>
              <w:adjustRightInd w:val="0"/>
              <w:spacing w:after="120" w:afterLines="50"/>
              <w:ind w:left="240" w:leftChars="100"/>
              <w:jc w:val="both"/>
              <w:textAlignment w:val="baseline"/>
              <w:rPr>
                <w:rFonts w:eastAsiaTheme="minorEastAsia"/>
                <w:sz w:val="22"/>
                <w:lang w:val="en-US" w:eastAsia="zh-CN"/>
              </w:rPr>
            </w:pPr>
            <w:r>
              <w:rPr>
                <w:rFonts w:hint="eastAsia" w:eastAsiaTheme="minor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07C8CEC2">
            <w:pPr>
              <w:overflowPunct w:val="0"/>
              <w:autoSpaceDE w:val="0"/>
              <w:autoSpaceDN w:val="0"/>
              <w:adjustRightInd w:val="0"/>
              <w:spacing w:after="120" w:afterLines="50"/>
              <w:ind w:left="240" w:leftChars="100"/>
              <w:jc w:val="both"/>
              <w:textAlignment w:val="baseline"/>
              <w:rPr>
                <w:rFonts w:eastAsiaTheme="minorEastAsia"/>
                <w:sz w:val="22"/>
                <w:lang w:val="en-US" w:eastAsia="zh-CN"/>
              </w:rPr>
            </w:pPr>
            <w:r>
              <w:rPr>
                <w:rFonts w:hint="eastAsia" w:eastAsiaTheme="minorEastAsia"/>
                <w:sz w:val="22"/>
                <w:lang w:val="en-US" w:eastAsia="zh-CN"/>
              </w:rPr>
              <w:t>T</w:t>
            </w:r>
            <w:r>
              <w:rPr>
                <w:rFonts w:eastAsiaTheme="minorEastAsia"/>
                <w:sz w:val="22"/>
                <w:lang w:val="en-US" w:eastAsia="zh-CN"/>
              </w:rPr>
              <w:t>o Q3: 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14:paraId="4F4CC4F8">
            <w:pPr>
              <w:overflowPunct w:val="0"/>
              <w:autoSpaceDE w:val="0"/>
              <w:autoSpaceDN w:val="0"/>
              <w:adjustRightInd w:val="0"/>
              <w:spacing w:after="120" w:afterLines="50"/>
              <w:jc w:val="both"/>
              <w:textAlignment w:val="baseline"/>
              <w:rPr>
                <w:rFonts w:eastAsiaTheme="minorEastAsia"/>
                <w:sz w:val="22"/>
                <w:lang w:val="en-US" w:eastAsia="zh-CN"/>
              </w:rPr>
            </w:pPr>
          </w:p>
          <w:p w14:paraId="16F5F5B0">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A</w:t>
            </w:r>
            <w:r>
              <w:rPr>
                <w:rFonts w:eastAsiaTheme="minorEastAsia"/>
                <w:sz w:val="22"/>
                <w:lang w:val="en-US" w:eastAsia="zh-CN"/>
              </w:rPr>
              <w:t>nswer to QC:</w:t>
            </w:r>
          </w:p>
          <w:p w14:paraId="7C910A5E">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14:paraId="6BC9B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14:paraId="2A165ACB">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121" w:type="dxa"/>
          </w:tcPr>
          <w:p w14:paraId="10B44A88">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827" w:type="dxa"/>
          </w:tcPr>
          <w:p w14:paraId="7161E501">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14:paraId="577D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14:paraId="18E02A96">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121" w:type="dxa"/>
          </w:tcPr>
          <w:p w14:paraId="32CB213B">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827" w:type="dxa"/>
          </w:tcPr>
          <w:p w14:paraId="5D80ADD3">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Similar comment to Spreadtrum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14:paraId="7255F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14:paraId="250C3F30">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121" w:type="dxa"/>
          </w:tcPr>
          <w:p w14:paraId="1CAD7626">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827" w:type="dxa"/>
          </w:tcPr>
          <w:p w14:paraId="17813F6B">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14:paraId="0B946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14:paraId="70A95026">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Ericsson</w:t>
            </w:r>
          </w:p>
        </w:tc>
        <w:tc>
          <w:tcPr>
            <w:tcW w:w="1121" w:type="dxa"/>
          </w:tcPr>
          <w:p w14:paraId="29AE74C3">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Yes</w:t>
            </w:r>
          </w:p>
        </w:tc>
        <w:tc>
          <w:tcPr>
            <w:tcW w:w="6827" w:type="dxa"/>
          </w:tcPr>
          <w:p w14:paraId="5D475624">
            <w:pPr>
              <w:overflowPunct w:val="0"/>
              <w:autoSpaceDE w:val="0"/>
              <w:autoSpaceDN w:val="0"/>
              <w:adjustRightInd w:val="0"/>
              <w:spacing w:after="120" w:afterLines="50"/>
              <w:jc w:val="both"/>
              <w:textAlignment w:val="baseline"/>
              <w:rPr>
                <w:sz w:val="22"/>
                <w:lang w:val="en-US"/>
              </w:rPr>
            </w:pPr>
            <w:r>
              <w:rPr>
                <w:sz w:val="22"/>
                <w:lang w:val="en-US"/>
              </w:rPr>
              <w:t>We are generally supportive.  For us this is a simple extension of the 2 state SRI we have from Rel-15 codebook based operation to 4 states.  This should provide some additional diversity.</w:t>
            </w:r>
          </w:p>
          <w:p w14:paraId="4727F71B">
            <w:pPr>
              <w:overflowPunct w:val="0"/>
              <w:autoSpaceDE w:val="0"/>
              <w:autoSpaceDN w:val="0"/>
              <w:adjustRightInd w:val="0"/>
              <w:spacing w:after="120" w:afterLines="50"/>
              <w:jc w:val="both"/>
              <w:textAlignment w:val="baseline"/>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∆T</w:t>
            </w:r>
            <w:r>
              <w:rPr>
                <w:sz w:val="22"/>
                <w:vertAlign w:val="subscript"/>
              </w:rPr>
              <w:t>RxSRS</w:t>
            </w:r>
            <w:r>
              <w:rPr>
                <w:sz w:val="22"/>
                <w:lang w:val="en-US"/>
              </w:rPr>
              <w:t xml:space="preserve"> as needed.</w:t>
            </w:r>
          </w:p>
          <w:p w14:paraId="2D9AA4FE">
            <w:pPr>
              <w:overflowPunct w:val="0"/>
              <w:autoSpaceDE w:val="0"/>
              <w:autoSpaceDN w:val="0"/>
              <w:adjustRightInd w:val="0"/>
              <w:spacing w:after="120" w:afterLines="50"/>
              <w:jc w:val="both"/>
              <w:textAlignment w:val="baseline"/>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14:paraId="23C42734">
            <w:pPr>
              <w:overflowPunct w:val="0"/>
              <w:autoSpaceDE w:val="0"/>
              <w:autoSpaceDN w:val="0"/>
              <w:adjustRightInd w:val="0"/>
              <w:spacing w:after="120" w:afterLines="50"/>
              <w:jc w:val="both"/>
              <w:textAlignment w:val="baseline"/>
              <w:rPr>
                <w:sz w:val="22"/>
                <w:lang w:val="en-US"/>
              </w:rPr>
            </w:pPr>
            <w:r>
              <w:rPr>
                <w:sz w:val="22"/>
                <w:lang w:val="en-US"/>
              </w:rPr>
              <w:t>It could be argued that antenna selection is supported by non-codebook based operation, but non-codebook brings extra baggage like full power requirements, and in general implementing non-codebook rather than simply expanding the number of SRS resources in a set seems to be overkill.</w:t>
            </w:r>
          </w:p>
        </w:tc>
      </w:tr>
      <w:tr w14:paraId="06AA0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14:paraId="0AB502CE">
            <w:pPr>
              <w:overflowPunct w:val="0"/>
              <w:autoSpaceDE w:val="0"/>
              <w:autoSpaceDN w:val="0"/>
              <w:adjustRightInd w:val="0"/>
              <w:spacing w:after="120" w:afterLines="50"/>
              <w:jc w:val="both"/>
              <w:textAlignment w:val="baseline"/>
              <w:rPr>
                <w:rFonts w:hint="default" w:eastAsiaTheme="minorEastAsia"/>
                <w:sz w:val="22"/>
                <w:lang w:val="en-US" w:eastAsia="zh-CN"/>
              </w:rPr>
            </w:pPr>
            <w:r>
              <w:rPr>
                <w:rFonts w:hint="eastAsia" w:eastAsiaTheme="minorEastAsia"/>
                <w:sz w:val="22"/>
                <w:lang w:val="en-US" w:eastAsia="zh-CN"/>
              </w:rPr>
              <w:t>China Unicom</w:t>
            </w:r>
          </w:p>
        </w:tc>
        <w:tc>
          <w:tcPr>
            <w:tcW w:w="1121" w:type="dxa"/>
          </w:tcPr>
          <w:p w14:paraId="030A7E98">
            <w:pPr>
              <w:overflowPunct w:val="0"/>
              <w:autoSpaceDE w:val="0"/>
              <w:autoSpaceDN w:val="0"/>
              <w:adjustRightInd w:val="0"/>
              <w:spacing w:after="120" w:afterLines="50"/>
              <w:jc w:val="both"/>
              <w:textAlignment w:val="baseline"/>
              <w:rPr>
                <w:rFonts w:hint="default" w:eastAsiaTheme="minorEastAsia"/>
                <w:sz w:val="22"/>
                <w:lang w:val="en-US" w:eastAsia="zh-CN"/>
              </w:rPr>
            </w:pPr>
            <w:r>
              <w:rPr>
                <w:rFonts w:hint="eastAsia" w:eastAsiaTheme="minorEastAsia"/>
                <w:sz w:val="22"/>
                <w:lang w:val="en-US" w:eastAsia="zh-CN"/>
              </w:rPr>
              <w:t>Y</w:t>
            </w:r>
          </w:p>
        </w:tc>
        <w:tc>
          <w:tcPr>
            <w:tcW w:w="6827" w:type="dxa"/>
          </w:tcPr>
          <w:p w14:paraId="50B06B6B">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 xml:space="preserve">PUSCH antenna switching </w:t>
            </w:r>
            <w:r>
              <w:rPr>
                <w:rFonts w:hint="eastAsia" w:eastAsiaTheme="minorEastAsia"/>
                <w:sz w:val="22"/>
                <w:lang w:val="en-US" w:eastAsia="zh-CN"/>
              </w:rPr>
              <w:t xml:space="preserve">adds a new UE capability. With only slight spec change, it remains advantageous </w:t>
            </w:r>
            <w:r>
              <w:rPr>
                <w:rFonts w:eastAsiaTheme="minorEastAsia"/>
                <w:sz w:val="22"/>
                <w:lang w:val="en-US" w:eastAsia="zh-CN"/>
              </w:rPr>
              <w:t>when</w:t>
            </w:r>
            <w:r>
              <w:rPr>
                <w:rFonts w:hint="eastAsia" w:eastAsiaTheme="minorEastAsia"/>
                <w:sz w:val="22"/>
                <w:lang w:val="en-US" w:eastAsia="zh-CN"/>
              </w:rPr>
              <w:t xml:space="preserve"> some</w:t>
            </w:r>
            <w:r>
              <w:rPr>
                <w:rFonts w:eastAsiaTheme="minorEastAsia"/>
                <w:sz w:val="22"/>
                <w:lang w:val="en-US" w:eastAsia="zh-CN"/>
              </w:rPr>
              <w:t xml:space="preserve"> of the antennas are blocked</w:t>
            </w:r>
            <w:r>
              <w:rPr>
                <w:rFonts w:hint="eastAsia" w:eastAsiaTheme="minorEastAsia"/>
                <w:sz w:val="22"/>
                <w:lang w:val="en-US" w:eastAsia="zh-CN"/>
              </w:rPr>
              <w:t xml:space="preserve">. Although network controlling is introduced, the antennas selection is still managed by UE. </w:t>
            </w:r>
          </w:p>
        </w:tc>
      </w:tr>
      <w:tr w14:paraId="56B9C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top"/>
          </w:tcPr>
          <w:p w14:paraId="6BCAB7F2">
            <w:pPr>
              <w:overflowPunct w:val="0"/>
              <w:autoSpaceDE w:val="0"/>
              <w:autoSpaceDN w:val="0"/>
              <w:adjustRightInd w:val="0"/>
              <w:spacing w:after="120" w:afterLines="50"/>
              <w:jc w:val="both"/>
              <w:textAlignment w:val="baseline"/>
              <w:rPr>
                <w:rFonts w:hint="eastAsia" w:eastAsiaTheme="minorEastAsia"/>
                <w:sz w:val="22"/>
                <w:lang w:val="en-US" w:eastAsia="zh-CN"/>
              </w:rPr>
            </w:pPr>
            <w:r>
              <w:rPr>
                <w:rFonts w:hint="eastAsia" w:eastAsiaTheme="minorEastAsia"/>
                <w:sz w:val="22"/>
                <w:lang w:val="en-US" w:eastAsia="zh-CN"/>
              </w:rPr>
              <w:t>CATT</w:t>
            </w:r>
          </w:p>
        </w:tc>
        <w:tc>
          <w:tcPr>
            <w:tcW w:w="1121" w:type="dxa"/>
            <w:vAlign w:val="top"/>
          </w:tcPr>
          <w:p w14:paraId="533AD88D">
            <w:pPr>
              <w:overflowPunct w:val="0"/>
              <w:autoSpaceDE w:val="0"/>
              <w:autoSpaceDN w:val="0"/>
              <w:adjustRightInd w:val="0"/>
              <w:spacing w:after="120" w:afterLines="50"/>
              <w:jc w:val="both"/>
              <w:textAlignment w:val="baseline"/>
              <w:rPr>
                <w:rFonts w:hint="eastAsia" w:eastAsiaTheme="minorEastAsia"/>
                <w:sz w:val="22"/>
                <w:lang w:val="en-US" w:eastAsia="zh-CN"/>
              </w:rPr>
            </w:pPr>
          </w:p>
        </w:tc>
        <w:tc>
          <w:tcPr>
            <w:tcW w:w="6827" w:type="dxa"/>
            <w:vAlign w:val="top"/>
          </w:tcPr>
          <w:p w14:paraId="70C6F767">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宋体"/>
                <w:sz w:val="22"/>
                <w:lang w:val="en-US" w:eastAsia="zh-CN"/>
              </w:rPr>
              <w:t>We support the proposal in principle. But clarification on whether there is a gap between SRS resources is needed.</w:t>
            </w:r>
          </w:p>
        </w:tc>
      </w:tr>
    </w:tbl>
    <w:p w14:paraId="4FD8B8A4">
      <w:pPr>
        <w:rPr>
          <w:b/>
          <w:lang w:val="en-US"/>
        </w:rPr>
      </w:pPr>
    </w:p>
    <w:p w14:paraId="4FA429C0">
      <w:pPr>
        <w:rPr>
          <w:b/>
          <w:lang w:val="en-US"/>
        </w:rPr>
      </w:pPr>
    </w:p>
    <w:p w14:paraId="609CBA4C">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PDSCH DMRS enhancement for rank higher than 4</w:t>
      </w:r>
    </w:p>
    <w:p w14:paraId="29E745C2">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14:paraId="17ED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0EAEE4FB">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[2</w:t>
            </w:r>
            <w:r>
              <w:rPr>
                <w:rFonts w:ascii="Arial" w:hAnsi="Arial" w:eastAsia="MS Mincho"/>
                <w:sz w:val="22"/>
                <w:szCs w:val="22"/>
                <w:lang w:val="en-US"/>
              </w:rPr>
              <w:t>]</w:t>
            </w:r>
          </w:p>
        </w:tc>
        <w:tc>
          <w:tcPr>
            <w:tcW w:w="9066" w:type="dxa"/>
          </w:tcPr>
          <w:p w14:paraId="05C7D47C">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Background</w:t>
            </w:r>
          </w:p>
          <w:p w14:paraId="10780803">
            <w:pPr>
              <w:overflowPunct w:val="0"/>
              <w:autoSpaceDE w:val="0"/>
              <w:autoSpaceDN w:val="0"/>
              <w:adjustRightInd w:val="0"/>
              <w:spacing w:after="180"/>
              <w:jc w:val="both"/>
              <w:textAlignment w:val="baseline"/>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r>
              <w:rPr>
                <w:rFonts w:eastAsiaTheme="minorEastAsia"/>
                <w:i/>
                <w:sz w:val="18"/>
                <w:szCs w:val="18"/>
                <w:lang w:eastAsia="zh-CN"/>
              </w:rPr>
              <w:t>dmrs-AdditionalPosition</w:t>
            </w:r>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DMRS-DownlinkConfig</w:t>
            </w:r>
            <w:r>
              <w:rPr>
                <w:rFonts w:eastAsiaTheme="minorEastAsia"/>
                <w:sz w:val="18"/>
                <w:szCs w:val="18"/>
                <w:lang w:eastAsia="zh-CN"/>
              </w:rPr>
              <w:t xml:space="preserve"> in 38.331 is used to configure PDSCH DMRS including </w:t>
            </w:r>
            <w:r>
              <w:rPr>
                <w:rFonts w:eastAsiaTheme="minorEastAsia"/>
                <w:i/>
                <w:sz w:val="18"/>
                <w:szCs w:val="18"/>
                <w:lang w:eastAsia="zh-CN"/>
              </w:rPr>
              <w:t>dmrs-type</w:t>
            </w:r>
            <w:r>
              <w:rPr>
                <w:rFonts w:eastAsiaTheme="minorEastAsia"/>
                <w:sz w:val="18"/>
                <w:szCs w:val="18"/>
                <w:lang w:eastAsia="zh-CN"/>
              </w:rPr>
              <w:t xml:space="preserve">, </w:t>
            </w:r>
            <w:r>
              <w:rPr>
                <w:rFonts w:eastAsiaTheme="minorEastAsia"/>
                <w:i/>
                <w:sz w:val="18"/>
                <w:szCs w:val="18"/>
                <w:lang w:eastAsia="zh-CN"/>
              </w:rPr>
              <w:t>dmrs-AdditionalPosition</w:t>
            </w:r>
            <w:r>
              <w:rPr>
                <w:rFonts w:eastAsiaTheme="minorEastAsia"/>
                <w:sz w:val="18"/>
                <w:szCs w:val="18"/>
                <w:lang w:eastAsia="zh-CN"/>
              </w:rPr>
              <w:t>,</w:t>
            </w:r>
            <w:r>
              <w:rPr>
                <w:i/>
                <w:sz w:val="18"/>
                <w:szCs w:val="18"/>
                <w:lang w:eastAsia="zh-CN"/>
              </w:rPr>
              <w:t xml:space="preserve"> maxLength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r>
              <w:rPr>
                <w:i/>
                <w:sz w:val="18"/>
                <w:szCs w:val="18"/>
                <w:lang w:eastAsia="zh-CN"/>
              </w:rPr>
              <w:t>maxLength</w:t>
            </w:r>
            <w:r>
              <w:rPr>
                <w:sz w:val="18"/>
                <w:szCs w:val="18"/>
                <w:lang w:eastAsia="zh-CN"/>
              </w:rPr>
              <w:t xml:space="preserve"> is configured as 2. </w:t>
            </w:r>
            <w:r>
              <w:rPr>
                <w:rFonts w:eastAsiaTheme="minorEastAsia"/>
                <w:sz w:val="18"/>
                <w:szCs w:val="18"/>
                <w:lang w:eastAsia="zh-CN"/>
              </w:rPr>
              <w:t xml:space="preserve">Based on real field data, we observe that the parameter </w:t>
            </w:r>
            <w:r>
              <w:rPr>
                <w:rFonts w:eastAsiaTheme="minorEastAsia"/>
                <w:i/>
                <w:sz w:val="18"/>
                <w:szCs w:val="18"/>
                <w:lang w:eastAsia="zh-CN"/>
              </w:rPr>
              <w:t>dmrs-AdditionalPosition</w:t>
            </w:r>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signaling </w:t>
            </w:r>
            <w:r>
              <w:rPr>
                <w:rFonts w:hint="eastAsia" w:eastAsiaTheme="minor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63373B8A">
            <w:pPr>
              <w:overflowPunct w:val="0"/>
              <w:autoSpaceDE w:val="0"/>
              <w:autoSpaceDN w:val="0"/>
              <w:adjustRightInd w:val="0"/>
              <w:spacing w:after="180"/>
              <w:jc w:val="both"/>
              <w:textAlignment w:val="baseline"/>
              <w:rPr>
                <w:rFonts w:eastAsiaTheme="minorEastAsia"/>
                <w:sz w:val="18"/>
                <w:szCs w:val="18"/>
                <w:lang w:eastAsia="zh-CN"/>
              </w:rPr>
            </w:pPr>
            <w:r>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676A9D81">
            <w:pPr>
              <w:overflowPunct w:val="0"/>
              <w:autoSpaceDE w:val="0"/>
              <w:autoSpaceDN w:val="0"/>
              <w:adjustRightInd w:val="0"/>
              <w:spacing w:after="180"/>
              <w:jc w:val="both"/>
              <w:textAlignment w:val="baseline"/>
              <w:rPr>
                <w:rFonts w:eastAsiaTheme="minorEastAsia"/>
                <w:sz w:val="18"/>
                <w:szCs w:val="18"/>
                <w:lang w:eastAsia="zh-CN"/>
              </w:rPr>
            </w:pPr>
          </w:p>
          <w:p w14:paraId="6FDAD820">
            <w:pPr>
              <w:overflowPunct w:val="0"/>
              <w:autoSpaceDE w:val="0"/>
              <w:autoSpaceDN w:val="0"/>
              <w:adjustRightInd w:val="0"/>
              <w:spacing w:after="180"/>
              <w:ind w:firstLine="810" w:firstLineChars="450"/>
              <w:jc w:val="center"/>
              <w:textAlignment w:val="baseline"/>
              <w:rPr>
                <w:rFonts w:eastAsiaTheme="minorEastAsia"/>
                <w:sz w:val="18"/>
                <w:szCs w:val="18"/>
                <w:lang w:eastAsia="zh-CN"/>
              </w:rPr>
            </w:pPr>
            <w:r>
              <w:rPr>
                <w:sz w:val="18"/>
                <w:szCs w:val="18"/>
                <w:lang w:val="en-US" w:eastAsia="zh-CN"/>
              </w:rPr>
              <w:drawing>
                <wp:inline distT="0" distB="0" distL="0" distR="0">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693FCB4B">
            <w:pPr>
              <w:overflowPunct w:val="0"/>
              <w:autoSpaceDE w:val="0"/>
              <w:autoSpaceDN w:val="0"/>
              <w:adjustRightInd w:val="0"/>
              <w:spacing w:after="180"/>
              <w:ind w:firstLine="810" w:firstLineChars="450"/>
              <w:jc w:val="center"/>
              <w:textAlignment w:val="baseline"/>
              <w:rPr>
                <w:rFonts w:eastAsiaTheme="minorEastAsia"/>
                <w:sz w:val="18"/>
                <w:szCs w:val="18"/>
                <w:lang w:eastAsia="zh-CN"/>
              </w:rPr>
            </w:pPr>
            <w:r>
              <w:rPr>
                <w:rFonts w:eastAsiaTheme="minorEastAsia"/>
                <w:sz w:val="18"/>
                <w:szCs w:val="18"/>
                <w:lang w:eastAsia="zh-CN"/>
              </w:rPr>
              <w:t>Figure 3.1, rank distribution under various Tx/Rx antenna assumptions</w:t>
            </w:r>
          </w:p>
          <w:p w14:paraId="4AD7EFB5">
            <w:pPr>
              <w:overflowPunct w:val="0"/>
              <w:autoSpaceDE w:val="0"/>
              <w:autoSpaceDN w:val="0"/>
              <w:adjustRightInd w:val="0"/>
              <w:spacing w:after="180"/>
              <w:textAlignment w:val="baseline"/>
              <w:rPr>
                <w:rFonts w:eastAsiaTheme="minorEastAsia"/>
                <w:sz w:val="18"/>
                <w:szCs w:val="18"/>
                <w:lang w:eastAsia="zh-CN"/>
              </w:rPr>
            </w:pPr>
          </w:p>
          <w:p w14:paraId="24370AB1">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Discussion</w:t>
            </w:r>
          </w:p>
          <w:p w14:paraId="288F7DD0">
            <w:pPr>
              <w:overflowPunct w:val="0"/>
              <w:autoSpaceDE w:val="0"/>
              <w:autoSpaceDN w:val="0"/>
              <w:adjustRightInd w:val="0"/>
              <w:snapToGrid w:val="0"/>
              <w:spacing w:after="120" w:afterLines="50"/>
              <w:jc w:val="both"/>
              <w:textAlignment w:val="baseline"/>
              <w:rPr>
                <w:rFonts w:eastAsiaTheme="minorEastAsia"/>
                <w:sz w:val="18"/>
                <w:szCs w:val="18"/>
                <w:lang w:eastAsia="zh-CN"/>
              </w:rPr>
            </w:pPr>
            <w:r>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hint="eastAsia" w:eastAsiaTheme="minorEastAsia"/>
                <w:sz w:val="18"/>
                <w:szCs w:val="18"/>
                <w:lang w:eastAsia="zh-CN"/>
              </w:rPr>
              <w:t>especially</w:t>
            </w:r>
            <w:r>
              <w:rPr>
                <w:rFonts w:eastAsiaTheme="minorEastAsia"/>
                <w:sz w:val="18"/>
                <w:szCs w:val="18"/>
                <w:lang w:eastAsia="zh-CN"/>
              </w:rPr>
              <w:t xml:space="preserve"> </w:t>
            </w:r>
            <w:r>
              <w:rPr>
                <w:rFonts w:hint="eastAsia" w:eastAsiaTheme="minorEastAsia"/>
                <w:sz w:val="18"/>
                <w:szCs w:val="18"/>
                <w:lang w:eastAsia="zh-CN"/>
              </w:rPr>
              <w:t>in</w:t>
            </w:r>
            <w:r>
              <w:rPr>
                <w:rFonts w:eastAsiaTheme="minorEastAsia"/>
                <w:sz w:val="18"/>
                <w:szCs w:val="18"/>
                <w:lang w:eastAsia="zh-CN"/>
              </w:rPr>
              <w:t xml:space="preserve"> the </w:t>
            </w:r>
            <w:r>
              <w:rPr>
                <w:rFonts w:hint="eastAsia" w:eastAsiaTheme="minorEastAsia"/>
                <w:sz w:val="18"/>
                <w:szCs w:val="18"/>
                <w:lang w:eastAsia="zh-CN"/>
              </w:rPr>
              <w:t>case</w:t>
            </w:r>
            <w:r>
              <w:rPr>
                <w:rFonts w:eastAsiaTheme="minorEastAsia"/>
                <w:sz w:val="18"/>
                <w:szCs w:val="18"/>
                <w:lang w:eastAsia="zh-CN"/>
              </w:rPr>
              <w:t xml:space="preserve"> of higher rank, for example,</w:t>
            </w:r>
            <w:r>
              <w:rPr>
                <w:rFonts w:hint="eastAsia" w:eastAsiaTheme="minor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39E873BF">
            <w:pPr>
              <w:overflowPunct w:val="0"/>
              <w:autoSpaceDE w:val="0"/>
              <w:autoSpaceDN w:val="0"/>
              <w:adjustRightInd w:val="0"/>
              <w:snapToGrid w:val="0"/>
              <w:spacing w:after="120" w:afterLines="50"/>
              <w:jc w:val="both"/>
              <w:textAlignment w:val="baseline"/>
              <w:rPr>
                <w:rFonts w:eastAsiaTheme="minorEastAsia"/>
                <w:sz w:val="18"/>
                <w:szCs w:val="18"/>
                <w:lang w:eastAsia="zh-CN"/>
              </w:rPr>
            </w:pPr>
            <w:r>
              <w:rPr>
                <w:rFonts w:eastAsiaTheme="minorEastAsia"/>
                <w:sz w:val="18"/>
                <w:szCs w:val="18"/>
                <w:lang w:val="en-US" w:eastAsia="zh-CN"/>
              </w:rPr>
              <w:t>I</w:t>
            </w:r>
            <w:r>
              <w:rPr>
                <w:rFonts w:hint="eastAsia" w:eastAsiaTheme="minor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hint="eastAsia" w:eastAsiaTheme="minorEastAsia"/>
                <w:sz w:val="18"/>
                <w:szCs w:val="18"/>
                <w:lang w:eastAsia="zh-CN"/>
              </w:rPr>
              <w:t>well</w:t>
            </w:r>
            <w:r>
              <w:rPr>
                <w:rFonts w:eastAsiaTheme="minorEastAsia"/>
                <w:sz w:val="18"/>
                <w:szCs w:val="18"/>
                <w:lang w:eastAsia="zh-CN"/>
              </w:rPr>
              <w:t xml:space="preserve"> </w:t>
            </w:r>
            <w:r>
              <w:rPr>
                <w:rFonts w:hint="eastAsia" w:eastAsiaTheme="minorEastAsia"/>
                <w:sz w:val="18"/>
                <w:szCs w:val="18"/>
                <w:lang w:eastAsia="zh-CN"/>
              </w:rPr>
              <w:t>know</w:t>
            </w:r>
            <w:r>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5A8147D7">
            <w:pPr>
              <w:overflowPunct w:val="0"/>
              <w:autoSpaceDE w:val="0"/>
              <w:autoSpaceDN w:val="0"/>
              <w:adjustRightInd w:val="0"/>
              <w:spacing w:after="180"/>
              <w:jc w:val="both"/>
              <w:textAlignment w:val="baseline"/>
              <w:rPr>
                <w:rFonts w:eastAsia="宋体"/>
                <w:sz w:val="18"/>
                <w:szCs w:val="18"/>
                <w:lang w:eastAsia="zh-CN"/>
              </w:rPr>
            </w:pPr>
            <w:r>
              <w:rPr>
                <w:rFonts w:hint="eastAsia" w:eastAsia="宋体"/>
                <w:sz w:val="18"/>
                <w:szCs w:val="18"/>
                <w:lang w:eastAsia="zh-CN"/>
              </w:rPr>
              <w:t>Tab</w:t>
            </w:r>
            <w:r>
              <w:rPr>
                <w:rFonts w:eastAsia="宋体"/>
                <w:sz w:val="18"/>
                <w:szCs w:val="18"/>
                <w:lang w:eastAsia="zh-CN"/>
              </w:rPr>
              <w:t>le 3.1: throughput calculation</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280"/>
              <w:gridCol w:w="1499"/>
              <w:gridCol w:w="1169"/>
              <w:gridCol w:w="1436"/>
              <w:gridCol w:w="1182"/>
              <w:gridCol w:w="1182"/>
            </w:tblGrid>
            <w:tr w14:paraId="5AAE8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1" w:type="dxa"/>
                  <w:gridSpan w:val="2"/>
                </w:tcPr>
                <w:p w14:paraId="5836416E">
                  <w:pPr>
                    <w:overflowPunct w:val="0"/>
                    <w:autoSpaceDE w:val="0"/>
                    <w:autoSpaceDN w:val="0"/>
                    <w:adjustRightInd w:val="0"/>
                    <w:spacing w:after="180"/>
                    <w:ind w:firstLine="450" w:firstLineChars="250"/>
                    <w:jc w:val="both"/>
                    <w:textAlignment w:val="baseline"/>
                    <w:rPr>
                      <w:rFonts w:eastAsia="宋体"/>
                      <w:sz w:val="18"/>
                      <w:szCs w:val="18"/>
                      <w:lang w:eastAsia="zh-CN"/>
                    </w:rPr>
                  </w:pPr>
                  <w:r>
                    <w:rPr>
                      <w:rFonts w:eastAsia="宋体"/>
                      <w:sz w:val="18"/>
                      <w:szCs w:val="18"/>
                      <w:lang w:eastAsia="zh-CN"/>
                    </w:rPr>
                    <w:t>Throughput</w:t>
                  </w:r>
                </w:p>
              </w:tc>
              <w:tc>
                <w:tcPr>
                  <w:tcW w:w="1527" w:type="dxa"/>
                </w:tcPr>
                <w:p w14:paraId="3E51160D">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R</w:t>
                  </w:r>
                  <w:r>
                    <w:rPr>
                      <w:rFonts w:eastAsia="宋体"/>
                      <w:sz w:val="18"/>
                      <w:szCs w:val="18"/>
                      <w:lang w:eastAsia="zh-CN"/>
                    </w:rPr>
                    <w:t>ank4</w:t>
                  </w:r>
                </w:p>
              </w:tc>
              <w:tc>
                <w:tcPr>
                  <w:tcW w:w="1258" w:type="dxa"/>
                </w:tcPr>
                <w:p w14:paraId="3AAB43C4">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R</w:t>
                  </w:r>
                  <w:r>
                    <w:rPr>
                      <w:rFonts w:eastAsia="宋体"/>
                      <w:sz w:val="18"/>
                      <w:szCs w:val="18"/>
                      <w:lang w:eastAsia="zh-CN"/>
                    </w:rPr>
                    <w:t>ank5</w:t>
                  </w:r>
                </w:p>
              </w:tc>
              <w:tc>
                <w:tcPr>
                  <w:tcW w:w="1258" w:type="dxa"/>
                </w:tcPr>
                <w:p w14:paraId="50E0AD9A">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R</w:t>
                  </w:r>
                  <w:r>
                    <w:rPr>
                      <w:rFonts w:eastAsia="宋体"/>
                      <w:sz w:val="18"/>
                      <w:szCs w:val="18"/>
                      <w:lang w:eastAsia="zh-CN"/>
                    </w:rPr>
                    <w:t>ank6</w:t>
                  </w:r>
                </w:p>
              </w:tc>
              <w:tc>
                <w:tcPr>
                  <w:tcW w:w="1258" w:type="dxa"/>
                </w:tcPr>
                <w:p w14:paraId="476DF645">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R</w:t>
                  </w:r>
                  <w:r>
                    <w:rPr>
                      <w:rFonts w:eastAsia="宋体"/>
                      <w:sz w:val="18"/>
                      <w:szCs w:val="18"/>
                      <w:lang w:eastAsia="zh-CN"/>
                    </w:rPr>
                    <w:t>ank7</w:t>
                  </w:r>
                </w:p>
              </w:tc>
              <w:tc>
                <w:tcPr>
                  <w:tcW w:w="1258" w:type="dxa"/>
                </w:tcPr>
                <w:p w14:paraId="35A2E021">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R</w:t>
                  </w:r>
                  <w:r>
                    <w:rPr>
                      <w:rFonts w:eastAsia="宋体"/>
                      <w:sz w:val="18"/>
                      <w:szCs w:val="18"/>
                      <w:lang w:eastAsia="zh-CN"/>
                    </w:rPr>
                    <w:t>ank8</w:t>
                  </w:r>
                </w:p>
              </w:tc>
            </w:tr>
            <w:tr w14:paraId="16C6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restart"/>
                  <w:shd w:val="clear" w:color="auto" w:fill="92D050"/>
                </w:tcPr>
                <w:p w14:paraId="7E5CBC0B">
                  <w:pPr>
                    <w:overflowPunct w:val="0"/>
                    <w:autoSpaceDE w:val="0"/>
                    <w:autoSpaceDN w:val="0"/>
                    <w:adjustRightInd w:val="0"/>
                    <w:spacing w:after="180"/>
                    <w:jc w:val="both"/>
                    <w:textAlignment w:val="baseline"/>
                    <w:rPr>
                      <w:rFonts w:eastAsia="宋体"/>
                      <w:sz w:val="18"/>
                      <w:szCs w:val="18"/>
                      <w:lang w:eastAsia="zh-CN"/>
                    </w:rPr>
                  </w:pPr>
                  <w:r>
                    <w:rPr>
                      <w:rFonts w:hint="eastAsia" w:eastAsia="宋体"/>
                      <w:sz w:val="18"/>
                      <w:szCs w:val="18"/>
                      <w:lang w:eastAsia="zh-CN"/>
                    </w:rPr>
                    <w:t>D</w:t>
                  </w:r>
                  <w:r>
                    <w:rPr>
                      <w:rFonts w:eastAsia="宋体"/>
                      <w:sz w:val="18"/>
                      <w:szCs w:val="18"/>
                      <w:lang w:eastAsia="zh-CN"/>
                    </w:rPr>
                    <w:t xml:space="preserve">MRS </w:t>
                  </w:r>
                  <w:r>
                    <w:rPr>
                      <w:rFonts w:eastAsia="宋体"/>
                      <w:b/>
                      <w:sz w:val="18"/>
                      <w:szCs w:val="18"/>
                      <w:lang w:eastAsia="zh-CN"/>
                    </w:rPr>
                    <w:t>type1</w:t>
                  </w:r>
                </w:p>
              </w:tc>
              <w:tc>
                <w:tcPr>
                  <w:tcW w:w="1340" w:type="dxa"/>
                  <w:shd w:val="clear" w:color="auto" w:fill="FFFFFF" w:themeFill="background1"/>
                </w:tcPr>
                <w:p w14:paraId="6F14D210">
                  <w:pPr>
                    <w:overflowPunct w:val="0"/>
                    <w:autoSpaceDE w:val="0"/>
                    <w:autoSpaceDN w:val="0"/>
                    <w:adjustRightInd w:val="0"/>
                    <w:spacing w:after="180"/>
                    <w:jc w:val="center"/>
                    <w:textAlignment w:val="baseline"/>
                    <w:rPr>
                      <w:rFonts w:eastAsia="宋体"/>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14:paraId="640736E0">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00%(baseline)</w:t>
                  </w:r>
                </w:p>
              </w:tc>
              <w:tc>
                <w:tcPr>
                  <w:tcW w:w="1258" w:type="dxa"/>
                  <w:shd w:val="clear" w:color="auto" w:fill="FFFFFF" w:themeFill="background1"/>
                </w:tcPr>
                <w:p w14:paraId="3F74D860">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02%</w:t>
                  </w:r>
                </w:p>
              </w:tc>
              <w:tc>
                <w:tcPr>
                  <w:tcW w:w="1258" w:type="dxa"/>
                  <w:shd w:val="clear" w:color="auto" w:fill="FFFFFF" w:themeFill="background1"/>
                </w:tcPr>
                <w:p w14:paraId="6886D88B">
                  <w:pPr>
                    <w:tabs>
                      <w:tab w:val="left" w:pos="285"/>
                      <w:tab w:val="center" w:pos="521"/>
                    </w:tabs>
                    <w:overflowPunct w:val="0"/>
                    <w:autoSpaceDE w:val="0"/>
                    <w:autoSpaceDN w:val="0"/>
                    <w:adjustRightInd w:val="0"/>
                    <w:spacing w:after="180"/>
                    <w:textAlignment w:val="baseline"/>
                    <w:rPr>
                      <w:rFonts w:eastAsia="宋体"/>
                      <w:sz w:val="18"/>
                      <w:szCs w:val="18"/>
                      <w:lang w:eastAsia="zh-CN"/>
                    </w:rPr>
                  </w:pPr>
                  <w:r>
                    <w:rPr>
                      <w:rFonts w:eastAsia="宋体"/>
                      <w:sz w:val="18"/>
                      <w:szCs w:val="18"/>
                      <w:lang w:eastAsia="zh-CN"/>
                    </w:rPr>
                    <w:tab/>
                  </w:r>
                  <w:r>
                    <w:rPr>
                      <w:rFonts w:eastAsia="宋体"/>
                      <w:sz w:val="18"/>
                      <w:szCs w:val="18"/>
                      <w:lang w:eastAsia="zh-CN"/>
                    </w:rPr>
                    <w:t>1</w:t>
                  </w:r>
                  <w:r>
                    <w:rPr>
                      <w:rFonts w:eastAsia="宋体"/>
                      <w:sz w:val="18"/>
                      <w:szCs w:val="18"/>
                      <w:lang w:eastAsia="zh-CN"/>
                    </w:rPr>
                    <w:tab/>
                  </w:r>
                  <w:r>
                    <w:rPr>
                      <w:rFonts w:eastAsia="宋体"/>
                      <w:sz w:val="18"/>
                      <w:szCs w:val="18"/>
                      <w:lang w:eastAsia="zh-CN"/>
                    </w:rPr>
                    <w:t>22.7%</w:t>
                  </w:r>
                </w:p>
              </w:tc>
              <w:tc>
                <w:tcPr>
                  <w:tcW w:w="1258" w:type="dxa"/>
                  <w:shd w:val="clear" w:color="auto" w:fill="FFFFFF" w:themeFill="background1"/>
                </w:tcPr>
                <w:p w14:paraId="5DBDB9C0">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43%</w:t>
                  </w:r>
                </w:p>
              </w:tc>
              <w:tc>
                <w:tcPr>
                  <w:tcW w:w="1258" w:type="dxa"/>
                  <w:shd w:val="clear" w:color="auto" w:fill="FFFFFF" w:themeFill="background1"/>
                </w:tcPr>
                <w:p w14:paraId="02F8F00B">
                  <w:pPr>
                    <w:overflowPunct w:val="0"/>
                    <w:autoSpaceDE w:val="0"/>
                    <w:autoSpaceDN w:val="0"/>
                    <w:adjustRightInd w:val="0"/>
                    <w:spacing w:after="180"/>
                    <w:jc w:val="center"/>
                    <w:textAlignment w:val="baseline"/>
                    <w:rPr>
                      <w:rFonts w:eastAsia="宋体"/>
                      <w:sz w:val="18"/>
                      <w:szCs w:val="18"/>
                      <w:lang w:eastAsia="zh-CN"/>
                    </w:rPr>
                  </w:pPr>
                  <w:r>
                    <w:rPr>
                      <w:rFonts w:eastAsia="宋体"/>
                      <w:sz w:val="18"/>
                      <w:szCs w:val="18"/>
                      <w:lang w:eastAsia="zh-CN"/>
                    </w:rPr>
                    <w:t>163.6%</w:t>
                  </w:r>
                </w:p>
              </w:tc>
            </w:tr>
            <w:tr w14:paraId="3344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continue"/>
                  <w:shd w:val="clear" w:color="auto" w:fill="92D050"/>
                </w:tcPr>
                <w:p w14:paraId="20696077">
                  <w:pPr>
                    <w:overflowPunct w:val="0"/>
                    <w:autoSpaceDE w:val="0"/>
                    <w:autoSpaceDN w:val="0"/>
                    <w:adjustRightInd w:val="0"/>
                    <w:spacing w:after="180"/>
                    <w:jc w:val="both"/>
                    <w:textAlignment w:val="baseline"/>
                    <w:rPr>
                      <w:rFonts w:eastAsia="宋体"/>
                      <w:sz w:val="18"/>
                      <w:szCs w:val="18"/>
                      <w:lang w:eastAsia="zh-CN"/>
                    </w:rPr>
                  </w:pPr>
                </w:p>
              </w:tc>
              <w:tc>
                <w:tcPr>
                  <w:tcW w:w="1340" w:type="dxa"/>
                  <w:shd w:val="clear" w:color="auto" w:fill="92D050"/>
                </w:tcPr>
                <w:p w14:paraId="37011394">
                  <w:pPr>
                    <w:overflowPunct w:val="0"/>
                    <w:autoSpaceDE w:val="0"/>
                    <w:autoSpaceDN w:val="0"/>
                    <w:adjustRightInd w:val="0"/>
                    <w:spacing w:after="180"/>
                    <w:jc w:val="center"/>
                    <w:textAlignment w:val="baseline"/>
                    <w:rPr>
                      <w:rFonts w:eastAsia="宋体"/>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14:paraId="4341697D">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92D050"/>
                </w:tcPr>
                <w:p w14:paraId="2479FEEE">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25%</w:t>
                  </w:r>
                </w:p>
              </w:tc>
              <w:tc>
                <w:tcPr>
                  <w:tcW w:w="1258" w:type="dxa"/>
                  <w:shd w:val="clear" w:color="auto" w:fill="92D050"/>
                </w:tcPr>
                <w:p w14:paraId="359D32FA">
                  <w:pPr>
                    <w:overflowPunct w:val="0"/>
                    <w:autoSpaceDE w:val="0"/>
                    <w:autoSpaceDN w:val="0"/>
                    <w:adjustRightInd w:val="0"/>
                    <w:spacing w:after="180"/>
                    <w:ind w:firstLine="270" w:firstLineChars="150"/>
                    <w:textAlignment w:val="baseline"/>
                    <w:rPr>
                      <w:rFonts w:eastAsia="宋体"/>
                      <w:sz w:val="18"/>
                      <w:szCs w:val="18"/>
                      <w:lang w:eastAsia="zh-CN"/>
                    </w:rPr>
                  </w:pPr>
                  <w:r>
                    <w:rPr>
                      <w:rFonts w:eastAsia="宋体"/>
                      <w:sz w:val="18"/>
                      <w:szCs w:val="18"/>
                      <w:lang w:eastAsia="zh-CN"/>
                    </w:rPr>
                    <w:t>1</w:t>
                  </w:r>
                  <w:r>
                    <w:rPr>
                      <w:rFonts w:hint="eastAsia" w:eastAsia="宋体"/>
                      <w:sz w:val="18"/>
                      <w:szCs w:val="18"/>
                      <w:lang w:eastAsia="zh-CN"/>
                    </w:rPr>
                    <w:t>5</w:t>
                  </w:r>
                  <w:r>
                    <w:rPr>
                      <w:rFonts w:eastAsia="宋体"/>
                      <w:sz w:val="18"/>
                      <w:szCs w:val="18"/>
                      <w:lang w:eastAsia="zh-CN"/>
                    </w:rPr>
                    <w:t>0%</w:t>
                  </w:r>
                </w:p>
              </w:tc>
              <w:tc>
                <w:tcPr>
                  <w:tcW w:w="1258" w:type="dxa"/>
                  <w:shd w:val="clear" w:color="auto" w:fill="92D050"/>
                </w:tcPr>
                <w:p w14:paraId="417DEC2D">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75%</w:t>
                  </w:r>
                </w:p>
              </w:tc>
              <w:tc>
                <w:tcPr>
                  <w:tcW w:w="1258" w:type="dxa"/>
                  <w:shd w:val="clear" w:color="auto" w:fill="92D050"/>
                </w:tcPr>
                <w:p w14:paraId="11DF2E6C">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2</w:t>
                  </w:r>
                  <w:r>
                    <w:rPr>
                      <w:rFonts w:eastAsia="宋体"/>
                      <w:sz w:val="18"/>
                      <w:szCs w:val="18"/>
                      <w:lang w:eastAsia="zh-CN"/>
                    </w:rPr>
                    <w:t>00%</w:t>
                  </w:r>
                </w:p>
              </w:tc>
            </w:tr>
            <w:tr w14:paraId="5111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restart"/>
                  <w:shd w:val="clear" w:color="auto" w:fill="FFC000"/>
                </w:tcPr>
                <w:p w14:paraId="4B54C8C3">
                  <w:pPr>
                    <w:overflowPunct w:val="0"/>
                    <w:autoSpaceDE w:val="0"/>
                    <w:autoSpaceDN w:val="0"/>
                    <w:adjustRightInd w:val="0"/>
                    <w:spacing w:after="180"/>
                    <w:jc w:val="both"/>
                    <w:textAlignment w:val="baseline"/>
                    <w:rPr>
                      <w:rFonts w:eastAsia="宋体"/>
                      <w:sz w:val="18"/>
                      <w:szCs w:val="18"/>
                      <w:lang w:eastAsia="zh-CN"/>
                    </w:rPr>
                  </w:pPr>
                  <w:r>
                    <w:rPr>
                      <w:rFonts w:hint="eastAsia" w:eastAsia="宋体"/>
                      <w:sz w:val="18"/>
                      <w:szCs w:val="18"/>
                      <w:lang w:eastAsia="zh-CN"/>
                    </w:rPr>
                    <w:t>D</w:t>
                  </w:r>
                  <w:r>
                    <w:rPr>
                      <w:rFonts w:eastAsia="宋体"/>
                      <w:sz w:val="18"/>
                      <w:szCs w:val="18"/>
                      <w:lang w:eastAsia="zh-CN"/>
                    </w:rPr>
                    <w:t xml:space="preserve">MRS </w:t>
                  </w:r>
                  <w:r>
                    <w:rPr>
                      <w:rFonts w:eastAsia="宋体"/>
                      <w:b/>
                      <w:sz w:val="18"/>
                      <w:szCs w:val="18"/>
                      <w:lang w:eastAsia="zh-CN"/>
                    </w:rPr>
                    <w:t>type2*</w:t>
                  </w:r>
                </w:p>
              </w:tc>
              <w:tc>
                <w:tcPr>
                  <w:tcW w:w="1340" w:type="dxa"/>
                  <w:shd w:val="clear" w:color="auto" w:fill="FFFFFF" w:themeFill="background1"/>
                </w:tcPr>
                <w:p w14:paraId="1FB4BC37">
                  <w:pPr>
                    <w:overflowPunct w:val="0"/>
                    <w:autoSpaceDE w:val="0"/>
                    <w:autoSpaceDN w:val="0"/>
                    <w:adjustRightInd w:val="0"/>
                    <w:spacing w:after="180"/>
                    <w:jc w:val="center"/>
                    <w:textAlignment w:val="baseline"/>
                    <w:rPr>
                      <w:rFonts w:eastAsia="宋体"/>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14:paraId="2E680A13">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FFFFFF" w:themeFill="background1"/>
                </w:tcPr>
                <w:p w14:paraId="7D06BB37">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FFFFFF" w:themeFill="background1"/>
                </w:tcPr>
                <w:p w14:paraId="48CF3822">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00%(baseline*)</w:t>
                  </w:r>
                </w:p>
              </w:tc>
              <w:tc>
                <w:tcPr>
                  <w:tcW w:w="1258" w:type="dxa"/>
                  <w:shd w:val="clear" w:color="auto" w:fill="FFFFFF" w:themeFill="background1"/>
                </w:tcPr>
                <w:p w14:paraId="627FC2DE">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09.6%</w:t>
                  </w:r>
                </w:p>
              </w:tc>
              <w:tc>
                <w:tcPr>
                  <w:tcW w:w="1258" w:type="dxa"/>
                  <w:shd w:val="clear" w:color="auto" w:fill="FFFFFF" w:themeFill="background1"/>
                </w:tcPr>
                <w:p w14:paraId="696C925E">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25%</w:t>
                  </w:r>
                </w:p>
              </w:tc>
            </w:tr>
            <w:tr w14:paraId="2603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continue"/>
                  <w:shd w:val="clear" w:color="auto" w:fill="FFC000"/>
                </w:tcPr>
                <w:p w14:paraId="518A6132">
                  <w:pPr>
                    <w:overflowPunct w:val="0"/>
                    <w:autoSpaceDE w:val="0"/>
                    <w:autoSpaceDN w:val="0"/>
                    <w:adjustRightInd w:val="0"/>
                    <w:spacing w:after="180"/>
                    <w:jc w:val="both"/>
                    <w:textAlignment w:val="baseline"/>
                    <w:rPr>
                      <w:rFonts w:eastAsia="宋体"/>
                      <w:sz w:val="18"/>
                      <w:szCs w:val="18"/>
                      <w:lang w:eastAsia="zh-CN"/>
                    </w:rPr>
                  </w:pPr>
                </w:p>
              </w:tc>
              <w:tc>
                <w:tcPr>
                  <w:tcW w:w="1340" w:type="dxa"/>
                  <w:shd w:val="clear" w:color="auto" w:fill="FFC000"/>
                </w:tcPr>
                <w:p w14:paraId="424E47C0">
                  <w:pPr>
                    <w:overflowPunct w:val="0"/>
                    <w:autoSpaceDE w:val="0"/>
                    <w:autoSpaceDN w:val="0"/>
                    <w:adjustRightInd w:val="0"/>
                    <w:spacing w:after="180"/>
                    <w:jc w:val="center"/>
                    <w:textAlignment w:val="baseline"/>
                    <w:rPr>
                      <w:rFonts w:eastAsia="宋体"/>
                      <w:sz w:val="18"/>
                      <w:szCs w:val="18"/>
                      <w:lang w:eastAsia="zh-CN"/>
                    </w:rPr>
                  </w:pPr>
                  <w:r>
                    <w:rPr>
                      <w:rFonts w:eastAsiaTheme="minorEastAsia"/>
                      <w:i/>
                      <w:sz w:val="18"/>
                      <w:szCs w:val="18"/>
                      <w:lang w:eastAsia="zh-CN"/>
                    </w:rPr>
                    <w:t>’ without additional DMRS’</w:t>
                  </w:r>
                </w:p>
              </w:tc>
              <w:tc>
                <w:tcPr>
                  <w:tcW w:w="1527" w:type="dxa"/>
                  <w:shd w:val="clear" w:color="auto" w:fill="FFFFFF" w:themeFill="background1"/>
                </w:tcPr>
                <w:p w14:paraId="4A33F126">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FFFFFF" w:themeFill="background1"/>
                </w:tcPr>
                <w:p w14:paraId="7A9353C3">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FFFFFF" w:themeFill="background1"/>
                </w:tcPr>
                <w:p w14:paraId="02F6AF83">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FFC000"/>
                </w:tcPr>
                <w:p w14:paraId="03AFDF58">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23.7%</w:t>
                  </w:r>
                </w:p>
              </w:tc>
              <w:tc>
                <w:tcPr>
                  <w:tcW w:w="1258" w:type="dxa"/>
                  <w:shd w:val="clear" w:color="auto" w:fill="FFC000"/>
                </w:tcPr>
                <w:p w14:paraId="10D47734">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41.4%</w:t>
                  </w:r>
                </w:p>
              </w:tc>
            </w:tr>
          </w:tbl>
          <w:p w14:paraId="552C799A">
            <w:pPr>
              <w:overflowPunct w:val="0"/>
              <w:autoSpaceDE w:val="0"/>
              <w:autoSpaceDN w:val="0"/>
              <w:adjustRightInd w:val="0"/>
              <w:spacing w:after="180"/>
              <w:jc w:val="both"/>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ote *: Number of DMRS CDM groups without data=3</w:t>
            </w:r>
          </w:p>
          <w:p w14:paraId="24DE0B89">
            <w:pPr>
              <w:overflowPunct w:val="0"/>
              <w:autoSpaceDE w:val="0"/>
              <w:autoSpaceDN w:val="0"/>
              <w:adjustRightInd w:val="0"/>
              <w:spacing w:after="180"/>
              <w:jc w:val="both"/>
              <w:textAlignment w:val="baseline"/>
              <w:rPr>
                <w:rFonts w:eastAsia="宋体"/>
                <w:sz w:val="18"/>
                <w:szCs w:val="18"/>
                <w:lang w:eastAsia="zh-CN"/>
              </w:rPr>
            </w:pPr>
          </w:p>
          <w:p w14:paraId="030B29B1">
            <w:pPr>
              <w:overflowPunct w:val="0"/>
              <w:autoSpaceDE w:val="0"/>
              <w:autoSpaceDN w:val="0"/>
              <w:adjustRightInd w:val="0"/>
              <w:spacing w:after="180"/>
              <w:jc w:val="both"/>
              <w:textAlignment w:val="baseline"/>
              <w:rPr>
                <w:rFonts w:eastAsia="宋体"/>
                <w:sz w:val="18"/>
                <w:szCs w:val="18"/>
                <w:lang w:eastAsia="zh-CN"/>
              </w:rPr>
            </w:pPr>
            <w:r>
              <w:rPr>
                <w:rFonts w:hint="eastAsia" w:eastAsia="宋体"/>
                <w:sz w:val="18"/>
                <w:szCs w:val="18"/>
                <w:lang w:eastAsia="zh-CN"/>
              </w:rPr>
              <w:t>B</w:t>
            </w:r>
            <w:r>
              <w:rPr>
                <w:rFonts w:eastAsia="宋体"/>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宋体"/>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25DC9B35">
            <w:pPr>
              <w:overflowPunct w:val="0"/>
              <w:autoSpaceDE w:val="0"/>
              <w:autoSpaceDN w:val="0"/>
              <w:adjustRightInd w:val="0"/>
              <w:spacing w:after="180"/>
              <w:jc w:val="both"/>
              <w:textAlignment w:val="baseline"/>
              <w:rPr>
                <w:rFonts w:eastAsia="宋体"/>
                <w:sz w:val="18"/>
                <w:szCs w:val="18"/>
                <w:lang w:eastAsia="zh-CN"/>
              </w:rPr>
            </w:pPr>
          </w:p>
          <w:p w14:paraId="5A971999">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49FBE92C">
            <w:pPr>
              <w:overflowPunct w:val="0"/>
              <w:autoSpaceDE w:val="0"/>
              <w:autoSpaceDN w:val="0"/>
              <w:adjustRightInd w:val="0"/>
              <w:spacing w:after="180"/>
              <w:jc w:val="both"/>
              <w:textAlignment w:val="baseline"/>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65B38AB9">
            <w:pPr>
              <w:overflowPunct w:val="0"/>
              <w:autoSpaceDE w:val="0"/>
              <w:autoSpaceDN w:val="0"/>
              <w:adjustRightInd w:val="0"/>
              <w:spacing w:after="180"/>
              <w:textAlignment w:val="baseline"/>
              <w:rPr>
                <w:rFonts w:eastAsiaTheme="minorEastAsia"/>
                <w:sz w:val="18"/>
                <w:szCs w:val="18"/>
                <w:lang w:eastAsia="zh-CN"/>
              </w:rPr>
            </w:pPr>
            <w:r>
              <w:rPr>
                <w:rFonts w:hint="eastAsia" w:eastAsiaTheme="minorEastAsia"/>
                <w:sz w:val="18"/>
                <w:szCs w:val="18"/>
                <w:lang w:eastAsia="zh-CN"/>
              </w:rPr>
              <w:t>P</w:t>
            </w:r>
            <w:r>
              <w:rPr>
                <w:rFonts w:eastAsiaTheme="minorEastAsia"/>
                <w:sz w:val="18"/>
                <w:szCs w:val="18"/>
                <w:lang w:eastAsia="zh-CN"/>
              </w:rPr>
              <w:t>roposal:</w:t>
            </w:r>
          </w:p>
          <w:p w14:paraId="43B11EFE">
            <w:pPr>
              <w:pStyle w:val="108"/>
              <w:widowControl w:val="0"/>
              <w:numPr>
                <w:ilvl w:val="0"/>
                <w:numId w:val="24"/>
              </w:numPr>
              <w:overflowPunct w:val="0"/>
              <w:autoSpaceDE w:val="0"/>
              <w:autoSpaceDN w:val="0"/>
              <w:adjustRightInd w:val="0"/>
              <w:spacing w:after="120"/>
              <w:ind w:leftChars="0"/>
              <w:jc w:val="both"/>
              <w:textAlignment w:val="baseline"/>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6FA21148">
            <w:pPr>
              <w:pStyle w:val="108"/>
              <w:widowControl w:val="0"/>
              <w:numPr>
                <w:ilvl w:val="0"/>
                <w:numId w:val="24"/>
              </w:numPr>
              <w:overflowPunct w:val="0"/>
              <w:autoSpaceDE w:val="0"/>
              <w:autoSpaceDN w:val="0"/>
              <w:adjustRightInd w:val="0"/>
              <w:spacing w:after="120"/>
              <w:ind w:leftChars="0"/>
              <w:jc w:val="both"/>
              <w:textAlignment w:val="baseline"/>
              <w:rPr>
                <w:rFonts w:eastAsiaTheme="minorEastAsia"/>
              </w:rPr>
            </w:pPr>
            <w:r>
              <w:rPr>
                <w:rFonts w:eastAsiaTheme="minorEastAsia"/>
                <w:sz w:val="18"/>
                <w:szCs w:val="18"/>
              </w:rPr>
              <w:t>Introduce a new UE capability.</w:t>
            </w:r>
          </w:p>
        </w:tc>
      </w:tr>
      <w:tr w14:paraId="486E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50248CF1">
            <w:pPr>
              <w:overflowPunct w:val="0"/>
              <w:autoSpaceDE w:val="0"/>
              <w:autoSpaceDN w:val="0"/>
              <w:adjustRightInd w:val="0"/>
              <w:spacing w:after="0"/>
              <w:textAlignment w:val="baseline"/>
              <w:rPr>
                <w:rFonts w:hint="eastAsia" w:ascii="Arial" w:hAnsi="Arial" w:eastAsia="MS Mincho"/>
                <w:sz w:val="22"/>
                <w:szCs w:val="22"/>
                <w:lang w:val="en-US"/>
              </w:rPr>
            </w:pPr>
          </w:p>
        </w:tc>
        <w:tc>
          <w:tcPr>
            <w:tcW w:w="9066" w:type="dxa"/>
          </w:tcPr>
          <w:p w14:paraId="7791DC24">
            <w:pPr>
              <w:pStyle w:val="108"/>
              <w:widowControl w:val="0"/>
              <w:numPr>
                <w:ilvl w:val="0"/>
                <w:numId w:val="24"/>
              </w:numPr>
              <w:overflowPunct w:val="0"/>
              <w:autoSpaceDE w:val="0"/>
              <w:autoSpaceDN w:val="0"/>
              <w:adjustRightInd w:val="0"/>
              <w:spacing w:after="120"/>
              <w:ind w:leftChars="0"/>
              <w:jc w:val="both"/>
              <w:textAlignment w:val="baseline"/>
              <w:rPr>
                <w:rFonts w:eastAsiaTheme="minorEastAsia"/>
                <w:sz w:val="18"/>
                <w:szCs w:val="18"/>
              </w:rPr>
            </w:pPr>
          </w:p>
        </w:tc>
      </w:tr>
    </w:tbl>
    <w:p w14:paraId="46EBD17D">
      <w:pPr>
        <w:rPr>
          <w:b/>
        </w:rPr>
      </w:pPr>
    </w:p>
    <w:p w14:paraId="7797826B">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14:paraId="20CBE9CC">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4</w:t>
      </w:r>
    </w:p>
    <w:p w14:paraId="1CA8A02F">
      <w:pPr>
        <w:pStyle w:val="108"/>
        <w:numPr>
          <w:ilvl w:val="0"/>
          <w:numId w:val="20"/>
        </w:numPr>
        <w:ind w:leftChars="0"/>
        <w:jc w:val="both"/>
        <w:rPr>
          <w:b/>
        </w:rPr>
      </w:pPr>
      <w:r>
        <w:rPr>
          <w:rFonts w:hint="eastAsia"/>
          <w:b/>
        </w:rPr>
        <w:t>Support the following DMRS mapping and corresponding UE capability.</w:t>
      </w:r>
    </w:p>
    <w:p w14:paraId="407703EA">
      <w:pPr>
        <w:pStyle w:val="108"/>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14:paraId="1CA18B47">
      <w:pPr>
        <w:rPr>
          <w:rFonts w:eastAsia="MS Mincho" w:cs="Batang"/>
          <w:sz w:val="22"/>
          <w:szCs w:val="22"/>
        </w:rPr>
      </w:pPr>
    </w:p>
    <w:p w14:paraId="0235E8A2">
      <w:pPr>
        <w:rPr>
          <w:rFonts w:eastAsia="MS Mincho" w:cs="Batang"/>
          <w:sz w:val="22"/>
          <w:szCs w:val="22"/>
        </w:rPr>
      </w:pPr>
      <w:r>
        <w:rPr>
          <w:rFonts w:hint="eastAsia" w:eastAsia="MS Mincho" w:cs="Batang"/>
          <w:sz w:val="22"/>
          <w:szCs w:val="22"/>
        </w:rPr>
        <w:t>T</w:t>
      </w:r>
      <w:r>
        <w:rPr>
          <w:rFonts w:eastAsia="MS Mincho" w:cs="Batang"/>
          <w:sz w:val="22"/>
          <w:szCs w:val="22"/>
        </w:rPr>
        <w:t>his proposal is already supported by</w:t>
      </w:r>
      <w:r>
        <w:rPr>
          <w:rFonts w:hint="eastAsia" w:eastAsia="MS Mincho" w:cs="Batang"/>
          <w:sz w:val="22"/>
          <w:szCs w:val="22"/>
        </w:rPr>
        <w:t xml:space="preserve"> vivo</w:t>
      </w:r>
      <w:r>
        <w:rPr>
          <w:rFonts w:eastAsia="MS Mincho" w:cs="Batang"/>
          <w:sz w:val="22"/>
          <w:szCs w:val="22"/>
        </w:rPr>
        <w:t>.</w:t>
      </w:r>
    </w:p>
    <w:p w14:paraId="3EC0D47A">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2"/>
        <w:gridCol w:w="1121"/>
        <w:gridCol w:w="6825"/>
      </w:tblGrid>
      <w:tr w14:paraId="2925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shd w:val="clear" w:color="auto" w:fill="F1F1F1" w:themeFill="background1" w:themeFillShade="F2"/>
          </w:tcPr>
          <w:p w14:paraId="3F9EE8B7">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14:paraId="73B2CE5C">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825" w:type="dxa"/>
            <w:shd w:val="clear" w:color="auto" w:fill="F1F1F1" w:themeFill="background1" w:themeFillShade="F2"/>
          </w:tcPr>
          <w:p w14:paraId="2C105353">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14:paraId="08C16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14:paraId="43246554">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DOCOMO</w:t>
            </w:r>
          </w:p>
        </w:tc>
        <w:tc>
          <w:tcPr>
            <w:tcW w:w="1121" w:type="dxa"/>
          </w:tcPr>
          <w:p w14:paraId="717426A3">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N</w:t>
            </w:r>
          </w:p>
        </w:tc>
        <w:tc>
          <w:tcPr>
            <w:tcW w:w="6825" w:type="dxa"/>
          </w:tcPr>
          <w:p w14:paraId="0C2F94B0">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10046C87">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329FAB4B">
            <w:pPr>
              <w:overflowPunct w:val="0"/>
              <w:autoSpaceDE w:val="0"/>
              <w:autoSpaceDN w:val="0"/>
              <w:adjustRightInd w:val="0"/>
              <w:spacing w:after="120" w:afterLines="50"/>
              <w:jc w:val="both"/>
              <w:textAlignment w:val="baseline"/>
              <w:rPr>
                <w:sz w:val="22"/>
                <w:lang w:val="en-US"/>
              </w:rPr>
            </w:pPr>
            <w:r>
              <w:rPr>
                <w:sz w:val="22"/>
                <w:lang w:val="en-US" w:eastAsia="zh-CN"/>
              </w:rPr>
              <w:drawing>
                <wp:inline distT="0" distB="0" distL="0" distR="0">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4"/>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sz w:val="22"/>
                <w:lang w:val="en-US" w:eastAsia="zh-CN"/>
              </w:rPr>
              <w:drawing>
                <wp:inline distT="0" distB="0" distL="0" distR="0">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5"/>
                          <a:stretch>
                            <a:fillRect/>
                          </a:stretch>
                        </pic:blipFill>
                        <pic:spPr>
                          <a:xfrm>
                            <a:off x="0" y="0"/>
                            <a:ext cx="1962777" cy="956845"/>
                          </a:xfrm>
                          <a:prstGeom prst="rect">
                            <a:avLst/>
                          </a:prstGeom>
                        </pic:spPr>
                      </pic:pic>
                    </a:graphicData>
                  </a:graphic>
                </wp:inline>
              </w:drawing>
            </w:r>
          </w:p>
          <w:p w14:paraId="5B344A99">
            <w:pPr>
              <w:overflowPunct w:val="0"/>
              <w:autoSpaceDE w:val="0"/>
              <w:autoSpaceDN w:val="0"/>
              <w:adjustRightInd w:val="0"/>
              <w:spacing w:after="120" w:afterLines="50"/>
              <w:ind w:firstLine="330" w:firstLineChars="150"/>
              <w:jc w:val="both"/>
              <w:textAlignment w:val="baseline"/>
              <w:rPr>
                <w:sz w:val="22"/>
                <w:lang w:val="en-US"/>
              </w:rPr>
            </w:pPr>
            <w:r>
              <w:rPr>
                <w:rFonts w:hint="eastAsia"/>
                <w:sz w:val="22"/>
                <w:lang w:val="en-US"/>
              </w:rPr>
              <w:t>a) R18 eType1 DMRS ports                b) TEI proposal#4 (R15 Type1)</w:t>
            </w:r>
          </w:p>
          <w:p w14:paraId="71FB99F5">
            <w:pPr>
              <w:overflowPunct w:val="0"/>
              <w:autoSpaceDE w:val="0"/>
              <w:autoSpaceDN w:val="0"/>
              <w:adjustRightInd w:val="0"/>
              <w:spacing w:after="120" w:afterLines="50"/>
              <w:jc w:val="both"/>
              <w:textAlignment w:val="baseline"/>
              <w:rPr>
                <w:sz w:val="22"/>
                <w:lang w:val="en-US"/>
              </w:rPr>
            </w:pPr>
            <w:r>
              <w:rPr>
                <w:rFonts w:hint="eastAsia"/>
                <w:sz w:val="22"/>
                <w:lang w:val="en-US"/>
              </w:rPr>
              <w:t>However, if we apply the TEI proposal#4 to Rel.18 DMRS, we see the benefit of DMRS overhead reduction.</w:t>
            </w:r>
          </w:p>
        </w:tc>
      </w:tr>
      <w:tr w14:paraId="74F4B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14:paraId="0D2E5881">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121" w:type="dxa"/>
          </w:tcPr>
          <w:p w14:paraId="61EFC5B9">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See comments</w:t>
            </w:r>
          </w:p>
        </w:tc>
        <w:tc>
          <w:tcPr>
            <w:tcW w:w="6825" w:type="dxa"/>
          </w:tcPr>
          <w:p w14:paraId="60B4C330">
            <w:pPr>
              <w:overflowPunct w:val="0"/>
              <w:autoSpaceDE w:val="0"/>
              <w:autoSpaceDN w:val="0"/>
              <w:adjustRightInd w:val="0"/>
              <w:spacing w:after="120" w:afterLines="50"/>
              <w:jc w:val="both"/>
              <w:textAlignment w:val="baseline"/>
              <w:rPr>
                <w:sz w:val="22"/>
                <w:lang w:val="en-US"/>
              </w:rPr>
            </w:pPr>
            <w:r>
              <w:t>The case that scheduled rank is larger than 4</w:t>
            </w:r>
            <w:r>
              <w:rPr>
                <w:rFonts w:hint="eastAsia"/>
              </w:rPr>
              <w:t xml:space="preserve"> for PDSCH</w:t>
            </w:r>
            <w:r>
              <w:t xml:space="preserve"> only happens when SU-MIMO is performed. However, MU-MIMO is more popular to increase cell throughput. We would like to see more views from operators.</w:t>
            </w:r>
          </w:p>
        </w:tc>
      </w:tr>
      <w:tr w14:paraId="2692F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14:paraId="0D916C73">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Qualcomm</w:t>
            </w:r>
          </w:p>
        </w:tc>
        <w:tc>
          <w:tcPr>
            <w:tcW w:w="1121" w:type="dxa"/>
          </w:tcPr>
          <w:p w14:paraId="41FCDF9A">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w:t>
            </w:r>
          </w:p>
        </w:tc>
        <w:tc>
          <w:tcPr>
            <w:tcW w:w="6825" w:type="dxa"/>
          </w:tcPr>
          <w:p w14:paraId="1757F822">
            <w:pPr>
              <w:overflowPunct w:val="0"/>
              <w:autoSpaceDE w:val="0"/>
              <w:autoSpaceDN w:val="0"/>
              <w:adjustRightInd w:val="0"/>
              <w:spacing w:after="120" w:afterLines="50"/>
              <w:jc w:val="both"/>
              <w:textAlignment w:val="baseline"/>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08F42332">
            <w:pPr>
              <w:overflowPunct w:val="0"/>
              <w:autoSpaceDE w:val="0"/>
              <w:autoSpaceDN w:val="0"/>
              <w:adjustRightInd w:val="0"/>
              <w:spacing w:after="120" w:afterLines="50"/>
              <w:jc w:val="both"/>
              <w:textAlignment w:val="baseline"/>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14:paraId="499F1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14:paraId="11A1ABBC">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MediaTek</w:t>
            </w:r>
          </w:p>
        </w:tc>
        <w:tc>
          <w:tcPr>
            <w:tcW w:w="1121" w:type="dxa"/>
          </w:tcPr>
          <w:p w14:paraId="500F692F">
            <w:pPr>
              <w:overflowPunct w:val="0"/>
              <w:autoSpaceDE w:val="0"/>
              <w:autoSpaceDN w:val="0"/>
              <w:adjustRightInd w:val="0"/>
              <w:spacing w:after="120" w:afterLines="50"/>
              <w:jc w:val="both"/>
              <w:textAlignment w:val="baseline"/>
              <w:rPr>
                <w:sz w:val="22"/>
                <w:lang w:val="en-US"/>
              </w:rPr>
            </w:pPr>
            <w:r>
              <w:rPr>
                <w:sz w:val="22"/>
                <w:lang w:val="en-US"/>
              </w:rPr>
              <w:t>No</w:t>
            </w:r>
          </w:p>
        </w:tc>
        <w:tc>
          <w:tcPr>
            <w:tcW w:w="6825" w:type="dxa"/>
          </w:tcPr>
          <w:p w14:paraId="63CFCEA7">
            <w:pPr>
              <w:overflowPunct w:val="0"/>
              <w:autoSpaceDE w:val="0"/>
              <w:autoSpaceDN w:val="0"/>
              <w:adjustRightInd w:val="0"/>
              <w:spacing w:after="120" w:afterLines="50"/>
              <w:jc w:val="both"/>
              <w:textAlignment w:val="baseline"/>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14:paraId="298B7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14:paraId="6A390163">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121" w:type="dxa"/>
          </w:tcPr>
          <w:p w14:paraId="617E8CEB">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825" w:type="dxa"/>
          </w:tcPr>
          <w:p w14:paraId="7C632140">
            <w:pPr>
              <w:overflowPunct w:val="0"/>
              <w:autoSpaceDE w:val="0"/>
              <w:autoSpaceDN w:val="0"/>
              <w:adjustRightInd w:val="0"/>
              <w:spacing w:after="120" w:afterLines="50"/>
              <w:jc w:val="both"/>
              <w:textAlignment w:val="baseline"/>
              <w:rPr>
                <w:sz w:val="22"/>
                <w:lang w:val="en-US"/>
              </w:rPr>
            </w:pPr>
            <w:r>
              <w:rPr>
                <w:sz w:val="22"/>
                <w:lang w:val="en-US"/>
              </w:rPr>
              <w:t>So far we don't have any UEs supporting 8RX, hence the necessity on this proposal is quite limited. Also, enhanced DMRS type has been introduced Rel-18 which can achieve up to 8 layer reception by using 1 front-loaded DMRS symbol, which is also mentioned by Docomo.</w:t>
            </w:r>
          </w:p>
        </w:tc>
      </w:tr>
      <w:tr w14:paraId="0BCC9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14:paraId="646CA279">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Ericsson</w:t>
            </w:r>
          </w:p>
        </w:tc>
        <w:tc>
          <w:tcPr>
            <w:tcW w:w="1121" w:type="dxa"/>
          </w:tcPr>
          <w:p w14:paraId="6429013C">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N</w:t>
            </w:r>
          </w:p>
        </w:tc>
        <w:tc>
          <w:tcPr>
            <w:tcW w:w="6825" w:type="dxa"/>
          </w:tcPr>
          <w:p w14:paraId="1FA5BD0B">
            <w:pPr>
              <w:overflowPunct w:val="0"/>
              <w:autoSpaceDE w:val="0"/>
              <w:autoSpaceDN w:val="0"/>
              <w:adjustRightInd w:val="0"/>
              <w:spacing w:after="120" w:afterLines="50"/>
              <w:jc w:val="both"/>
              <w:textAlignment w:val="baseline"/>
              <w:rPr>
                <w:sz w:val="22"/>
                <w:lang w:val="en-US"/>
              </w:rPr>
            </w:pPr>
            <w:r>
              <w:rPr>
                <w:sz w:val="22"/>
                <w:lang w:val="en-US"/>
              </w:rPr>
              <w:t xml:space="preserve">Agree with Qualcomm’s view. </w:t>
            </w:r>
          </w:p>
        </w:tc>
      </w:tr>
      <w:tr w14:paraId="0E09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vAlign w:val="top"/>
          </w:tcPr>
          <w:p w14:paraId="63367613">
            <w:pPr>
              <w:overflowPunct w:val="0"/>
              <w:autoSpaceDE w:val="0"/>
              <w:autoSpaceDN w:val="0"/>
              <w:adjustRightInd w:val="0"/>
              <w:spacing w:after="120" w:afterLines="50"/>
              <w:jc w:val="both"/>
              <w:textAlignment w:val="baseline"/>
              <w:rPr>
                <w:sz w:val="22"/>
                <w:lang w:val="en-US"/>
              </w:rPr>
            </w:pPr>
            <w:r>
              <w:rPr>
                <w:rFonts w:hint="eastAsia" w:eastAsia="宋体"/>
                <w:sz w:val="22"/>
                <w:lang w:val="en-US" w:eastAsia="zh-CN"/>
              </w:rPr>
              <w:t>CATT</w:t>
            </w:r>
          </w:p>
        </w:tc>
        <w:tc>
          <w:tcPr>
            <w:tcW w:w="1121" w:type="dxa"/>
            <w:vAlign w:val="top"/>
          </w:tcPr>
          <w:p w14:paraId="586A34D0">
            <w:pPr>
              <w:overflowPunct w:val="0"/>
              <w:autoSpaceDE w:val="0"/>
              <w:autoSpaceDN w:val="0"/>
              <w:adjustRightInd w:val="0"/>
              <w:spacing w:after="120" w:afterLines="50"/>
              <w:jc w:val="both"/>
              <w:textAlignment w:val="baseline"/>
              <w:rPr>
                <w:sz w:val="22"/>
                <w:lang w:val="en-US"/>
              </w:rPr>
            </w:pPr>
          </w:p>
        </w:tc>
        <w:tc>
          <w:tcPr>
            <w:tcW w:w="6825" w:type="dxa"/>
            <w:vAlign w:val="top"/>
          </w:tcPr>
          <w:p w14:paraId="52A7A217">
            <w:pPr>
              <w:overflowPunct w:val="0"/>
              <w:autoSpaceDE w:val="0"/>
              <w:autoSpaceDN w:val="0"/>
              <w:adjustRightInd w:val="0"/>
              <w:spacing w:after="120" w:afterLines="50"/>
              <w:jc w:val="both"/>
              <w:textAlignment w:val="baseline"/>
              <w:rPr>
                <w:sz w:val="22"/>
                <w:lang w:val="en-US"/>
              </w:rPr>
            </w:pPr>
            <w:r>
              <w:rPr>
                <w:rFonts w:hint="eastAsia" w:eastAsia="宋体"/>
                <w:sz w:val="22"/>
                <w:lang w:val="en-US" w:eastAsia="zh-CN"/>
              </w:rPr>
              <w:t>Further investigation on the impact of omitting additional DMRS on demodulation performance is needed to justify the proposal.</w:t>
            </w:r>
          </w:p>
        </w:tc>
      </w:tr>
    </w:tbl>
    <w:p w14:paraId="15D32BA7">
      <w:pPr>
        <w:rPr>
          <w:b/>
          <w:lang w:val="en-US"/>
        </w:rPr>
      </w:pPr>
    </w:p>
    <w:p w14:paraId="387BAAA5">
      <w:pPr>
        <w:rPr>
          <w:b/>
          <w:lang w:val="en-US"/>
        </w:rPr>
      </w:pPr>
    </w:p>
    <w:p w14:paraId="23E27D21">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SRS beam configuration for positioning</w:t>
      </w:r>
    </w:p>
    <w:p w14:paraId="5B65BD2C">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14:paraId="2535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6E007723">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[3</w:t>
            </w:r>
            <w:r>
              <w:rPr>
                <w:rFonts w:ascii="Arial" w:hAnsi="Arial" w:eastAsia="MS Mincho"/>
                <w:sz w:val="22"/>
                <w:szCs w:val="22"/>
                <w:lang w:val="en-US"/>
              </w:rPr>
              <w:t>]</w:t>
            </w:r>
          </w:p>
        </w:tc>
        <w:tc>
          <w:tcPr>
            <w:tcW w:w="9066" w:type="dxa"/>
          </w:tcPr>
          <w:p w14:paraId="2475A9DE">
            <w:pPr>
              <w:pStyle w:val="2"/>
              <w:overflowPunct w:val="0"/>
              <w:autoSpaceDE w:val="0"/>
              <w:autoSpaceDN w:val="0"/>
              <w:adjustRightInd w:val="0"/>
              <w:textAlignment w:val="baseline"/>
              <w:rPr>
                <w:sz w:val="18"/>
                <w:szCs w:val="18"/>
                <w:lang w:eastAsia="zh-CN"/>
              </w:rPr>
            </w:pPr>
            <w:r>
              <w:rPr>
                <w:rFonts w:hint="eastAsia"/>
                <w:sz w:val="18"/>
                <w:szCs w:val="18"/>
                <w:lang w:eastAsia="zh-CN"/>
              </w:rPr>
              <w:t>E</w:t>
            </w:r>
            <w:r>
              <w:rPr>
                <w:sz w:val="18"/>
                <w:szCs w:val="18"/>
                <w:lang w:eastAsia="zh-CN"/>
              </w:rPr>
              <w:t>xisting problems</w:t>
            </w:r>
          </w:p>
          <w:p w14:paraId="351B74CA">
            <w:pPr>
              <w:overflowPunct w:val="0"/>
              <w:autoSpaceDE w:val="0"/>
              <w:autoSpaceDN w:val="0"/>
              <w:adjustRightInd w:val="0"/>
              <w:spacing w:after="180"/>
              <w:textAlignment w:val="baseline"/>
              <w:rPr>
                <w:sz w:val="18"/>
                <w:szCs w:val="18"/>
                <w:lang w:eastAsia="zh-CN"/>
              </w:rPr>
            </w:pPr>
            <w:r>
              <w:rPr>
                <w:sz w:val="18"/>
                <w:szCs w:val="18"/>
                <w:lang w:eastAsia="zh-CN"/>
              </w:rPr>
              <w:t>For mmWave positioning with single TRP, usually RTT+AoA is a candidate solution. However, it is well acknowledged that the group delay for RTT can only be cancelled using the differential method under the TEG framework.</w:t>
            </w:r>
          </w:p>
          <w:p w14:paraId="28B35A29">
            <w:pPr>
              <w:overflowPunct w:val="0"/>
              <w:autoSpaceDE w:val="0"/>
              <w:autoSpaceDN w:val="0"/>
              <w:adjustRightInd w:val="0"/>
              <w:spacing w:after="180"/>
              <w:textAlignment w:val="baseline"/>
              <w:rPr>
                <w:sz w:val="18"/>
                <w:szCs w:val="18"/>
                <w:lang w:eastAsia="zh-CN"/>
              </w:rPr>
            </w:pPr>
            <w:r>
              <w:rPr>
                <w:sz w:val="18"/>
                <w:szCs w:val="18"/>
                <w:lang w:eastAsia="zh-CN"/>
              </w:rPr>
              <w:t xml:space="preserve">Therefore, exploring </w:t>
            </w:r>
            <w:r>
              <w:rPr>
                <w:sz w:val="18"/>
                <w:szCs w:val="18"/>
              </w:rPr>
              <w:t>additional spatial propagation information to the LoS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504DED45">
            <w:pPr>
              <w:overflowPunct w:val="0"/>
              <w:autoSpaceDE w:val="0"/>
              <w:autoSpaceDN w:val="0"/>
              <w:adjustRightInd w:val="0"/>
              <w:spacing w:after="180"/>
              <w:textAlignment w:val="baseline"/>
              <w:rPr>
                <w:sz w:val="18"/>
                <w:szCs w:val="18"/>
                <w:lang w:eastAsia="zh-CN"/>
              </w:rPr>
            </w:pPr>
            <w:r>
              <w:rPr>
                <w:sz w:val="18"/>
                <w:szCs w:val="18"/>
                <w:lang w:eastAsia="zh-CN"/>
              </w:rPr>
              <w:t>There exist two potential existing ways for that purpose.</w:t>
            </w:r>
          </w:p>
          <w:p w14:paraId="3583AD84">
            <w:pPr>
              <w:pStyle w:val="163"/>
              <w:overflowPunct w:val="0"/>
              <w:autoSpaceDE w:val="0"/>
              <w:autoSpaceDN w:val="0"/>
              <w:adjustRightInd w:val="0"/>
              <w:snapToGrid w:val="0"/>
              <w:spacing w:before="0" w:after="120"/>
              <w:textAlignment w:val="baseline"/>
              <w:rPr>
                <w:sz w:val="18"/>
                <w:szCs w:val="18"/>
              </w:rPr>
            </w:pPr>
            <w:r>
              <w:rPr>
                <w:sz w:val="18"/>
                <w:szCs w:val="18"/>
              </w:rPr>
              <w:t>Solution 2-1: Network does not configure any spatial relation RS, and relies on UE implementation to select the SRS Tx beam.</w:t>
            </w:r>
          </w:p>
          <w:p w14:paraId="1308152F">
            <w:pPr>
              <w:pStyle w:val="163"/>
              <w:overflowPunct w:val="0"/>
              <w:autoSpaceDE w:val="0"/>
              <w:autoSpaceDN w:val="0"/>
              <w:adjustRightInd w:val="0"/>
              <w:snapToGrid w:val="0"/>
              <w:spacing w:before="0" w:after="120"/>
              <w:textAlignment w:val="baseline"/>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14:paraId="658B9E38">
            <w:pPr>
              <w:pStyle w:val="163"/>
              <w:numPr>
                <w:ilvl w:val="0"/>
                <w:numId w:val="0"/>
              </w:numPr>
              <w:overflowPunct w:val="0"/>
              <w:autoSpaceDE w:val="0"/>
              <w:autoSpaceDN w:val="0"/>
              <w:adjustRightInd w:val="0"/>
              <w:textAlignment w:val="baseline"/>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3CA77FF5">
            <w:pPr>
              <w:pStyle w:val="163"/>
              <w:numPr>
                <w:ilvl w:val="0"/>
                <w:numId w:val="0"/>
              </w:numPr>
              <w:overflowPunct w:val="0"/>
              <w:autoSpaceDE w:val="0"/>
              <w:autoSpaceDN w:val="0"/>
              <w:adjustRightInd w:val="0"/>
              <w:textAlignment w:val="baseline"/>
              <w:rPr>
                <w:sz w:val="18"/>
                <w:szCs w:val="18"/>
              </w:rPr>
            </w:pPr>
            <w:r>
              <w:rPr>
                <w:sz w:val="18"/>
                <w:szCs w:val="18"/>
              </w:rPr>
              <w:t xml:space="preserve">On Solution 2-2, the problem is that in indoor cases, some reflection (EO-Type 2 in ISAC channel model) happens close to the UE, e.g. wall or ground, which results in diverse AoA at UE but almost the same AoD at the TRP, as shown in </w:t>
            </w:r>
            <w:r>
              <w:rPr>
                <w:sz w:val="18"/>
                <w:szCs w:val="18"/>
              </w:rPr>
              <w:fldChar w:fldCharType="begin"/>
            </w:r>
            <w:r>
              <w:rPr>
                <w:sz w:val="18"/>
                <w:szCs w:val="18"/>
              </w:rPr>
              <w:instrText xml:space="preserve"> REF _Ref178005231 \h  \* MERGEFORMAT </w:instrText>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335D473F">
            <w:pPr>
              <w:pStyle w:val="163"/>
              <w:keepNext/>
              <w:numPr>
                <w:ilvl w:val="0"/>
                <w:numId w:val="0"/>
              </w:numPr>
              <w:overflowPunct w:val="0"/>
              <w:autoSpaceDE w:val="0"/>
              <w:autoSpaceDN w:val="0"/>
              <w:adjustRightInd w:val="0"/>
              <w:jc w:val="center"/>
              <w:textAlignment w:val="baseline"/>
              <w:rPr>
                <w:sz w:val="18"/>
                <w:szCs w:val="18"/>
              </w:rPr>
            </w:pPr>
            <w:r>
              <w:rPr>
                <w:sz w:val="18"/>
                <w:szCs w:val="18"/>
              </w:rPr>
              <mc:AlternateContent>
                <mc:Choice Requires="wpc">
                  <w:drawing>
                    <wp:inline distT="0" distB="0" distL="0" distR="0">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19A6ADF5">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62F0D1C5">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13348F18">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画布 57" o:spid="_x0000_s1026" o:spt="203" style="height:228.2pt;width:343.45pt;" coordsize="4361815,2898140" editas="canvas"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">
                      <o:lock v:ext="edit" aspectratio="f"/>
                      <v:shape id="画布 57" o:spid="_x0000_s1026" style="position:absolute;left:0;top:0;height:2898140;width:4361815;" filled="f" stroked="f" coordsize="21600,21600"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">
                        <v:fill on="f" focussize="0,0"/>
                        <v:stroke on="f"/>
                        <v:imagedata o:title=""/>
                        <o:lock v:ext="edit" aspectratio="t"/>
                      </v:shape>
                      <v:shape id="椭圆 11" o:spid="_x0000_s1026" o:spt="3" type="#_x0000_t3" style="position:absolute;left:1932355;top:2296517;height:404984;width:112174;rotation:5898240f;v-text-anchor:middle;" fillcolor="#92D050" filled="t" stroked="f" coordsize="21600,21600" o:gfxdata="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LXVW9QAAAAFAQAADwAAAAAA&#10;AAABACAAAAAiAAAAZHJzL2Rvd25yZXYueG1sUEsBAhQAFAAAAAgAh07iQCyc8reJAgAA8QQAAA4A&#10;AAAAAAAAAQAgAAAAIwEAAGRycy9lMm9Eb2MueG1sUEsFBgAAAAAGAAYAWQEAAB4GAAAAAA==&#10;">
                        <v:fill on="t" focussize="0,0"/>
                        <v:stroke on="f" weight="1pt" miterlimit="8" joinstyle="miter"/>
                        <v:imagedata o:title=""/>
                        <o:lock v:ext="edit" aspectratio="f"/>
                      </v:shape>
                      <v:shape id="等腰三角形 15" o:spid="_x0000_s1026" o:spt="5" type="#_x0000_t5" style="position:absolute;left:278097;top:416176;height:1066707;width:255794;v-text-anchor:middle;" filled="f" stroked="t" coordsize="21600,21600" o:gfxdata="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8w20TXAAAABQEAAA8AAAAAAAAAAQAgAAAAIgAAAGRycy9kb3ducmV2LnhtbFBLAQIU&#10;ABQAAAAIAIdO4kDqSttInwIAAA0FAAAOAAAAAAAAAAEAIAAAACYBAABkcnMvZTJvRG9jLnhtbFBL&#10;BQYAAAAABgAGAFkBAAA3BgAAAAA=&#10;" adj="10800">
                        <v:fill on="f" focussize="0,0"/>
                        <v:stroke weight="1pt" color="#41719C [3204]" miterlimit="8" joinstyle="miter"/>
                        <v:imagedata o:title=""/>
                        <o:lock v:ext="edit" aspectratio="f"/>
                      </v:shape>
                      <v:rect id="矩形 16" o:spid="_x0000_s1026" o:spt="1" style="position:absolute;left:2742326;top:1640107;height:204826;width:614477;rotation:5898240f;v-text-anchor:middle;" filled="f" stroked="t" coordsize="21600,21600" o:gfxdata="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aMzWL9cA&#10;AAAFAQAADwAAAAAAAAABACAAAAAiAAAAZHJzL2Rvd25yZXYueG1sUEsBAhQAFAAAAAgAh07iQGU2&#10;jXuSAgAADgUAAA4AAAAAAAAAAQAgAAAAJgEAAGRycy9lMm9Eb2MueG1sUEsFBgAAAAAGAAYAWQEA&#10;ACoGAAAAAA==&#10;">
                        <v:fill on="f" focussize="0,0"/>
                        <v:stroke weight="1pt" color="#41719C [3204]" miterlimit="8" joinstyle="miter"/>
                        <v:imagedata o:title=""/>
                        <o:lock v:ext="edit" aspectratio="f"/>
                      </v:rect>
                      <v:group id="组合 17" o:spid="_x0000_s1026" o:spt="203" style="position:absolute;left:2361419;top:1473664;flip:x;height:2126729;width:104972;rotation:5898240f;" coordorigin="4366602,453291" coordsize="104972,2126729" o:gfxdata="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">
                        <o:lock v:ext="edit" aspectratio="f"/>
                        <v:line id="直接连接符 18" o:spid="_x0000_s1026" o:spt="20" style="position:absolute;left:3303298;top:1516716;flip:x;height:0;width:2126608;rotation:5898240f;" filled="f" stroked="t" coordsize="21600,21600" o:gfxdata="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8ErO8QAAADjAAAADwAAAAAAAAABACAAAAAiAAAAZHJzL2Rvd25yZXYueG1sUEsBAhQAFAAAAAgA&#10;h07iQDMvBZ47AAAAOQAAABAAAAAAAAAAAQAgAAAAEwEAAGRycy9zaGFwZXhtbC54bWxQSwUGAAAA&#10;AAYABgBbAQAAvQMAAAAA&#10;">
                          <v:fill on="f" focussize="0,0"/>
                          <v:stroke weight="1.5pt" color="#000000 [3213]" miterlimit="8" joinstyle="miter"/>
                          <v:imagedata o:title=""/>
                          <o:lock v:ext="edit" aspectratio="f"/>
                        </v:line>
                        <v:line id="直接连接符 19" o:spid="_x0000_s1026" o:spt="20" style="position:absolute;left:4367174;top:453291;flip:y;height:114042;width:104400;" filled="f" stroked="t" coordsize="21600,21600" o:gfxdata="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w&#10;g1CF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0" o:spid="_x0000_s1026" o:spt="20" style="position:absolute;left:4367174;top:567333;flip:y;height:114042;width:104400;" filled="f" stroked="t" coordsize="21600,21600" o:gfxdata="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VOpV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1" o:spid="_x0000_s1026" o:spt="20" style="position:absolute;left:4367174;top:681375;flip:y;height:114042;width:104400;" filled="f" stroked="t" coordsize="21600,21600" o:gfxdata="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Bn&#10;/c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22" o:spid="_x0000_s1026" o:spt="20" style="position:absolute;left:4367174;top:789326;flip:y;height:114042;width:104400;" filled="f" stroked="t" coordsize="21600,21600" o:gfxdata="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Q4d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3" o:spid="_x0000_s1026" o:spt="20" style="position:absolute;left:4367174;top:903368;flip:y;height:114042;width:104400;" filled="f" stroked="t" coordsize="21600,21600" o:gfxdata="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4t&#10;lBLCAAAA4AAAAA8AAAAAAAAAAQAgAAAAIgAAAGRycy9kb3ducmV2LnhtbFBLAQIUABQAAAAIAIdO&#10;4kAzLwWeOwAAADkAAAAQAAAAAAAAAAEAIAAAABEBAABkcnMvc2hhcGV4bWwueG1sUEsFBgAAAAAG&#10;AAYAWwEAALsDAAAAAA==&#10;">
                          <v:fill on="f" focussize="0,0"/>
                          <v:stroke weight="0.5pt" color="#000000 [3213]" miterlimit="8" joinstyle="miter"/>
                          <v:imagedata o:title=""/>
                          <o:lock v:ext="edit" aspectratio="f"/>
                        </v:line>
                        <v:line id="直接连接符 24" o:spid="_x0000_s1026" o:spt="20" style="position:absolute;left:4367174;top:1017410;flip:y;height:114042;width:104400;" filled="f" stroked="t" coordsize="21600,21600" o:gfxdata="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zW4E&#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5" o:spid="_x0000_s1026" o:spt="20" style="position:absolute;left:4367174;top:1131452;flip:y;height:114042;width:104400;" filled="f" stroked="t" coordsize="21600,21600" o:gfxdata="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R5K9&#10;wAAAAOE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6" o:spid="_x0000_s1026" o:spt="20" style="position:absolute;left:4367174;top:1239403;flip:y;height:114042;width:104400;" filled="f" stroked="t" coordsize="21600,21600" o:gfxdata="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vkfL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7" o:spid="_x0000_s1026" o:spt="20" style="position:absolute;left:4367174;top:1353445;flip:y;height:114042;width:104400;" filled="f" stroked="t" coordsize="21600,21600" o:gfxdata="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Si/L4A&#10;AADi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8" o:spid="_x0000_s1026" o:spt="20" style="position:absolute;left:4367174;top:1467487;flip:y;height:114042;width:104400;" filled="f" stroked="t" coordsize="21600,21600" o:gfxdata="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Ri6l&#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9" o:spid="_x0000_s1026" o:spt="20" style="position:absolute;left:4367174;top:1581529;flip:y;height:114042;width:104400;" filled="f" stroked="t" coordsize="21600,21600" o:gfxdata="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LXN8M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0" o:spid="_x0000_s1026" o:spt="20" style="position:absolute;left:4367174;top:1689480;flip:y;height:114042;width:104400;" filled="f" stroked="t" coordsize="21600,21600" o:gfxdata="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JAfa&#10;wAAAAOI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1" o:spid="_x0000_s1026" o:spt="20" style="position:absolute;left:4367174;top:1803522;flip:y;height:114042;width:104400;" filled="f" stroked="t" coordsize="21600,21600" o:gfxdata="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jEQzMQAAADi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2" o:spid="_x0000_s1026" o:spt="20" style="position:absolute;left:4367174;top:1917564;flip:y;height:114042;width:104400;" filled="f" stroked="t" coordsize="21600,21600" o:gfxdata="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OmIz&#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3" o:spid="_x0000_s1026" o:spt="20" style="position:absolute;left:4367174;top:2031606;flip:y;height:114042;width:104400;" filled="f" stroked="t" coordsize="21600,21600" o:gfxdata="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0gu&#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4" o:spid="_x0000_s1026" o:spt="20" style="position:absolute;left:4367174;top:2139557;flip:y;height:114042;width:104400;" filled="f" stroked="t" coordsize="21600,21600" o:gfxdata="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1BG&#10;n8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35" o:spid="_x0000_s1026" o:spt="20" style="position:absolute;left:4367174;top:2253599;flip:y;height:114042;width:104400;" filled="f" stroked="t" coordsize="21600,21600" o:gfxdata="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s5K&#10;os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group>
                      <v:shape id="直接箭头连接符 36" o:spid="_x0000_s1026" o:spt="32" type="#_x0000_t32" style="position:absolute;left:405994;top:416112;height:1337146;width:2523634;" filled="f" stroked="t" coordsize="21600,21600" o:gfxdata="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ISCltYA&#10;AAAFAQAADwAAAAAAAAABACAAAAAiAAAAZHJzL2Rvd25yZXYueG1sUEsBAhQAFAAAAAgAh07iQKve&#10;zXUhAgAA+wMAAA4AAAAAAAAAAQAgAAAAJQEAAGRycy9lMm9Eb2MueG1sUEsFBgAAAAAGAAYAWQEA&#10;ALgFAAAAAA==&#10;">
                        <v:fill on="f" focussize="0,0"/>
                        <v:stroke weight="3pt" color="#C00000 [3204]" miterlimit="8" joinstyle="miter" endarrow="block"/>
                        <v:imagedata o:title=""/>
                        <o:lock v:ext="edit" aspectratio="f"/>
                      </v:shape>
                      <v:shape id="直接箭头连接符 37" o:spid="_x0000_s1026" o:spt="32" type="#_x0000_t32" style="position:absolute;left:405994;top:416112;height:2026330;width:1582448;" filled="f" stroked="t" coordsize="21600,21600" o:gfxdata="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SnrpdcA&#10;AAAFAQAADwAAAAAAAAABACAAAAAiAAAAZHJzL2Rvd25yZXYueG1sUEsBAhQAFAAAAAgAh07iQKCZ&#10;7zYgAgAA+wMAAA4AAAAAAAAAAQAgAAAAJgEAAGRycy9lMm9Eb2MueG1sUEsFBgAAAAAGAAYAWQEA&#10;ALgFAAAAAA==&#10;">
                        <v:fill on="f" focussize="0,0"/>
                        <v:stroke weight="1.5pt" color="#00B050 [3204]" miterlimit="8" joinstyle="miter" endarrow="block"/>
                        <v:imagedata o:title=""/>
                        <o:lock v:ext="edit" aspectratio="f"/>
                      </v:shape>
                      <v:shape id="直接箭头连接符 38" o:spid="_x0000_s1026" o:spt="32" type="#_x0000_t32" style="position:absolute;left:1988442;top:1742191;flip:y;height:700251;width:958730;" filled="f" stroked="t" coordsize="21600,21600" o:gfxdata="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25F&#10;qtQAAAAFAQAADwAAAAAAAAABACAAAAAiAAAAZHJzL2Rvd25yZXYueG1sUEsBAhQAFAAAAAgAh07i&#10;QBzC4KMmAgAABQQAAA4AAAAAAAAAAQAgAAAAIwEAAGRycy9lMm9Eb2MueG1sUEsFBgAAAAAGAAYA&#10;WQEAALsFAAAAAA==&#10;">
                        <v:fill on="f" focussize="0,0"/>
                        <v:stroke weight="1.5pt" color="#00B050 [3204]" miterlimit="8" joinstyle="miter" endarrow="block"/>
                        <v:imagedata o:title=""/>
                        <o:lock v:ext="edit" aspectratio="f"/>
                      </v:shape>
                      <v:group id="组合 39" o:spid="_x0000_s1026" o:spt="203" style="position:absolute;left:262865;top:234052;height:1277787;width:1244190;" coordorigin="1360145,139492" coordsize="1244190,1277787" o:gfxdata="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">
                        <o:lock v:ext="edit" aspectratio="f"/>
                        <v:shape id="椭圆 40" o:spid="_x0000_s1026" o:spt="3" type="#_x0000_t3" style="position:absolute;left:1499655;top:139492;height:528555;width:1104680;rotation:532461f;v-text-anchor:middle;" filled="f" stroked="t" coordsize="21600,21600" o:gfxdata="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qtHpcQAAADjAAAADwAAAAAAAAABACAAAAAiAAAAZHJzL2Rvd25yZXYueG1sUEsBAhQAFAAAAAgA&#10;h07iQDMvBZ47AAAAOQAAABAAAAAAAAAAAQAgAAAAEwEAAGRycy9zaGFwZXhtbC54bWxQSwUGAAAA&#10;AAYABgBbAQAAvQMAAAAA&#10;">
                          <v:fill on="f" focussize="0,0"/>
                          <v:stroke weight="1pt" color="#E7E6E6 [3214]" miterlimit="8" joinstyle="miter"/>
                          <v:imagedata o:title=""/>
                          <o:lock v:ext="edit" aspectratio="f"/>
                        </v:shape>
                        <v:shape id="椭圆 41" o:spid="_x0000_s1026" o:spt="3" type="#_x0000_t3" style="position:absolute;left:1072083;top:600661;height:528555;width:1104680;rotation:4720697f;v-text-anchor:middle;" filled="f" stroked="t" coordsize="21600,21600" o:gfxdata="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KZK&#10;HcEAAADjAAAADwAAAAAAAAABACAAAAAiAAAAZHJzL2Rvd25yZXYueG1sUEsBAhQAFAAAAAgAh07i&#10;QDMvBZ47AAAAOQAAABAAAAAAAAAAAQAgAAAAEAEAAGRycy9zaGFwZXhtbC54bWxQSwUGAAAAAAYA&#10;BgBbAQAAugMAAAAA&#10;">
                          <v:fill on="f" focussize="0,0"/>
                          <v:stroke weight="1pt" color="#E7E6E6 [3214]" miterlimit="8" joinstyle="miter"/>
                          <v:imagedata o:title=""/>
                          <o:lock v:ext="edit" aspectratio="f"/>
                        </v:shape>
                        <v:shape id="椭圆 42" o:spid="_x0000_s1026" o:spt="3" type="#_x0000_t3" style="position:absolute;left:1382709;top:404625;height:528555;width:1104680;rotation:2372772f;v-text-anchor:middle;" filled="f" stroked="t" coordsize="21600,21600" o:gfxdata="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z0IVLFAAAA4gAAAA8AAAAAAAAAAQAgAAAAIgAAAGRycy9kb3ducmV2LnhtbFBLAQIUABQAAAAI&#10;AIdO4kAzLwWeOwAAADkAAAAQAAAAAAAAAAEAIAAAABQBAABkcnMvc2hhcGV4bWwueG1sUEsFBgAA&#10;AAAGAAYAWwEAAL4DAAAAAA==&#10;">
                          <v:fill on="f" focussize="0,0"/>
                          <v:stroke weight="1pt" color="#000000 [3213]" miterlimit="8" joinstyle="miter"/>
                          <v:imagedata o:title=""/>
                          <o:lock v:ext="edit" aspectratio="f"/>
                        </v:shape>
                      </v:group>
                      <v:shape id="直接箭头连接符 43" o:spid="_x0000_s1026" o:spt="32" type="#_x0000_t32" style="position:absolute;left:405994;top:416112;height:2042758;width:1725603;"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HimsjU&#10;AAAABQEAAA8AAAAAAAAAAQAgAAAAIgAAAGRycy9kb3ducmV2LnhtbFBLAQIUABQAAAAIAIdO4kAB&#10;58ylJAIAAPwDAAAOAAAAAAAAAAEAIAAAACMBAABkcnMvZTJvRG9jLnhtbFBLBQYAAAAABgAGAFkB&#10;AAC5BQAAAAA=&#10;">
                        <v:fill on="f" focussize="0,0"/>
                        <v:stroke weight="1pt" color="#00B050 [3204]" miterlimit="8" joinstyle="miter" endarrow="block"/>
                        <v:imagedata o:title=""/>
                        <o:lock v:ext="edit" aspectratio="f"/>
                      </v:shape>
                      <v:shape id="直接箭头连接符 44" o:spid="_x0000_s1026" o:spt="32" type="#_x0000_t32" style="position:absolute;left:1845288;top:1742191;flip:y;height:716679;width:1101884;"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0&#10;+yeO0gAAAAUBAAAPAAAAAAAAAAEAIAAAACIAAABkcnMvZG93bnJldi54bWxQSwECFAAUAAAACACH&#10;TuJA0WKSTioCAAAHBAAADgAAAAAAAAABACAAAAAhAQAAZHJzL2Uyb0RvYy54bWxQSwUGAAAAAAYA&#10;BgBZAQAAvQUAAAAA&#10;">
                        <v:fill on="f" focussize="0,0"/>
                        <v:stroke weight="1pt" color="#00B050 [3204]" miterlimit="8" joinstyle="miter" endarrow="block"/>
                        <v:imagedata o:title=""/>
                        <o:lock v:ext="edit" aspectratio="f"/>
                      </v:shape>
                      <v:shape id="直接箭头连接符 45" o:spid="_x0000_s1026" o:spt="32" type="#_x0000_t32" style="position:absolute;left:405994;top:416112;height:2042758;width:1439294;"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eKayNQA&#10;AAAFAQAADwAAAAAAAAABACAAAAAiAAAAZHJzL2Rvd25yZXYueG1sUEsBAhQAFAAAAAgAh07iQGZT&#10;9aAjAgAA+wMAAA4AAAAAAAAAAQAgAAAAIwEAAGRycy9lMm9Eb2MueG1sUEsFBgAAAAAGAAYAWQEA&#10;ALgFAAAAAA==&#10;">
                        <v:fill on="f" focussize="0,0"/>
                        <v:stroke weight="1pt" color="#00B050 [3204]" miterlimit="8" joinstyle="miter" endarrow="block"/>
                        <v:imagedata o:title=""/>
                        <o:lock v:ext="edit" aspectratio="f"/>
                      </v:shape>
                      <v:shape id="直接箭头连接符 46" o:spid="_x0000_s1026" o:spt="32" type="#_x0000_t32" style="position:absolute;left:2131597;top:1742191;flip:y;height:716679;width:815575;"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PsnjtIAAAAFAQAADwAAAAAAAAABACAAAAAiAAAAZHJzL2Rvd25yZXYueG1sUEsBAhQAFAAAAAgA&#10;h07iQGWZM7grAgAABgQAAA4AAAAAAAAAAQAgAAAAIQEAAGRycy9lMm9Eb2MueG1sUEsFBgAAAAAG&#10;AAYAWQEAAL4FAAAAAA==&#10;">
                        <v:fill on="f" focussize="0,0"/>
                        <v:stroke weight="1pt" color="#00B050 [3204]" miterlimit="8" joinstyle="miter" endarrow="block"/>
                        <v:imagedata o:title=""/>
                        <o:lock v:ext="edit" aspectratio="f"/>
                      </v:shape>
                      <v:group id="组合 47" o:spid="_x0000_s1026" o:spt="203" style="position:absolute;left:1360823;top:1224329;height:1106552;width:2122517;rotation:-5898240f;" coordorigin="2350308,1045646" coordsize="2122517,1106552" o:gfxdata="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DPn7IG2AAAAAUBAAAPAAAAAAAAAAEAIAAAACIAAABkcnMv&#10;ZG93bnJldi54bWxQSwECFAAUAAAACACHTuJAtygll8sDAACkDwAADgAAAAAAAAABACAAAAAnAQAA&#10;ZHJzL2Uyb0RvYy54bWxQSwUGAAAAAAYABgBZAQAAZAcAAAAA&#10;">
                        <o:lock v:ext="edit" aspectratio="f"/>
                        <v:shape id="椭圆 48" o:spid="_x0000_s1026" o:spt="3" type="#_x0000_t3" style="position:absolute;left:2350308;top:1613704;height:528555;width:1104680;rotation:1804256f;v-text-anchor:middle;" filled="f" stroked="t" coordsize="21600,21600" o:gfxdata="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zaKC&#10;wAAAAOMAAAAPAAAAAAAAAAEAIAAAACIAAABkcnMvZG93bnJldi54bWxQSwECFAAUAAAACACHTuJA&#10;My8FnjsAAAA5AAAAEAAAAAAAAAABACAAAAAPAQAAZHJzL3NoYXBleG1sLnhtbFBLBQYAAAAABgAG&#10;AFsBAAC5AwAAAAA=&#10;">
                          <v:fill on="f" focussize="0,0"/>
                          <v:stroke weight="1pt" color="#E7E6E6 [3214]" miterlimit="8" joinstyle="miter"/>
                          <v:imagedata o:title=""/>
                          <o:lock v:ext="edit" aspectratio="f"/>
                        </v:shape>
                        <v:shape id="椭圆 49" o:spid="_x0000_s1026" o:spt="3" type="#_x0000_t3" style="position:absolute;left:2631660;top:1333708;height:528555;width:1104680;rotation:4359534f;v-text-anchor:middle;" filled="f" stroked="t" coordsize="21600,21600" o:gfxdata="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CR&#10;dfnCAAAA4wAAAA8AAAAAAAAAAQAgAAAAIgAAAGRycy9kb3ducmV2LnhtbFBLAQIUABQAAAAIAIdO&#10;4kAzLwWeOwAAADkAAAAQAAAAAAAAAAEAIAAAABEBAABkcnMvc2hhcGV4bWwueG1sUEsFBgAAAAAG&#10;AAYAWwEAALsDAAAAAA==&#10;">
                          <v:fill on="f" focussize="0,0"/>
                          <v:stroke weight="1pt" color="#000000 [3213]" miterlimit="8" joinstyle="miter"/>
                          <v:imagedata o:title=""/>
                          <o:lock v:ext="edit" aspectratio="f"/>
                        </v:shape>
                        <v:shape id="椭圆 50" o:spid="_x0000_s1026" o:spt="3" type="#_x0000_t3" style="position:absolute;left:3368145;top:1613699;flip:x;height:528555;width:1104680;rotation:1804256f;v-text-anchor:middle;" filled="f" stroked="t" coordsize="21600,21600" o:gfxdata="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zW&#10;kBvCAAAA4gAAAA8AAAAAAAAAAQAgAAAAIgAAAGRycy9kb3ducmV2LnhtbFBLAQIUABQAAAAIAIdO&#10;4kAzLwWeOwAAADkAAAAQAAAAAAAAAAEAIAAAABEBAABkcnMvc2hhcGV4bWwueG1sUEsFBgAAAAAG&#10;AAYAWwEAALsDAAAAAA==&#10;">
                          <v:fill on="f" focussize="0,0"/>
                          <v:stroke weight="1pt" color="#E7E6E6 [3214]" miterlimit="8" joinstyle="miter"/>
                          <v:imagedata o:title=""/>
                          <o:lock v:ext="edit" aspectratio="f"/>
                        </v:shape>
                        <v:shape id="椭圆 51" o:spid="_x0000_s1026" o:spt="3" type="#_x0000_t3" style="position:absolute;left:3103343;top:1335580;flip:x;height:528555;width:1104680;rotation:4359534f;v-text-anchor:middle;" filled="f" stroked="t" coordsize="21600,21600" o:gfxdata="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NNnG/&#10;AAAA4w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group>
                      <v:shape id="文本框 52" o:spid="_x0000_s1026" o:spt="202" type="#_x0000_t202" style="position:absolute;left:0;top:158701;height:335968;width:533891;"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1mCqNgAAAAFAQAADwAAAAAAAAAB&#10;ACAAAAAiAAAAZHJzL2Rvd25yZXYueG1sUEsBAhQAFAAAAAgAh07iQEC6AzNJAgAAcwQAAA4AAAAA&#10;AAAAAQAgAAAAJwEAAGRycy9lMm9Eb2MueG1sUEsFBgAAAAAGAAYAWQEAAOIFAAAAAA==&#10;">
                        <v:fill on="f" focussize="0,0"/>
                        <v:stroke on="f" weight="0.5pt"/>
                        <v:imagedata o:title=""/>
                        <o:lock v:ext="edit" aspectratio="f"/>
                        <v:textbox>
                          <w:txbxContent>
                            <w:p w14:paraId="19A6ADF5">
                              <w:pPr>
                                <w:jc w:val="center"/>
                                <w:rPr>
                                  <w:lang w:eastAsia="zh-CN"/>
                                </w:rPr>
                              </w:pPr>
                              <w:r>
                                <w:rPr>
                                  <w:rFonts w:hint="eastAsia"/>
                                  <w:lang w:eastAsia="zh-CN"/>
                                </w:rPr>
                                <w:t>B</w:t>
                              </w:r>
                              <w:r>
                                <w:rPr>
                                  <w:lang w:eastAsia="zh-CN"/>
                                </w:rPr>
                                <w:t>S</w:t>
                              </w:r>
                            </w:p>
                          </w:txbxContent>
                        </v:textbox>
                      </v:shape>
                      <v:shape id="文本框 53" o:spid="_x0000_s1026" o:spt="202" type="#_x0000_t202" style="position:absolute;left:2983944;top:1542706;height:335968;width:747422;"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1mCqNgAAAAFAQAADwAA&#10;AAAAAAABACAAAAAiAAAAZHJzL2Rvd25yZXYueG1sUEsBAhQAFAAAAAgAh07iQI6P42ZPAgAAegQA&#10;AA4AAAAAAAAAAQAgAAAAJwEAAGRycy9lMm9Eb2MueG1sUEsFBgAAAAAGAAYAWQEAAOgFAAAAAA==&#10;">
                        <v:fill on="f" focussize="0,0"/>
                        <v:stroke on="f" weight="0.5pt"/>
                        <v:imagedata o:title=""/>
                        <o:lock v:ext="edit" aspectratio="f"/>
                        <v:textbox>
                          <w:txbxContent>
                            <w:p w14:paraId="62F0D1C5">
                              <w:pPr>
                                <w:jc w:val="center"/>
                                <w:rPr>
                                  <w:lang w:eastAsia="zh-CN"/>
                                </w:rPr>
                              </w:pPr>
                              <w:r>
                                <w:rPr>
                                  <w:lang w:eastAsia="zh-CN"/>
                                </w:rPr>
                                <w:t>UE</w:t>
                              </w:r>
                            </w:p>
                          </w:txbxContent>
                        </v:textbox>
                      </v:shape>
                      <v:shape id="文本框 58" o:spid="_x0000_s1026" o:spt="202" type="#_x0000_t202" style="position:absolute;left:3374294;top:2349460;height:282834;width:863356;"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NZgqjYAAAABQEAAA8A&#10;AAAAAAAAAQAgAAAAIgAAAGRycy9kb3ducmV2LnhtbFBLAQIUABQAAAAIAIdO4kDgjN38UAIAAHoE&#10;AAAOAAAAAAAAAAEAIAAAACcBAABkcnMvZTJvRG9jLnhtbFBLBQYAAAAABgAGAFkBAADpBQAAAAA=&#10;">
                        <v:fill on="f" focussize="0,0"/>
                        <v:stroke on="f" weight="0.5pt"/>
                        <v:imagedata o:title=""/>
                        <o:lock v:ext="edit" aspectratio="f"/>
                        <v:textbox>
                          <w:txbxContent>
                            <w:p w14:paraId="13348F18">
                              <w:pPr>
                                <w:jc w:val="center"/>
                                <w:rPr>
                                  <w:lang w:eastAsia="zh-CN"/>
                                </w:rPr>
                              </w:pPr>
                              <w:r>
                                <w:rPr>
                                  <w:lang w:eastAsia="zh-CN"/>
                                </w:rPr>
                                <w:t>Ground</w:t>
                              </w:r>
                            </w:p>
                          </w:txbxContent>
                        </v:textbox>
                      </v:shape>
                      <w10:wrap type="none"/>
                      <w10:anchorlock/>
                    </v:group>
                  </w:pict>
                </mc:Fallback>
              </mc:AlternateContent>
            </w:r>
          </w:p>
          <w:p w14:paraId="3A60AAB4">
            <w:pPr>
              <w:pStyle w:val="21"/>
              <w:overflowPunct w:val="0"/>
              <w:autoSpaceDE w:val="0"/>
              <w:autoSpaceDN w:val="0"/>
              <w:adjustRightInd w:val="0"/>
              <w:textAlignment w:val="baseline"/>
              <w:rPr>
                <w:sz w:val="18"/>
                <w:szCs w:val="18"/>
                <w:lang w:eastAsia="zh-CN"/>
              </w:rPr>
            </w:pPr>
            <w:bookmarkStart w:id="4"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4"/>
            <w:r>
              <w:rPr>
                <w:sz w:val="18"/>
                <w:szCs w:val="18"/>
              </w:rPr>
              <w:t xml:space="preserve"> Multiple Rx beams for the same Tx beam</w:t>
            </w:r>
          </w:p>
          <w:p w14:paraId="5EE7E453">
            <w:pPr>
              <w:pStyle w:val="163"/>
              <w:numPr>
                <w:ilvl w:val="0"/>
                <w:numId w:val="0"/>
              </w:numPr>
              <w:overflowPunct w:val="0"/>
              <w:autoSpaceDE w:val="0"/>
              <w:autoSpaceDN w:val="0"/>
              <w:adjustRightInd w:val="0"/>
              <w:textAlignment w:val="baseline"/>
              <w:rPr>
                <w:sz w:val="18"/>
                <w:szCs w:val="18"/>
              </w:rPr>
            </w:pPr>
          </w:p>
          <w:p w14:paraId="1570D748">
            <w:pPr>
              <w:pStyle w:val="163"/>
              <w:numPr>
                <w:ilvl w:val="0"/>
                <w:numId w:val="0"/>
              </w:numPr>
              <w:overflowPunct w:val="0"/>
              <w:autoSpaceDE w:val="0"/>
              <w:autoSpaceDN w:val="0"/>
              <w:adjustRightInd w:val="0"/>
              <w:textAlignment w:val="baseline"/>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For single TRP positioning, network expects to UE to explore additional spatial propagation information to the LoS path, but the feasibility through the existing configuration is low and opportunistic, which lowers the high accuracy performance achievability.</w:t>
            </w:r>
          </w:p>
          <w:p w14:paraId="015EF2D9">
            <w:pPr>
              <w:pStyle w:val="163"/>
              <w:numPr>
                <w:ilvl w:val="0"/>
                <w:numId w:val="0"/>
              </w:numPr>
              <w:overflowPunct w:val="0"/>
              <w:autoSpaceDE w:val="0"/>
              <w:autoSpaceDN w:val="0"/>
              <w:adjustRightInd w:val="0"/>
              <w:textAlignment w:val="baseline"/>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SRS spatial relation should be enhanced for single-TRP positioning in mmWave bands.</w:t>
            </w:r>
          </w:p>
          <w:p w14:paraId="5A4300BD">
            <w:pPr>
              <w:pStyle w:val="163"/>
              <w:numPr>
                <w:ilvl w:val="0"/>
                <w:numId w:val="0"/>
              </w:numPr>
              <w:overflowPunct w:val="0"/>
              <w:autoSpaceDE w:val="0"/>
              <w:autoSpaceDN w:val="0"/>
              <w:adjustRightInd w:val="0"/>
              <w:textAlignment w:val="baseline"/>
              <w:rPr>
                <w:sz w:val="18"/>
                <w:szCs w:val="18"/>
              </w:rPr>
            </w:pPr>
          </w:p>
          <w:p w14:paraId="3504BCE4">
            <w:pPr>
              <w:pStyle w:val="2"/>
              <w:overflowPunct w:val="0"/>
              <w:autoSpaceDE w:val="0"/>
              <w:autoSpaceDN w:val="0"/>
              <w:adjustRightInd w:val="0"/>
              <w:textAlignment w:val="baseline"/>
              <w:rPr>
                <w:sz w:val="18"/>
                <w:szCs w:val="18"/>
                <w:lang w:eastAsia="zh-CN"/>
              </w:rPr>
            </w:pPr>
            <w:r>
              <w:rPr>
                <w:rFonts w:hint="eastAsia"/>
                <w:sz w:val="18"/>
                <w:szCs w:val="18"/>
                <w:lang w:eastAsia="zh-CN"/>
              </w:rPr>
              <w:t>S</w:t>
            </w:r>
            <w:r>
              <w:rPr>
                <w:sz w:val="18"/>
                <w:szCs w:val="18"/>
                <w:lang w:eastAsia="zh-CN"/>
              </w:rPr>
              <w:t>olutions</w:t>
            </w:r>
          </w:p>
          <w:p w14:paraId="36D9FA80">
            <w:pPr>
              <w:overflowPunct w:val="0"/>
              <w:autoSpaceDE w:val="0"/>
              <w:autoSpaceDN w:val="0"/>
              <w:adjustRightInd w:val="0"/>
              <w:spacing w:after="180"/>
              <w:textAlignment w:val="baseline"/>
              <w:rPr>
                <w:sz w:val="18"/>
                <w:szCs w:val="18"/>
                <w:lang w:eastAsia="zh-CN"/>
              </w:rPr>
            </w:pPr>
            <w:r>
              <w:rPr>
                <w:sz w:val="18"/>
                <w:szCs w:val="18"/>
                <w:lang w:eastAsia="zh-CN"/>
              </w:rPr>
              <w:t>For SRS spatial relation enhancement, there may exist different network expectations.</w:t>
            </w:r>
          </w:p>
          <w:p w14:paraId="0E4DCFB9">
            <w:pPr>
              <w:pStyle w:val="163"/>
              <w:overflowPunct w:val="0"/>
              <w:autoSpaceDE w:val="0"/>
              <w:autoSpaceDN w:val="0"/>
              <w:adjustRightInd w:val="0"/>
              <w:snapToGrid w:val="0"/>
              <w:spacing w:before="0" w:after="120"/>
              <w:ind w:left="284"/>
              <w:textAlignment w:val="baseline"/>
              <w:rPr>
                <w:sz w:val="18"/>
                <w:szCs w:val="18"/>
              </w:rPr>
            </w:pPr>
            <w:r>
              <w:rPr>
                <w:rFonts w:hint="eastAsia"/>
                <w:sz w:val="18"/>
                <w:szCs w:val="18"/>
              </w:rPr>
              <w:t>I</w:t>
            </w:r>
            <w:r>
              <w:rPr>
                <w:sz w:val="18"/>
                <w:szCs w:val="18"/>
              </w:rPr>
              <w:t>f network expects to use multiple SRS resources for the Rx beam sweeping for the sake of UL AoA measurement, the UE should use the same Tx beam.</w:t>
            </w:r>
          </w:p>
          <w:p w14:paraId="19D13DCC">
            <w:pPr>
              <w:pStyle w:val="163"/>
              <w:overflowPunct w:val="0"/>
              <w:autoSpaceDE w:val="0"/>
              <w:autoSpaceDN w:val="0"/>
              <w:adjustRightInd w:val="0"/>
              <w:snapToGrid w:val="0"/>
              <w:spacing w:before="0" w:after="120"/>
              <w:ind w:left="284"/>
              <w:textAlignment w:val="baseline"/>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07DE5F08">
            <w:pPr>
              <w:overflowPunct w:val="0"/>
              <w:autoSpaceDE w:val="0"/>
              <w:autoSpaceDN w:val="0"/>
              <w:adjustRightInd w:val="0"/>
              <w:spacing w:after="180"/>
              <w:textAlignment w:val="baseline"/>
              <w:rPr>
                <w:sz w:val="18"/>
                <w:szCs w:val="18"/>
                <w:lang w:eastAsia="zh-CN"/>
              </w:rPr>
            </w:pPr>
            <w:r>
              <w:rPr>
                <w:sz w:val="18"/>
                <w:szCs w:val="18"/>
                <w:lang w:eastAsia="zh-CN"/>
              </w:rPr>
              <w:t>In our view, the simplest way to fix that would be introducing a new signaling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3989A6A8">
            <w:pPr>
              <w:overflowPunct w:val="0"/>
              <w:autoSpaceDE w:val="0"/>
              <w:autoSpaceDN w:val="0"/>
              <w:adjustRightInd w:val="0"/>
              <w:spacing w:after="180"/>
              <w:textAlignment w:val="baseline"/>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4C1E5603">
            <w:pPr>
              <w:pStyle w:val="163"/>
              <w:numPr>
                <w:ilvl w:val="1"/>
                <w:numId w:val="26"/>
              </w:numPr>
              <w:overflowPunct w:val="0"/>
              <w:autoSpaceDE w:val="0"/>
              <w:autoSpaceDN w:val="0"/>
              <w:adjustRightInd w:val="0"/>
              <w:snapToGrid w:val="0"/>
              <w:spacing w:before="0" w:after="120"/>
              <w:textAlignment w:val="baseline"/>
              <w:rPr>
                <w:b/>
                <w:i/>
                <w:sz w:val="18"/>
                <w:szCs w:val="18"/>
              </w:rPr>
            </w:pPr>
            <w:r>
              <w:rPr>
                <w:b/>
                <w:i/>
                <w:sz w:val="18"/>
                <w:szCs w:val="18"/>
              </w:rPr>
              <w:t>A per-band UE capability is introduced.</w:t>
            </w:r>
          </w:p>
        </w:tc>
      </w:tr>
    </w:tbl>
    <w:p w14:paraId="2B2D899A">
      <w:pPr>
        <w:rPr>
          <w:b/>
        </w:rPr>
      </w:pPr>
    </w:p>
    <w:p w14:paraId="05D316B5">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14:paraId="6DD0D6DB">
      <w:pPr>
        <w:rPr>
          <w:rFonts w:ascii="Arial" w:hAnsi="Arial" w:eastAsia="MS Mincho"/>
          <w:sz w:val="32"/>
          <w:szCs w:val="32"/>
        </w:rPr>
      </w:pPr>
    </w:p>
    <w:p w14:paraId="4A39898A">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5</w:t>
      </w:r>
    </w:p>
    <w:p w14:paraId="48C2B4E5">
      <w:pPr>
        <w:pStyle w:val="108"/>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49E40A50">
      <w:pPr>
        <w:pStyle w:val="108"/>
        <w:numPr>
          <w:ilvl w:val="1"/>
          <w:numId w:val="20"/>
        </w:numPr>
        <w:ind w:leftChars="0"/>
        <w:jc w:val="both"/>
        <w:rPr>
          <w:b/>
        </w:rPr>
      </w:pPr>
      <w:r>
        <w:rPr>
          <w:b/>
        </w:rPr>
        <w:t>A per-band UE capability is introduced.</w:t>
      </w:r>
    </w:p>
    <w:p w14:paraId="1EB963BD">
      <w:pPr>
        <w:pStyle w:val="108"/>
        <w:numPr>
          <w:ilvl w:val="0"/>
          <w:numId w:val="20"/>
        </w:numPr>
        <w:ind w:leftChars="0"/>
        <w:jc w:val="both"/>
        <w:rPr>
          <w:b/>
          <w:bCs/>
          <w:sz w:val="22"/>
          <w:szCs w:val="22"/>
        </w:rPr>
      </w:pPr>
      <w:r>
        <w:rPr>
          <w:rFonts w:hint="eastAsia"/>
          <w:b/>
        </w:rPr>
        <w:t>Endorse the</w:t>
      </w:r>
      <w:r>
        <w:rPr>
          <w:rFonts w:hint="eastAsia" w:eastAsia="MS Mincho" w:cs="Batang"/>
          <w:b/>
          <w:bCs/>
          <w:sz w:val="22"/>
          <w:szCs w:val="22"/>
        </w:rPr>
        <w:t xml:space="preserve"> following</w:t>
      </w:r>
      <w:r>
        <w:rPr>
          <w:rFonts w:eastAsia="MS Mincho" w:cs="Batang"/>
          <w:b/>
          <w:bCs/>
          <w:sz w:val="22"/>
          <w:szCs w:val="22"/>
        </w:rPr>
        <w:t xml:space="preserve"> TP for clause </w:t>
      </w:r>
      <w:r>
        <w:rPr>
          <w:rFonts w:hint="eastAsia" w:eastAsia="MS Mincho" w:cs="Batang"/>
          <w:b/>
          <w:bCs/>
          <w:sz w:val="22"/>
          <w:szCs w:val="22"/>
        </w:rPr>
        <w:t>6</w:t>
      </w:r>
      <w:r>
        <w:rPr>
          <w:rFonts w:eastAsia="MS Mincho" w:cs="Batang"/>
          <w:b/>
          <w:bCs/>
          <w:sz w:val="22"/>
          <w:szCs w:val="22"/>
        </w:rPr>
        <w:t>.</w:t>
      </w:r>
      <w:r>
        <w:rPr>
          <w:rFonts w:hint="eastAsia" w:eastAsia="MS Mincho" w:cs="Batang"/>
          <w:b/>
          <w:bCs/>
          <w:sz w:val="22"/>
          <w:szCs w:val="22"/>
        </w:rPr>
        <w:t>2</w:t>
      </w:r>
      <w:r>
        <w:rPr>
          <w:rFonts w:eastAsia="MS Mincho" w:cs="Batang"/>
          <w:b/>
          <w:bCs/>
          <w:sz w:val="22"/>
          <w:szCs w:val="22"/>
        </w:rPr>
        <w:t>.1</w:t>
      </w:r>
      <w:r>
        <w:rPr>
          <w:rFonts w:hint="eastAsia" w:eastAsia="MS Mincho" w:cs="Batang"/>
          <w:b/>
          <w:bCs/>
          <w:sz w:val="22"/>
          <w:szCs w:val="22"/>
        </w:rPr>
        <w:t>.4</w:t>
      </w:r>
      <w:r>
        <w:rPr>
          <w:rFonts w:eastAsia="MS Mincho" w:cs="Batang"/>
          <w:b/>
          <w:bCs/>
          <w:sz w:val="22"/>
          <w:szCs w:val="22"/>
        </w:rPr>
        <w:t xml:space="preserve"> in TS 38.21</w:t>
      </w:r>
      <w:r>
        <w:rPr>
          <w:rFonts w:hint="eastAsia" w:eastAsia="MS Mincho" w:cs="Batang"/>
          <w:b/>
          <w:bCs/>
          <w:sz w:val="22"/>
          <w:szCs w:val="22"/>
        </w:rPr>
        <w:t>4.</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0D309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642A6A11">
            <w:pPr>
              <w:overflowPunct w:val="0"/>
              <w:autoSpaceDE w:val="0"/>
              <w:autoSpaceDN w:val="0"/>
              <w:adjustRightInd w:val="0"/>
              <w:spacing w:after="180"/>
              <w:jc w:val="center"/>
              <w:textAlignment w:val="baseline"/>
              <w:rPr>
                <w:rFonts w:eastAsia="宋体"/>
                <w:color w:val="FF0000"/>
                <w:sz w:val="20"/>
                <w:lang w:eastAsia="zh-CN"/>
              </w:rPr>
            </w:pPr>
            <w:bookmarkStart w:id="5" w:name="_Hlk135864443"/>
            <w:r>
              <w:rPr>
                <w:rFonts w:eastAsia="宋体"/>
                <w:color w:val="FF0000"/>
                <w:sz w:val="20"/>
                <w:lang w:eastAsia="zh-CN"/>
              </w:rPr>
              <w:t>========================= Unchanged parts =========================</w:t>
            </w:r>
          </w:p>
          <w:p w14:paraId="0B03FF68">
            <w:pPr>
              <w:keepNext/>
              <w:keepLines/>
              <w:overflowPunct w:val="0"/>
              <w:autoSpaceDE w:val="0"/>
              <w:autoSpaceDN w:val="0"/>
              <w:adjustRightInd w:val="0"/>
              <w:spacing w:before="120" w:after="180"/>
              <w:ind w:left="1418" w:hanging="1418"/>
              <w:textAlignment w:val="baseline"/>
              <w:outlineLvl w:val="3"/>
              <w:rPr>
                <w:rFonts w:ascii="Arial" w:hAnsi="Arial" w:eastAsia="宋体"/>
                <w:lang w:val="zh-CN" w:eastAsia="en-US"/>
              </w:rPr>
            </w:pPr>
            <w:bookmarkStart w:id="6" w:name="_Toc45810636"/>
            <w:bookmarkStart w:id="7" w:name="_Toc29673223"/>
            <w:bookmarkStart w:id="8" w:name="_Toc146791850"/>
            <w:bookmarkStart w:id="9" w:name="_Toc36645587"/>
            <w:bookmarkStart w:id="10" w:name="_Toc29674357"/>
            <w:bookmarkStart w:id="11" w:name="_Toc29673364"/>
            <w:r>
              <w:rPr>
                <w:rFonts w:ascii="Arial" w:hAnsi="Arial" w:eastAsia="宋体"/>
                <w:lang w:val="zh-CN" w:eastAsia="en-US"/>
              </w:rPr>
              <w:t>6.2.1.4</w:t>
            </w:r>
            <w:r>
              <w:rPr>
                <w:rFonts w:ascii="Arial" w:hAnsi="Arial" w:eastAsia="宋体"/>
                <w:lang w:val="zh-CN" w:eastAsia="en-US"/>
              </w:rPr>
              <w:tab/>
            </w:r>
            <w:r>
              <w:rPr>
                <w:rFonts w:ascii="Arial" w:hAnsi="Arial" w:eastAsia="宋体"/>
                <w:lang w:val="zh-CN" w:eastAsia="en-US"/>
              </w:rPr>
              <w:t>UE sounding procedure for positioning purposes</w:t>
            </w:r>
            <w:bookmarkEnd w:id="6"/>
            <w:bookmarkEnd w:id="7"/>
            <w:bookmarkEnd w:id="8"/>
            <w:bookmarkEnd w:id="9"/>
            <w:bookmarkEnd w:id="10"/>
            <w:bookmarkEnd w:id="11"/>
          </w:p>
          <w:p w14:paraId="3CFBD9F8">
            <w:pPr>
              <w:overflowPunct w:val="0"/>
              <w:autoSpaceDE w:val="0"/>
              <w:autoSpaceDN w:val="0"/>
              <w:adjustRightInd w:val="0"/>
              <w:spacing w:after="180"/>
              <w:textAlignment w:val="baseline"/>
              <w:rPr>
                <w:rFonts w:eastAsia="宋体"/>
                <w:sz w:val="20"/>
                <w:lang w:eastAsia="en-US"/>
              </w:rPr>
            </w:pPr>
            <w:r>
              <w:rPr>
                <w:rFonts w:eastAsia="宋体"/>
                <w:sz w:val="20"/>
                <w:lang w:eastAsia="en-US"/>
              </w:rPr>
              <w:t xml:space="preserve">When the SRS is configured by the higher layer parameter </w:t>
            </w:r>
            <w:r>
              <w:rPr>
                <w:rFonts w:eastAsia="宋体"/>
                <w:i/>
                <w:iCs/>
                <w:sz w:val="20"/>
                <w:lang w:eastAsia="en-US"/>
              </w:rPr>
              <w:t>SRS-PosResource</w:t>
            </w:r>
            <w:r>
              <w:rPr>
                <w:rFonts w:eastAsia="宋体"/>
                <w:sz w:val="20"/>
                <w:lang w:eastAsia="en-US"/>
              </w:rPr>
              <w:t xml:space="preserve"> and if the higher layer parameter </w:t>
            </w:r>
            <w:r>
              <w:rPr>
                <w:rFonts w:eastAsia="宋体"/>
                <w:i/>
                <w:sz w:val="20"/>
                <w:lang w:eastAsia="en-US"/>
              </w:rPr>
              <w:t xml:space="preserve">spatialRelationInfoPos </w:t>
            </w:r>
            <w:r>
              <w:rPr>
                <w:rFonts w:eastAsia="宋体"/>
                <w:sz w:val="20"/>
                <w:lang w:eastAsia="en-US"/>
              </w:rPr>
              <w:t>is configured</w:t>
            </w:r>
            <w:r>
              <w:rPr>
                <w:rFonts w:eastAsia="宋体"/>
                <w:i/>
                <w:sz w:val="20"/>
                <w:lang w:eastAsia="en-US"/>
              </w:rPr>
              <w:t xml:space="preserve">, </w:t>
            </w:r>
            <w:r>
              <w:rPr>
                <w:rFonts w:eastAsia="宋体"/>
                <w:sz w:val="20"/>
                <w:lang w:eastAsia="en-US"/>
              </w:rPr>
              <w:t xml:space="preserve">it contains the ID of the configuration fields of a reference RS according to Clause 6.3.2 of [TS 38.331]. The reference RS can be an SRS configured by the higher layer parameter </w:t>
            </w:r>
            <w:r>
              <w:rPr>
                <w:rFonts w:eastAsia="宋体"/>
                <w:i/>
                <w:iCs/>
                <w:sz w:val="20"/>
                <w:lang w:eastAsia="en-US"/>
              </w:rPr>
              <w:t>SRS-Resource</w:t>
            </w:r>
            <w:r>
              <w:rPr>
                <w:rFonts w:eastAsia="宋体"/>
                <w:sz w:val="20"/>
                <w:lang w:eastAsia="en-US"/>
              </w:rPr>
              <w:t xml:space="preserve"> or </w:t>
            </w:r>
            <w:r>
              <w:rPr>
                <w:rFonts w:eastAsia="宋体"/>
                <w:i/>
                <w:iCs/>
                <w:sz w:val="20"/>
                <w:lang w:eastAsia="en-US"/>
              </w:rPr>
              <w:t>SRS-PosResource</w:t>
            </w:r>
            <w:r>
              <w:rPr>
                <w:rFonts w:eastAsia="宋体"/>
                <w:sz w:val="20"/>
                <w:lang w:eastAsia="en-US"/>
              </w:rPr>
              <w:t xml:space="preserve">, CSI-RS, SS/PBCH block, or a DL PRS configured on a serving cell or a SS/PBCH block or a DL PRS configured on a non-serving cell. If the UE is configured for transmission of </w:t>
            </w:r>
            <w:r>
              <w:rPr>
                <w:rFonts w:eastAsia="宋体"/>
                <w:i/>
                <w:iCs/>
                <w:sz w:val="20"/>
                <w:lang w:eastAsia="en-US"/>
              </w:rPr>
              <w:t>SRS-PosResource</w:t>
            </w:r>
            <w:r>
              <w:rPr>
                <w:rFonts w:eastAsia="宋体"/>
                <w:sz w:val="20"/>
                <w:lang w:eastAsia="en-US"/>
              </w:rPr>
              <w:t xml:space="preserve"> in RRC_INACTIVE mode, the configured </w:t>
            </w:r>
            <w:r>
              <w:rPr>
                <w:rFonts w:eastAsia="宋体"/>
                <w:i/>
                <w:sz w:val="20"/>
                <w:lang w:eastAsia="en-US"/>
              </w:rPr>
              <w:t>spatialRelationInfoPos</w:t>
            </w:r>
            <w:r>
              <w:rPr>
                <w:rFonts w:eastAsia="宋体"/>
                <w:sz w:val="20"/>
                <w:lang w:eastAsia="en-US"/>
              </w:rPr>
              <w:t xml:space="preserve"> is also applicable.</w:t>
            </w:r>
          </w:p>
          <w:p w14:paraId="314E196D">
            <w:pPr>
              <w:overflowPunct w:val="0"/>
              <w:autoSpaceDE w:val="0"/>
              <w:autoSpaceDN w:val="0"/>
              <w:adjustRightInd w:val="0"/>
              <w:spacing w:after="180"/>
              <w:textAlignment w:val="baseline"/>
              <w:rPr>
                <w:rFonts w:eastAsia="宋体"/>
                <w:sz w:val="20"/>
                <w:lang w:val="en-US" w:eastAsia="en-US"/>
              </w:rPr>
            </w:pPr>
            <w:r>
              <w:rPr>
                <w:rFonts w:eastAsia="宋体"/>
                <w:sz w:val="20"/>
                <w:lang w:val="en-US" w:eastAsia="en-US"/>
              </w:rPr>
              <w:t>The UE is not expected to transmit multiple SRS resources with different spatial relations in the same OFDM symbol.</w:t>
            </w:r>
          </w:p>
          <w:p w14:paraId="693D6F35">
            <w:pPr>
              <w:overflowPunct w:val="0"/>
              <w:autoSpaceDE w:val="0"/>
              <w:autoSpaceDN w:val="0"/>
              <w:adjustRightInd w:val="0"/>
              <w:spacing w:after="180"/>
              <w:textAlignment w:val="baseline"/>
              <w:rPr>
                <w:rFonts w:eastAsia="宋体"/>
                <w:sz w:val="20"/>
                <w:lang w:val="en-US" w:eastAsia="en-US"/>
              </w:rPr>
            </w:pPr>
            <w:r>
              <w:rPr>
                <w:rFonts w:eastAsia="宋体"/>
                <w:sz w:val="20"/>
                <w:lang w:val="en-US" w:eastAsia="en-US"/>
              </w:rPr>
              <w:t xml:space="preserve">If the UE is not configured with the higher layer parameter </w:t>
            </w:r>
            <w:r>
              <w:rPr>
                <w:rFonts w:eastAsia="宋体"/>
                <w:i/>
                <w:sz w:val="20"/>
                <w:lang w:eastAsia="en-US"/>
              </w:rPr>
              <w:t>spatialRelationInfoPos</w:t>
            </w:r>
            <w:r>
              <w:rPr>
                <w:rFonts w:eastAsia="宋体"/>
                <w:sz w:val="20"/>
                <w:lang w:val="en-US" w:eastAsia="en-US"/>
              </w:rPr>
              <w:t xml:space="preserve"> the UE may use a fixed spatial domain transmission filter for transmissions of the SRS configured by the higher layer parameter </w:t>
            </w:r>
            <w:r>
              <w:rPr>
                <w:rFonts w:eastAsia="宋体"/>
                <w:i/>
                <w:iCs/>
                <w:sz w:val="20"/>
                <w:lang w:eastAsia="en-US"/>
              </w:rPr>
              <w:t xml:space="preserve">SRS-PosResource </w:t>
            </w:r>
            <w:r>
              <w:rPr>
                <w:rFonts w:eastAsia="宋体"/>
                <w:sz w:val="20"/>
                <w:lang w:val="en-US" w:eastAsia="en-US"/>
              </w:rPr>
              <w:t xml:space="preserve">across multiple SRS resources or it may use a different spatial domain transmission filter across multiple SRS resources. </w:t>
            </w:r>
          </w:p>
          <w:p w14:paraId="1E00CA44">
            <w:pPr>
              <w:overflowPunct w:val="0"/>
              <w:autoSpaceDE w:val="0"/>
              <w:autoSpaceDN w:val="0"/>
              <w:adjustRightInd w:val="0"/>
              <w:spacing w:after="180"/>
              <w:textAlignment w:val="baseline"/>
              <w:rPr>
                <w:rFonts w:eastAsia="宋体"/>
                <w:sz w:val="20"/>
                <w:lang w:val="en-US" w:eastAsia="en-US"/>
              </w:rPr>
            </w:pPr>
            <w:r>
              <w:rPr>
                <w:rFonts w:eastAsia="宋体"/>
                <w:sz w:val="20"/>
                <w:szCs w:val="16"/>
                <w:lang w:val="en-US" w:eastAsia="zh-CN"/>
              </w:rPr>
              <w:t>I</w:t>
            </w:r>
            <w:r>
              <w:rPr>
                <w:rFonts w:eastAsia="宋体"/>
                <w:sz w:val="20"/>
                <w:szCs w:val="16"/>
                <w:lang w:val="en-US" w:eastAsia="en-US"/>
              </w:rPr>
              <w:t>n RRC_CONNECTED mode, t</w:t>
            </w:r>
            <w:r>
              <w:rPr>
                <w:rFonts w:eastAsia="宋体"/>
                <w:sz w:val="20"/>
                <w:lang w:val="en-US" w:eastAsia="en-US"/>
              </w:rPr>
              <w:t xml:space="preserve">he UE is only expected to transmit an SRS configured by the higher layer parameter </w:t>
            </w:r>
            <w:r>
              <w:rPr>
                <w:rFonts w:eastAsia="宋体"/>
                <w:i/>
                <w:iCs/>
                <w:sz w:val="20"/>
                <w:lang w:eastAsia="en-US"/>
              </w:rPr>
              <w:t xml:space="preserve">SRS-PosResource </w:t>
            </w:r>
            <w:r>
              <w:rPr>
                <w:rFonts w:eastAsia="宋体"/>
                <w:sz w:val="20"/>
                <w:lang w:val="en-US" w:eastAsia="en-US"/>
              </w:rPr>
              <w:t>within the active UL BWP of the UE.</w:t>
            </w:r>
          </w:p>
          <w:p w14:paraId="04E61908">
            <w:pPr>
              <w:overflowPunct w:val="0"/>
              <w:autoSpaceDE w:val="0"/>
              <w:autoSpaceDN w:val="0"/>
              <w:adjustRightInd w:val="0"/>
              <w:spacing w:after="180"/>
              <w:textAlignment w:val="baseline"/>
              <w:rPr>
                <w:rFonts w:eastAsia="宋体"/>
                <w:sz w:val="20"/>
                <w:lang w:val="en-US" w:eastAsia="en-US"/>
              </w:rPr>
            </w:pPr>
            <w:r>
              <w:rPr>
                <w:rFonts w:eastAsia="宋体"/>
                <w:sz w:val="20"/>
                <w:lang w:val="en-US" w:eastAsia="en-US"/>
              </w:rPr>
              <w:t xml:space="preserve">When the configuration of SRS is done by the higher layer parameter </w:t>
            </w:r>
            <w:r>
              <w:rPr>
                <w:rFonts w:eastAsia="宋体"/>
                <w:i/>
                <w:iCs/>
                <w:sz w:val="20"/>
                <w:lang w:eastAsia="en-US"/>
              </w:rPr>
              <w:t>SRS-PosResource</w:t>
            </w:r>
            <w:r>
              <w:rPr>
                <w:rFonts w:eastAsia="宋体"/>
                <w:sz w:val="20"/>
                <w:lang w:val="en-US" w:eastAsia="en-US"/>
              </w:rPr>
              <w:t xml:space="preserve">, the UE can only be provided with a single RS source in </w:t>
            </w:r>
            <w:r>
              <w:rPr>
                <w:rFonts w:eastAsia="宋体"/>
                <w:i/>
                <w:sz w:val="20"/>
                <w:lang w:eastAsia="en-US"/>
              </w:rPr>
              <w:t>spatialRelationInfoPos</w:t>
            </w:r>
            <w:r>
              <w:rPr>
                <w:rFonts w:eastAsia="宋体"/>
                <w:sz w:val="20"/>
                <w:lang w:val="en-US" w:eastAsia="en-US"/>
              </w:rPr>
              <w:t xml:space="preserve"> per SRS resource for positioning.</w:t>
            </w:r>
          </w:p>
          <w:p w14:paraId="4554C06D">
            <w:pPr>
              <w:overflowPunct w:val="0"/>
              <w:autoSpaceDE w:val="0"/>
              <w:autoSpaceDN w:val="0"/>
              <w:adjustRightInd w:val="0"/>
              <w:spacing w:after="180"/>
              <w:textAlignment w:val="baseline"/>
              <w:rPr>
                <w:rFonts w:eastAsia="宋体"/>
                <w:color w:val="FF0000"/>
                <w:sz w:val="20"/>
                <w:lang w:val="en-US" w:eastAsia="zh-CN"/>
              </w:rPr>
            </w:pPr>
            <w:r>
              <w:rPr>
                <w:rFonts w:eastAsia="宋体"/>
                <w:color w:val="FF0000"/>
                <w:sz w:val="20"/>
                <w:lang w:val="en-US" w:eastAsia="zh-CN"/>
              </w:rPr>
              <w:t xml:space="preserve">Subject to UE capability, the UE may be provided </w:t>
            </w:r>
            <w:r>
              <w:rPr>
                <w:rFonts w:eastAsia="宋体"/>
                <w:i/>
                <w:color w:val="FF0000"/>
                <w:sz w:val="20"/>
                <w:lang w:val="en-US" w:eastAsia="zh-CN"/>
              </w:rPr>
              <w:t>useSameTxBeam</w:t>
            </w:r>
            <w:r>
              <w:rPr>
                <w:rFonts w:eastAsia="宋体"/>
                <w:color w:val="FF0000"/>
                <w:sz w:val="20"/>
                <w:lang w:val="en-US" w:eastAsia="zh-CN"/>
              </w:rPr>
              <w:t xml:space="preserve"> for an SRS resource set for positioning.</w:t>
            </w:r>
          </w:p>
          <w:p w14:paraId="28F6CA92">
            <w:pPr>
              <w:overflowPunct w:val="0"/>
              <w:autoSpaceDE w:val="0"/>
              <w:autoSpaceDN w:val="0"/>
              <w:adjustRightInd w:val="0"/>
              <w:spacing w:after="180"/>
              <w:ind w:left="568" w:hanging="284"/>
              <w:textAlignment w:val="baseline"/>
              <w:rPr>
                <w:rFonts w:eastAsia="宋体"/>
                <w:color w:val="FF0000"/>
                <w:sz w:val="20"/>
                <w:lang w:eastAsia="en-US"/>
              </w:rPr>
            </w:pPr>
            <w:r>
              <w:rPr>
                <w:rFonts w:eastAsia="宋体"/>
                <w:color w:val="FF0000"/>
                <w:sz w:val="20"/>
                <w:szCs w:val="22"/>
                <w:lang w:val="zh-CN" w:eastAsia="en-US"/>
              </w:rPr>
              <w:t>-</w:t>
            </w:r>
            <w:r>
              <w:rPr>
                <w:rFonts w:eastAsia="宋体"/>
                <w:color w:val="FF0000"/>
                <w:sz w:val="20"/>
                <w:szCs w:val="22"/>
                <w:lang w:val="zh-CN" w:eastAsia="en-US"/>
              </w:rPr>
              <w:tab/>
            </w:r>
            <w:r>
              <w:rPr>
                <w:rFonts w:eastAsia="宋体"/>
                <w:color w:val="FF0000"/>
                <w:sz w:val="20"/>
                <w:lang w:val="en-US" w:eastAsia="zh-CN"/>
              </w:rPr>
              <w:t xml:space="preserve">If </w:t>
            </w:r>
            <w:r>
              <w:rPr>
                <w:rFonts w:eastAsia="宋体"/>
                <w:i/>
                <w:color w:val="FF0000"/>
                <w:sz w:val="20"/>
                <w:lang w:val="en-US" w:eastAsia="zh-CN"/>
              </w:rPr>
              <w:t>useSameTxBeam</w:t>
            </w:r>
            <w:r>
              <w:rPr>
                <w:rFonts w:eastAsia="宋体"/>
                <w:color w:val="FF0000"/>
                <w:sz w:val="20"/>
                <w:lang w:val="en-US" w:eastAsia="zh-CN"/>
              </w:rPr>
              <w:t xml:space="preserve"> is set to 1, the UE is expected to use the same spatial domain transmission filter for the SRS resources for positioning configured with the same </w:t>
            </w:r>
            <w:r>
              <w:rPr>
                <w:rFonts w:eastAsia="宋体"/>
                <w:i/>
                <w:color w:val="FF0000"/>
                <w:sz w:val="20"/>
                <w:lang w:eastAsia="en-US"/>
              </w:rPr>
              <w:t>spatialRelationInfoPos</w:t>
            </w:r>
            <w:r>
              <w:rPr>
                <w:rFonts w:eastAsia="宋体"/>
                <w:color w:val="FF0000"/>
                <w:sz w:val="20"/>
                <w:lang w:eastAsia="en-US"/>
              </w:rPr>
              <w:t>.</w:t>
            </w:r>
          </w:p>
          <w:p w14:paraId="115F3F7C">
            <w:pPr>
              <w:overflowPunct w:val="0"/>
              <w:autoSpaceDE w:val="0"/>
              <w:autoSpaceDN w:val="0"/>
              <w:adjustRightInd w:val="0"/>
              <w:spacing w:after="180"/>
              <w:ind w:left="568" w:hanging="284"/>
              <w:textAlignment w:val="baseline"/>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useSameTxBeam</w:t>
            </w:r>
            <w:r>
              <w:rPr>
                <w:rFonts w:eastAsia="宋体"/>
                <w:color w:val="FF0000"/>
                <w:sz w:val="20"/>
                <w:lang w:val="en-US" w:eastAsia="zh-CN"/>
              </w:rPr>
              <w:t xml:space="preserve"> is set to 0, the UE is expected to use different spatial domain transmission filters for the SRS resources for positioning configured with the same </w:t>
            </w:r>
            <w:r>
              <w:rPr>
                <w:rFonts w:eastAsia="宋体"/>
                <w:i/>
                <w:color w:val="FF0000"/>
                <w:sz w:val="20"/>
                <w:lang w:eastAsia="en-US"/>
              </w:rPr>
              <w:t>spatialRelationInfoPos</w:t>
            </w:r>
            <w:r>
              <w:rPr>
                <w:rFonts w:eastAsia="宋体"/>
                <w:color w:val="FF0000"/>
                <w:sz w:val="20"/>
                <w:lang w:eastAsia="en-US"/>
              </w:rPr>
              <w:t>.</w:t>
            </w:r>
          </w:p>
          <w:p w14:paraId="1301A7FD">
            <w:pPr>
              <w:overflowPunct w:val="0"/>
              <w:autoSpaceDE w:val="0"/>
              <w:autoSpaceDN w:val="0"/>
              <w:adjustRightInd w:val="0"/>
              <w:spacing w:after="180"/>
              <w:textAlignment w:val="baseline"/>
              <w:rPr>
                <w:rFonts w:eastAsia="宋体"/>
                <w:sz w:val="20"/>
                <w:lang w:val="en-US" w:eastAsia="en-US"/>
              </w:rPr>
            </w:pPr>
            <w:r>
              <w:rPr>
                <w:rFonts w:eastAsia="宋体"/>
                <w:sz w:val="20"/>
                <w:lang w:val="en-US" w:eastAsia="en-US"/>
              </w:rPr>
              <w:t xml:space="preserve">For operation on the same carrier, if an SRS configured by the higher parameter </w:t>
            </w:r>
            <w:r>
              <w:rPr>
                <w:rFonts w:eastAsia="宋体"/>
                <w:i/>
                <w:iCs/>
                <w:sz w:val="20"/>
                <w:lang w:eastAsia="en-US"/>
              </w:rPr>
              <w:t xml:space="preserve">SRS-PosResource </w:t>
            </w:r>
            <w:r>
              <w:rPr>
                <w:rFonts w:eastAsia="宋体"/>
                <w:sz w:val="20"/>
                <w:lang w:val="en-US" w:eastAsia="en-US"/>
              </w:rPr>
              <w:t xml:space="preserve">collides with a scheduled PUSCH, the SRS is dropped in the symbols where the collision occurs. </w:t>
            </w:r>
          </w:p>
          <w:p w14:paraId="4CDC390A">
            <w:pPr>
              <w:overflowPunct w:val="0"/>
              <w:autoSpaceDE w:val="0"/>
              <w:autoSpaceDN w:val="0"/>
              <w:adjustRightInd w:val="0"/>
              <w:spacing w:after="180"/>
              <w:textAlignment w:val="baseline"/>
              <w:rPr>
                <w:rFonts w:eastAsia="宋体"/>
                <w:sz w:val="20"/>
                <w:lang w:eastAsia="en-US"/>
              </w:rPr>
            </w:pPr>
            <w:r>
              <w:rPr>
                <w:rFonts w:eastAsia="宋体"/>
                <w:sz w:val="20"/>
                <w:lang w:eastAsia="en-US"/>
              </w:rPr>
              <w:t xml:space="preserve">Unless specified otherwise, the UE does not expect to be configured with </w:t>
            </w:r>
            <w:r>
              <w:rPr>
                <w:rFonts w:eastAsia="宋体"/>
                <w:i/>
                <w:sz w:val="20"/>
                <w:lang w:eastAsia="en-US"/>
              </w:rPr>
              <w:t>SRS-PosResource</w:t>
            </w:r>
            <w:r>
              <w:rPr>
                <w:rFonts w:eastAsia="宋体"/>
                <w:sz w:val="20"/>
                <w:lang w:eastAsia="en-US"/>
              </w:rPr>
              <w:t xml:space="preserve"> on a carrier of </w:t>
            </w:r>
            <w:r>
              <w:rPr>
                <w:rFonts w:eastAsia="宋体"/>
                <w:color w:val="000000"/>
                <w:sz w:val="20"/>
                <w:lang w:eastAsia="en-US"/>
              </w:rPr>
              <w:t xml:space="preserve">a serving cell with slot formats comprised of DL and UL symbols, </w:t>
            </w:r>
            <w:r>
              <w:rPr>
                <w:rFonts w:eastAsia="宋体"/>
                <w:sz w:val="20"/>
                <w:lang w:eastAsia="en-US"/>
              </w:rPr>
              <w:t>not configured for PUSCH/PUCCH transmission.</w:t>
            </w:r>
          </w:p>
          <w:p w14:paraId="45F0D47B">
            <w:pPr>
              <w:overflowPunct w:val="0"/>
              <w:autoSpaceDE w:val="0"/>
              <w:autoSpaceDN w:val="0"/>
              <w:adjustRightInd w:val="0"/>
              <w:spacing w:after="180"/>
              <w:textAlignment w:val="baseline"/>
              <w:rPr>
                <w:rFonts w:eastAsia="宋体"/>
                <w:sz w:val="20"/>
                <w:lang w:eastAsia="en-US"/>
              </w:rPr>
            </w:pPr>
            <w:r>
              <w:rPr>
                <w:rFonts w:eastAsia="宋体"/>
                <w:sz w:val="20"/>
                <w:lang w:eastAsia="en-US"/>
              </w:rPr>
              <w:t xml:space="preserve">Timing Error Group (TEG) at UE side is defined: </w:t>
            </w:r>
          </w:p>
          <w:p w14:paraId="5A704F72">
            <w:pPr>
              <w:overflowPunct w:val="0"/>
              <w:autoSpaceDE w:val="0"/>
              <w:autoSpaceDN w:val="0"/>
              <w:adjustRightInd w:val="0"/>
              <w:spacing w:after="180"/>
              <w:ind w:left="568" w:hanging="284"/>
              <w:textAlignment w:val="baseline"/>
              <w:rPr>
                <w:rFonts w:eastAsia="宋体"/>
                <w:sz w:val="20"/>
                <w:szCs w:val="22"/>
                <w:lang w:val="zh-CN" w:eastAsia="en-US"/>
              </w:rPr>
            </w:pPr>
            <w:r>
              <w:rPr>
                <w:rFonts w:eastAsia="宋体"/>
                <w:sz w:val="20"/>
                <w:szCs w:val="22"/>
                <w:lang w:val="zh-CN" w:eastAsia="en-US"/>
              </w:rPr>
              <w:t>-</w:t>
            </w:r>
            <w:r>
              <w:rPr>
                <w:rFonts w:eastAsia="宋体"/>
                <w:sz w:val="20"/>
                <w:szCs w:val="22"/>
                <w:lang w:val="zh-CN" w:eastAsia="en-US"/>
              </w:rPr>
              <w:tab/>
            </w:r>
            <w:r>
              <w:rPr>
                <w:rFonts w:eastAsia="宋体"/>
                <w:sz w:val="20"/>
                <w:szCs w:val="22"/>
                <w:lang w:val="zh-CN" w:eastAsia="en-US"/>
              </w:rPr>
              <w:t>UE Tx TEG is associated with the transmissions of one or more UL SRS resources for the positioning purpose, which have the Tx timing error difference within a certain margin.</w:t>
            </w:r>
          </w:p>
          <w:p w14:paraId="255CAE11">
            <w:pPr>
              <w:overflowPunct w:val="0"/>
              <w:autoSpaceDE w:val="0"/>
              <w:autoSpaceDN w:val="0"/>
              <w:adjustRightInd w:val="0"/>
              <w:spacing w:after="180"/>
              <w:jc w:val="center"/>
              <w:textAlignment w:val="baseline"/>
              <w:rPr>
                <w:rFonts w:eastAsia="MS Mincho"/>
                <w:color w:val="FF0000"/>
                <w:sz w:val="20"/>
              </w:rPr>
            </w:pPr>
            <w:r>
              <w:rPr>
                <w:rFonts w:eastAsia="宋体"/>
                <w:color w:val="FF0000"/>
                <w:sz w:val="20"/>
                <w:lang w:val="zh-CN" w:eastAsia="zh-CN"/>
              </w:rPr>
              <w:t xml:space="preserve"> </w:t>
            </w:r>
            <w:r>
              <w:rPr>
                <w:rFonts w:eastAsia="宋体"/>
                <w:color w:val="FF0000"/>
                <w:sz w:val="20"/>
                <w:lang w:eastAsia="zh-CN"/>
              </w:rPr>
              <w:t>========================= Unchanged parts =========================</w:t>
            </w:r>
          </w:p>
        </w:tc>
      </w:tr>
      <w:bookmarkEnd w:id="5"/>
    </w:tbl>
    <w:p w14:paraId="71D1C819">
      <w:pPr>
        <w:jc w:val="both"/>
        <w:rPr>
          <w:b/>
        </w:rPr>
      </w:pPr>
    </w:p>
    <w:p w14:paraId="7CFECC57">
      <w:pPr>
        <w:rPr>
          <w:rFonts w:eastAsia="MS Mincho" w:cs="Batang"/>
          <w:sz w:val="22"/>
          <w:szCs w:val="22"/>
        </w:rPr>
      </w:pPr>
    </w:p>
    <w:p w14:paraId="364EBD71">
      <w:pPr>
        <w:rPr>
          <w:rFonts w:eastAsia="MS Mincho" w:cs="Batang"/>
          <w:sz w:val="22"/>
          <w:szCs w:val="22"/>
        </w:rPr>
      </w:pPr>
      <w:r>
        <w:rPr>
          <w:rFonts w:hint="eastAsia" w:eastAsia="MS Mincho" w:cs="Batang"/>
          <w:sz w:val="22"/>
          <w:szCs w:val="22"/>
        </w:rPr>
        <w:t>T</w:t>
      </w:r>
      <w:r>
        <w:rPr>
          <w:rFonts w:eastAsia="MS Mincho" w:cs="Batang"/>
          <w:sz w:val="22"/>
          <w:szCs w:val="22"/>
        </w:rPr>
        <w:t>his proposal is already supported by Huawei, HiSilicon, China Unicom, ZTE Corporation, Sanechips.</w:t>
      </w:r>
    </w:p>
    <w:p w14:paraId="58E4E3A2">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121"/>
        <w:gridCol w:w="6821"/>
      </w:tblGrid>
      <w:tr w14:paraId="2A26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shd w:val="clear" w:color="auto" w:fill="F1F1F1" w:themeFill="background1" w:themeFillShade="F2"/>
          </w:tcPr>
          <w:p w14:paraId="366579F0">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14:paraId="7496A1EA">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821" w:type="dxa"/>
            <w:shd w:val="clear" w:color="auto" w:fill="F1F1F1" w:themeFill="background1" w:themeFillShade="F2"/>
          </w:tcPr>
          <w:p w14:paraId="436FF79C">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14:paraId="1A25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14:paraId="01F9FA4F">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Qualcomm</w:t>
            </w:r>
          </w:p>
        </w:tc>
        <w:tc>
          <w:tcPr>
            <w:tcW w:w="1121" w:type="dxa"/>
          </w:tcPr>
          <w:p w14:paraId="6F97FDD1">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No</w:t>
            </w:r>
          </w:p>
        </w:tc>
        <w:tc>
          <w:tcPr>
            <w:tcW w:w="6821" w:type="dxa"/>
          </w:tcPr>
          <w:p w14:paraId="45D8B126">
            <w:pPr>
              <w:overflowPunct w:val="0"/>
              <w:autoSpaceDE w:val="0"/>
              <w:autoSpaceDN w:val="0"/>
              <w:adjustRightInd w:val="0"/>
              <w:spacing w:after="0" w:line="278" w:lineRule="auto"/>
              <w:jc w:val="both"/>
              <w:textAlignment w:val="baseline"/>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5AC6DD46">
            <w:pPr>
              <w:overflowPunct w:val="0"/>
              <w:autoSpaceDE w:val="0"/>
              <w:autoSpaceDN w:val="0"/>
              <w:adjustRightInd w:val="0"/>
              <w:spacing w:after="0" w:line="278" w:lineRule="auto"/>
              <w:jc w:val="both"/>
              <w:textAlignment w:val="baseline"/>
              <w:rPr>
                <w:sz w:val="22"/>
                <w:lang w:val="en-US"/>
              </w:rPr>
            </w:pPr>
            <w:r>
              <w:rPr>
                <w:sz w:val="22"/>
                <w:lang w:val="en-US"/>
              </w:rPr>
              <w:t>We believe the discussion should be more general and should allow for greater UE flexibility, similar to the Tx-TEG-ID framework specified in Rel-17. Using the Rel-17 Tx-TEG reporting principles, this new feature would be more aligned with the current specifications as follows:</w:t>
            </w:r>
          </w:p>
          <w:p w14:paraId="44C94334">
            <w:pPr>
              <w:numPr>
                <w:ilvl w:val="0"/>
                <w:numId w:val="27"/>
              </w:numPr>
              <w:tabs>
                <w:tab w:val="left" w:pos="720"/>
              </w:tabs>
              <w:overflowPunct w:val="0"/>
              <w:autoSpaceDE w:val="0"/>
              <w:autoSpaceDN w:val="0"/>
              <w:adjustRightInd w:val="0"/>
              <w:spacing w:after="0" w:line="278" w:lineRule="auto"/>
              <w:jc w:val="both"/>
              <w:textAlignment w:val="baseline"/>
              <w:rPr>
                <w:sz w:val="22"/>
                <w:lang w:val="en-US"/>
              </w:rPr>
            </w:pPr>
            <w:r>
              <w:rPr>
                <w:sz w:val="22"/>
                <w:lang w:val="en-US"/>
              </w:rPr>
              <w:t>Request the UE to report which of the already-transmitted SRS resources for positioning in an SRS resource set use the same spatial domain transmission filter.</w:t>
            </w:r>
          </w:p>
          <w:p w14:paraId="20964C2A">
            <w:pPr>
              <w:numPr>
                <w:ilvl w:val="0"/>
                <w:numId w:val="27"/>
              </w:numPr>
              <w:overflowPunct w:val="0"/>
              <w:autoSpaceDE w:val="0"/>
              <w:autoSpaceDN w:val="0"/>
              <w:adjustRightInd w:val="0"/>
              <w:spacing w:after="0" w:line="278" w:lineRule="auto"/>
              <w:jc w:val="both"/>
              <w:textAlignment w:val="baseline"/>
              <w:rPr>
                <w:sz w:val="22"/>
                <w:lang w:val="en-US"/>
              </w:rPr>
            </w:pPr>
            <w:r>
              <w:rPr>
                <w:sz w:val="22"/>
                <w:lang w:val="en-US"/>
              </w:rPr>
              <w:t>Introduce a Tx-BeamIndex for SRS for Positioning transmission, which is reported in RRC for UL-TDOA in UEPositioningAssistanceInfo, or in LPP for M-RTT in the M-RTT measurement report.</w:t>
            </w:r>
          </w:p>
        </w:tc>
      </w:tr>
      <w:tr w14:paraId="29627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14:paraId="74E88185">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vivo</w:t>
            </w:r>
          </w:p>
        </w:tc>
        <w:tc>
          <w:tcPr>
            <w:tcW w:w="1121" w:type="dxa"/>
          </w:tcPr>
          <w:p w14:paraId="2D91FA9A">
            <w:pPr>
              <w:overflowPunct w:val="0"/>
              <w:autoSpaceDE w:val="0"/>
              <w:autoSpaceDN w:val="0"/>
              <w:adjustRightInd w:val="0"/>
              <w:spacing w:after="120" w:afterLines="50"/>
              <w:jc w:val="both"/>
              <w:textAlignment w:val="baseline"/>
              <w:rPr>
                <w:rFonts w:eastAsia="Malgun Gothic"/>
                <w:sz w:val="22"/>
                <w:lang w:val="en-US" w:eastAsia="ko-KR"/>
              </w:rPr>
            </w:pPr>
          </w:p>
        </w:tc>
        <w:tc>
          <w:tcPr>
            <w:tcW w:w="6821" w:type="dxa"/>
          </w:tcPr>
          <w:p w14:paraId="2B2A48A4">
            <w:pPr>
              <w:overflowPunct w:val="0"/>
              <w:autoSpaceDE w:val="0"/>
              <w:autoSpaceDN w:val="0"/>
              <w:adjustRightInd w:val="0"/>
              <w:spacing w:after="120" w:afterLines="50"/>
              <w:jc w:val="both"/>
              <w:textAlignment w:val="baseline"/>
              <w:rPr>
                <w:rFonts w:eastAsiaTheme="minorEastAsia"/>
                <w:iCs/>
                <w:sz w:val="22"/>
                <w:lang w:val="en-US" w:eastAsia="zh-CN"/>
              </w:rPr>
            </w:pPr>
            <w:r>
              <w:rPr>
                <w:rFonts w:hint="eastAsia" w:eastAsiaTheme="minorEastAsia"/>
                <w:sz w:val="22"/>
                <w:lang w:val="en-US" w:eastAsia="zh-CN"/>
              </w:rPr>
              <w:t xml:space="preserve">Firstly, the feature can be considered in the case the </w:t>
            </w:r>
            <w:r>
              <w:rPr>
                <w:rFonts w:eastAsia="宋体"/>
                <w:i/>
                <w:sz w:val="20"/>
                <w:lang w:eastAsia="en-US"/>
              </w:rPr>
              <w:t>spatialRelationInfoPos</w:t>
            </w:r>
            <w:r>
              <w:rPr>
                <w:rFonts w:hint="eastAsia" w:eastAsia="宋体"/>
                <w:iCs/>
                <w:sz w:val="20"/>
                <w:lang w:eastAsia="zh-CN"/>
              </w:rPr>
              <w:t xml:space="preserve"> is not configured.</w:t>
            </w:r>
          </w:p>
          <w:p w14:paraId="3CEFF17D">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So we </w:t>
            </w:r>
            <w:r>
              <w:rPr>
                <w:rFonts w:eastAsiaTheme="minorEastAsia"/>
                <w:sz w:val="22"/>
                <w:lang w:val="en-US" w:eastAsia="zh-CN"/>
              </w:rPr>
              <w:t>prefer</w:t>
            </w:r>
            <w:r>
              <w:rPr>
                <w:rFonts w:hint="eastAsia" w:eastAsiaTheme="minorEastAsia"/>
                <w:sz w:val="22"/>
                <w:lang w:val="en-US" w:eastAsia="zh-CN"/>
              </w:rPr>
              <w:t xml:space="preserve"> to modify the feature as below </w:t>
            </w:r>
          </w:p>
          <w:p w14:paraId="3603D287">
            <w:pPr>
              <w:overflowPunct w:val="0"/>
              <w:autoSpaceDE w:val="0"/>
              <w:autoSpaceDN w:val="0"/>
              <w:adjustRightInd w:val="0"/>
              <w:spacing w:after="180"/>
              <w:textAlignment w:val="baseline"/>
              <w:rPr>
                <w:rFonts w:eastAsia="宋体"/>
                <w:color w:val="FF0000"/>
                <w:sz w:val="20"/>
                <w:lang w:val="en-US" w:eastAsia="zh-CN"/>
              </w:rPr>
            </w:pPr>
            <w:r>
              <w:rPr>
                <w:rFonts w:eastAsia="宋体"/>
                <w:color w:val="FF0000"/>
                <w:sz w:val="20"/>
                <w:lang w:val="en-US" w:eastAsia="zh-CN"/>
              </w:rPr>
              <w:t xml:space="preserve">Subject to UE capability, the UE may be provided </w:t>
            </w:r>
            <w:r>
              <w:rPr>
                <w:rFonts w:eastAsia="宋体"/>
                <w:i/>
                <w:color w:val="FF0000"/>
                <w:sz w:val="20"/>
                <w:lang w:val="en-US" w:eastAsia="zh-CN"/>
              </w:rPr>
              <w:t>useSameTxBeam</w:t>
            </w:r>
            <w:r>
              <w:rPr>
                <w:rFonts w:eastAsia="宋体"/>
                <w:color w:val="FF0000"/>
                <w:sz w:val="20"/>
                <w:lang w:val="en-US" w:eastAsia="zh-CN"/>
              </w:rPr>
              <w:t xml:space="preserve"> for an SRS resource set for positioning.</w:t>
            </w:r>
          </w:p>
          <w:p w14:paraId="3062B13D">
            <w:pPr>
              <w:overflowPunct w:val="0"/>
              <w:autoSpaceDE w:val="0"/>
              <w:autoSpaceDN w:val="0"/>
              <w:adjustRightInd w:val="0"/>
              <w:spacing w:after="180"/>
              <w:ind w:left="568" w:hanging="284"/>
              <w:textAlignment w:val="baseline"/>
              <w:rPr>
                <w:rFonts w:eastAsia="宋体"/>
                <w:color w:val="FF0000"/>
                <w:sz w:val="20"/>
                <w:lang w:eastAsia="en-US"/>
              </w:rPr>
            </w:pPr>
            <w:r>
              <w:rPr>
                <w:rFonts w:eastAsia="宋体"/>
                <w:color w:val="FF0000"/>
                <w:sz w:val="20"/>
                <w:szCs w:val="22"/>
                <w:lang w:val="zh-CN" w:eastAsia="en-US"/>
              </w:rPr>
              <w:t>-</w:t>
            </w:r>
            <w:r>
              <w:rPr>
                <w:rFonts w:eastAsia="宋体"/>
                <w:color w:val="FF0000"/>
                <w:sz w:val="20"/>
                <w:szCs w:val="22"/>
                <w:lang w:val="zh-CN" w:eastAsia="en-US"/>
              </w:rPr>
              <w:tab/>
            </w:r>
            <w:r>
              <w:rPr>
                <w:rFonts w:eastAsia="宋体"/>
                <w:color w:val="FF0000"/>
                <w:sz w:val="20"/>
                <w:lang w:val="en-US" w:eastAsia="zh-CN"/>
              </w:rPr>
              <w:t xml:space="preserve">If </w:t>
            </w:r>
            <w:r>
              <w:rPr>
                <w:rFonts w:eastAsia="宋体"/>
                <w:i/>
                <w:color w:val="FF0000"/>
                <w:sz w:val="20"/>
                <w:lang w:val="en-US" w:eastAsia="zh-CN"/>
              </w:rPr>
              <w:t>useSameTxBeam</w:t>
            </w:r>
            <w:r>
              <w:rPr>
                <w:rFonts w:eastAsia="宋体"/>
                <w:color w:val="FF0000"/>
                <w:sz w:val="20"/>
                <w:lang w:val="en-US" w:eastAsia="zh-CN"/>
              </w:rPr>
              <w:t xml:space="preserve"> is set to 1, the UE is expected to use the same spatial domain transmission filter for the SRS resources for positioning </w:t>
            </w:r>
            <w:r>
              <w:rPr>
                <w:rFonts w:hint="eastAsia" w:eastAsia="宋体"/>
                <w:color w:val="FF0000"/>
                <w:sz w:val="20"/>
                <w:highlight w:val="yellow"/>
                <w:lang w:val="en-US" w:eastAsia="zh-CN"/>
              </w:rPr>
              <w:t xml:space="preserve">of </w:t>
            </w:r>
            <w:r>
              <w:rPr>
                <w:rFonts w:eastAsia="宋体"/>
                <w:color w:val="FF0000"/>
                <w:sz w:val="20"/>
                <w:highlight w:val="yellow"/>
                <w:lang w:val="en-US" w:eastAsia="zh-CN"/>
              </w:rPr>
              <w:t>an SRS resource set for positioning</w:t>
            </w:r>
            <w:r>
              <w:rPr>
                <w:rFonts w:eastAsia="宋体"/>
                <w:strike/>
                <w:color w:val="FF0000"/>
                <w:sz w:val="20"/>
                <w:lang w:val="en-US" w:eastAsia="zh-CN"/>
              </w:rPr>
              <w:t xml:space="preserve"> configured with the same </w:t>
            </w:r>
            <w:r>
              <w:rPr>
                <w:rFonts w:eastAsia="宋体"/>
                <w:i/>
                <w:strike/>
                <w:color w:val="FF0000"/>
                <w:sz w:val="20"/>
                <w:lang w:eastAsia="en-US"/>
              </w:rPr>
              <w:t>spatialRelationInfoPos</w:t>
            </w:r>
            <w:r>
              <w:rPr>
                <w:rFonts w:eastAsia="宋体"/>
                <w:strike/>
                <w:color w:val="FF0000"/>
                <w:sz w:val="20"/>
                <w:lang w:eastAsia="en-US"/>
              </w:rPr>
              <w:t>.</w:t>
            </w:r>
          </w:p>
          <w:p w14:paraId="016BEA61">
            <w:pPr>
              <w:overflowPunct w:val="0"/>
              <w:autoSpaceDE w:val="0"/>
              <w:autoSpaceDN w:val="0"/>
              <w:adjustRightInd w:val="0"/>
              <w:spacing w:after="180"/>
              <w:ind w:left="568" w:hanging="284"/>
              <w:textAlignment w:val="baseline"/>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useSameTxBeam</w:t>
            </w:r>
            <w:r>
              <w:rPr>
                <w:rFonts w:eastAsia="宋体"/>
                <w:color w:val="FF0000"/>
                <w:sz w:val="20"/>
                <w:lang w:val="en-US" w:eastAsia="zh-CN"/>
              </w:rPr>
              <w:t xml:space="preserve"> is set to 0, the UE is expected to use different spatial domain transmission filters for the SRS resources for positioning </w:t>
            </w:r>
            <w:r>
              <w:rPr>
                <w:rFonts w:hint="eastAsia" w:eastAsia="宋体"/>
                <w:color w:val="FF0000"/>
                <w:sz w:val="20"/>
                <w:highlight w:val="yellow"/>
                <w:lang w:val="en-US" w:eastAsia="zh-CN"/>
              </w:rPr>
              <w:t xml:space="preserve">of </w:t>
            </w:r>
            <w:r>
              <w:rPr>
                <w:rFonts w:eastAsia="宋体"/>
                <w:color w:val="FF0000"/>
                <w:sz w:val="20"/>
                <w:highlight w:val="yellow"/>
                <w:lang w:val="en-US" w:eastAsia="zh-CN"/>
              </w:rPr>
              <w:t>an SRS resource set for positioning</w:t>
            </w:r>
            <w:r>
              <w:rPr>
                <w:rFonts w:eastAsia="宋体"/>
                <w:strike/>
                <w:color w:val="FF0000"/>
                <w:sz w:val="20"/>
                <w:lang w:val="en-US" w:eastAsia="zh-CN"/>
              </w:rPr>
              <w:t xml:space="preserve"> configured with the same </w:t>
            </w:r>
            <w:r>
              <w:rPr>
                <w:rFonts w:eastAsia="宋体"/>
                <w:i/>
                <w:strike/>
                <w:color w:val="FF0000"/>
                <w:sz w:val="20"/>
                <w:lang w:eastAsia="en-US"/>
              </w:rPr>
              <w:t>spatialRelationInfoPos</w:t>
            </w:r>
            <w:r>
              <w:rPr>
                <w:rFonts w:eastAsia="宋体"/>
                <w:strike/>
                <w:color w:val="FF0000"/>
                <w:sz w:val="20"/>
                <w:lang w:eastAsia="en-US"/>
              </w:rPr>
              <w:t>.</w:t>
            </w:r>
          </w:p>
          <w:p w14:paraId="0E587313">
            <w:pPr>
              <w:overflowPunct w:val="0"/>
              <w:autoSpaceDE w:val="0"/>
              <w:autoSpaceDN w:val="0"/>
              <w:adjustRightInd w:val="0"/>
              <w:spacing w:after="120" w:afterLines="50"/>
              <w:jc w:val="both"/>
              <w:textAlignment w:val="baseline"/>
              <w:rPr>
                <w:rFonts w:eastAsiaTheme="minorEastAsia"/>
                <w:sz w:val="22"/>
                <w:lang w:val="en-US" w:eastAsia="zh-CN"/>
              </w:rPr>
            </w:pPr>
          </w:p>
        </w:tc>
      </w:tr>
      <w:tr w14:paraId="5655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14:paraId="69B510D8">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val="en-US" w:eastAsia="zh-CN"/>
              </w:rPr>
              <w:t>X</w:t>
            </w:r>
            <w:r>
              <w:rPr>
                <w:rFonts w:eastAsiaTheme="minorEastAsia"/>
                <w:sz w:val="22"/>
                <w:lang w:val="en-US" w:eastAsia="zh-CN"/>
              </w:rPr>
              <w:t>iaomi</w:t>
            </w:r>
          </w:p>
        </w:tc>
        <w:tc>
          <w:tcPr>
            <w:tcW w:w="1121" w:type="dxa"/>
          </w:tcPr>
          <w:p w14:paraId="71770FA4">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821" w:type="dxa"/>
          </w:tcPr>
          <w:p w14:paraId="6DA813E5">
            <w:pPr>
              <w:overflowPunct w:val="0"/>
              <w:autoSpaceDE w:val="0"/>
              <w:autoSpaceDN w:val="0"/>
              <w:adjustRightInd w:val="0"/>
              <w:spacing w:after="120" w:afterLines="50"/>
              <w:jc w:val="both"/>
              <w:textAlignment w:val="baseline"/>
              <w:rPr>
                <w:sz w:val="22"/>
                <w:lang w:val="en-US"/>
              </w:rPr>
            </w:pPr>
            <w:r>
              <w:rPr>
                <w:sz w:val="22"/>
                <w:lang w:val="en-US"/>
              </w:rPr>
              <w:t xml:space="preserve">In legacy, Spatial relation is resource specific and not path- specific. This proposal proposes UE to transmit SRS resources configured with same spatialrelationinfo by different Tx beam, which need a new UE capability. From our point of view, it is a corner case which can be solved by gNB to transmit PRS with a narrow beam. In this case, there will be only one best Rx beam for one PRS resources. </w:t>
            </w:r>
          </w:p>
          <w:p w14:paraId="65DD68D6">
            <w:pPr>
              <w:overflowPunct w:val="0"/>
              <w:autoSpaceDE w:val="0"/>
              <w:autoSpaceDN w:val="0"/>
              <w:adjustRightInd w:val="0"/>
              <w:spacing w:after="120" w:afterLines="50"/>
              <w:jc w:val="both"/>
              <w:textAlignment w:val="baseline"/>
              <w:rPr>
                <w:sz w:val="22"/>
                <w:lang w:val="en-US"/>
              </w:rPr>
            </w:pPr>
            <w:r>
              <w:rPr>
                <w:sz w:val="22"/>
                <w:lang w:val="en-US"/>
              </w:rPr>
              <w:t>Even it happens, we think the spec impact is not restricted to the only one RRC parameter. Besides the RRC parameter, how to determine the maximum number of different Tx beam is also needed to be discussed. e.g, according to the number of RSRPP reported by UE?</w:t>
            </w:r>
          </w:p>
        </w:tc>
      </w:tr>
      <w:tr w14:paraId="7AFE6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14:paraId="67F8DD48">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S</w:t>
            </w:r>
            <w:r>
              <w:rPr>
                <w:rFonts w:eastAsia="Malgun Gothic"/>
                <w:sz w:val="22"/>
                <w:lang w:val="en-US" w:eastAsia="ko-KR"/>
              </w:rPr>
              <w:t>amsung</w:t>
            </w:r>
          </w:p>
        </w:tc>
        <w:tc>
          <w:tcPr>
            <w:tcW w:w="1121" w:type="dxa"/>
          </w:tcPr>
          <w:p w14:paraId="28A52D90">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821" w:type="dxa"/>
          </w:tcPr>
          <w:p w14:paraId="50E1302F">
            <w:pPr>
              <w:overflowPunct w:val="0"/>
              <w:autoSpaceDE w:val="0"/>
              <w:autoSpaceDN w:val="0"/>
              <w:adjustRightInd w:val="0"/>
              <w:spacing w:after="120" w:afterLines="50"/>
              <w:jc w:val="both"/>
              <w:textAlignment w:val="baseline"/>
              <w:rPr>
                <w:sz w:val="22"/>
                <w:lang w:val="en-US"/>
              </w:rPr>
            </w:pPr>
            <w:r>
              <w:rPr>
                <w:sz w:val="22"/>
                <w:lang w:val="en-US"/>
              </w:rPr>
              <w:t>It depends on a scenario that for one DL, the UE happens to have two similarly good beams to Rx (and also corresponding for Tx), and when using that DL PRS as QCL source, the UE may use a different Tx beam. First, it is a corner case for optimization where, in the figure, one LoS link RSRP is comparable to one NLoS link RSRP, and that may only happen when the LoS link has strong penetration loss. However, for FR2 which is the considered scenario, such LoS link will be typically blocked. Second, even in such case, a UE may find two Rx beams that can work, and the UE can choose one to use. Not only for positioning, but for other beam related transmission, it's up to UE implementation to do so.</w:t>
            </w:r>
          </w:p>
        </w:tc>
      </w:tr>
      <w:tr w14:paraId="0098D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14:paraId="48884E9E">
            <w:pPr>
              <w:overflowPunct w:val="0"/>
              <w:autoSpaceDE w:val="0"/>
              <w:autoSpaceDN w:val="0"/>
              <w:adjustRightInd w:val="0"/>
              <w:spacing w:after="120" w:afterLines="50"/>
              <w:jc w:val="both"/>
              <w:textAlignment w:val="baseline"/>
              <w:rPr>
                <w:rFonts w:hint="default" w:eastAsia="宋体"/>
                <w:sz w:val="22"/>
                <w:lang w:val="en-US" w:eastAsia="zh-CN"/>
              </w:rPr>
            </w:pPr>
            <w:r>
              <w:rPr>
                <w:rFonts w:hint="eastAsia" w:eastAsia="宋体"/>
                <w:sz w:val="22"/>
                <w:lang w:val="en-US" w:eastAsia="zh-CN"/>
              </w:rPr>
              <w:t>China Unicom</w:t>
            </w:r>
          </w:p>
        </w:tc>
        <w:tc>
          <w:tcPr>
            <w:tcW w:w="1121" w:type="dxa"/>
          </w:tcPr>
          <w:p w14:paraId="197EC49A">
            <w:pPr>
              <w:overflowPunct w:val="0"/>
              <w:autoSpaceDE w:val="0"/>
              <w:autoSpaceDN w:val="0"/>
              <w:adjustRightInd w:val="0"/>
              <w:spacing w:after="120" w:afterLines="50"/>
              <w:jc w:val="both"/>
              <w:textAlignment w:val="baseline"/>
              <w:rPr>
                <w:rFonts w:hint="eastAsia" w:eastAsia="宋体"/>
                <w:sz w:val="22"/>
                <w:lang w:val="en-US" w:eastAsia="zh-CN"/>
              </w:rPr>
            </w:pPr>
            <w:r>
              <w:rPr>
                <w:rFonts w:hint="eastAsia" w:eastAsia="宋体"/>
                <w:sz w:val="22"/>
                <w:lang w:val="en-US" w:eastAsia="zh-CN"/>
              </w:rPr>
              <w:t>Y</w:t>
            </w:r>
          </w:p>
        </w:tc>
        <w:tc>
          <w:tcPr>
            <w:tcW w:w="6821" w:type="dxa"/>
          </w:tcPr>
          <w:p w14:paraId="6A4B3EC2">
            <w:pPr>
              <w:overflowPunct w:val="0"/>
              <w:autoSpaceDE w:val="0"/>
              <w:autoSpaceDN w:val="0"/>
              <w:adjustRightInd w:val="0"/>
              <w:spacing w:after="120" w:afterLines="50"/>
              <w:jc w:val="both"/>
              <w:textAlignment w:val="baseline"/>
              <w:rPr>
                <w:sz w:val="22"/>
                <w:lang w:val="en-US"/>
              </w:rPr>
            </w:pPr>
            <w:r>
              <w:rPr>
                <w:rFonts w:hint="default" w:eastAsia="宋体"/>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bl>
    <w:p w14:paraId="5B495C7C">
      <w:pPr>
        <w:rPr>
          <w:b/>
          <w:lang w:val="en-US"/>
        </w:rPr>
      </w:pPr>
    </w:p>
    <w:p w14:paraId="6AFDB5EC">
      <w:pPr>
        <w:rPr>
          <w:b/>
          <w:lang w:val="en-US"/>
        </w:rPr>
      </w:pPr>
    </w:p>
    <w:p w14:paraId="3C4FB472">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Link adaptation</w:t>
      </w:r>
    </w:p>
    <w:p w14:paraId="330964B2">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9404"/>
      </w:tblGrid>
      <w:tr w14:paraId="38C43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6E3FFC8A">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[4</w:t>
            </w:r>
            <w:r>
              <w:rPr>
                <w:rFonts w:ascii="Arial" w:hAnsi="Arial" w:eastAsia="MS Mincho"/>
                <w:sz w:val="22"/>
                <w:szCs w:val="22"/>
                <w:lang w:val="en-US"/>
              </w:rPr>
              <w:t>]</w:t>
            </w:r>
          </w:p>
        </w:tc>
        <w:tc>
          <w:tcPr>
            <w:tcW w:w="9066" w:type="dxa"/>
          </w:tcPr>
          <w:p w14:paraId="5F88F3E9">
            <w:pPr>
              <w:overflowPunct w:val="0"/>
              <w:autoSpaceDE w:val="0"/>
              <w:autoSpaceDN w:val="0"/>
              <w:adjustRightInd w:val="0"/>
              <w:spacing w:after="180"/>
              <w:jc w:val="both"/>
              <w:textAlignment w:val="baseline"/>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7B16778E">
            <w:pPr>
              <w:overflowPunct w:val="0"/>
              <w:autoSpaceDE w:val="0"/>
              <w:autoSpaceDN w:val="0"/>
              <w:adjustRightInd w:val="0"/>
              <w:spacing w:after="180"/>
              <w:jc w:val="both"/>
              <w:textAlignment w:val="baseline"/>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10C69903">
            <w:pPr>
              <w:overflowPunct w:val="0"/>
              <w:autoSpaceDE w:val="0"/>
              <w:autoSpaceDN w:val="0"/>
              <w:adjustRightInd w:val="0"/>
              <w:spacing w:after="180"/>
              <w:textAlignment w:val="baseline"/>
              <w:rPr>
                <w:sz w:val="18"/>
                <w:szCs w:val="18"/>
              </w:rPr>
            </w:pPr>
            <w:r>
              <w:rPr>
                <w:sz w:val="18"/>
                <w:szCs w:val="18"/>
              </w:rPr>
              <w:t>On the UE side, the UE shall report CQI according to the highest possible MCS with a BLER not exceeding 10% (if CQI Table 1 and 2 is configured) or 0,001% (if Table 3 is configured).</w:t>
            </w:r>
          </w:p>
          <w:p w14:paraId="5436F5D9">
            <w:pPr>
              <w:overflowPunct w:val="0"/>
              <w:autoSpaceDE w:val="0"/>
              <w:autoSpaceDN w:val="0"/>
              <w:adjustRightInd w:val="0"/>
              <w:spacing w:after="180"/>
              <w:textAlignment w:val="baseline"/>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4BAFD23B">
            <w:pPr>
              <w:pStyle w:val="228"/>
              <w:widowControl/>
              <w:numPr>
                <w:ilvl w:val="0"/>
                <w:numId w:val="28"/>
              </w:numPr>
              <w:tabs>
                <w:tab w:val="left" w:pos="0"/>
              </w:tabs>
              <w:overflowPunct w:val="0"/>
              <w:autoSpaceDE w:val="0"/>
              <w:autoSpaceDN w:val="0"/>
              <w:adjustRightInd w:val="0"/>
              <w:spacing w:line="259" w:lineRule="auto"/>
              <w:ind w:left="960" w:hanging="357"/>
              <w:textAlignment w:val="baseline"/>
              <w:rPr>
                <w:sz w:val="18"/>
                <w:szCs w:val="18"/>
                <w:lang w:val="en-GB"/>
              </w:rPr>
            </w:pPr>
            <w:bookmarkStart w:id="12"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4C2043A7">
            <w:pPr>
              <w:overflowPunct w:val="0"/>
              <w:autoSpaceDE w:val="0"/>
              <w:autoSpaceDN w:val="0"/>
              <w:adjustRightInd w:val="0"/>
              <w:spacing w:after="0"/>
              <w:textAlignment w:val="baseline"/>
              <w:rPr>
                <w:sz w:val="18"/>
                <w:szCs w:val="18"/>
              </w:rPr>
            </w:pPr>
          </w:p>
          <w:p w14:paraId="1343F02D">
            <w:pPr>
              <w:overflowPunct w:val="0"/>
              <w:autoSpaceDE w:val="0"/>
              <w:autoSpaceDN w:val="0"/>
              <w:adjustRightInd w:val="0"/>
              <w:spacing w:after="0"/>
              <w:textAlignment w:val="baseline"/>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01A19F3B">
            <w:pPr>
              <w:overflowPunct w:val="0"/>
              <w:autoSpaceDE w:val="0"/>
              <w:autoSpaceDN w:val="0"/>
              <w:adjustRightInd w:val="0"/>
              <w:spacing w:after="0"/>
              <w:textAlignment w:val="baseline"/>
              <w:rPr>
                <w:sz w:val="18"/>
                <w:szCs w:val="18"/>
              </w:rPr>
            </w:pPr>
          </w:p>
          <w:p w14:paraId="6C007494">
            <w:pPr>
              <w:overflowPunct w:val="0"/>
              <w:autoSpaceDE w:val="0"/>
              <w:autoSpaceDN w:val="0"/>
              <w:adjustRightInd w:val="0"/>
              <w:spacing w:after="0"/>
              <w:textAlignment w:val="baseline"/>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78DE9C97">
            <w:pPr>
              <w:keepNext/>
              <w:overflowPunct w:val="0"/>
              <w:autoSpaceDE w:val="0"/>
              <w:autoSpaceDN w:val="0"/>
              <w:adjustRightInd w:val="0"/>
              <w:spacing w:after="0"/>
              <w:textAlignment w:val="baseline"/>
              <w:rPr>
                <w:sz w:val="18"/>
                <w:szCs w:val="18"/>
              </w:rPr>
            </w:pPr>
          </w:p>
          <w:p w14:paraId="0862C97F">
            <w:pPr>
              <w:keepNext/>
              <w:overflowPunct w:val="0"/>
              <w:autoSpaceDE w:val="0"/>
              <w:autoSpaceDN w:val="0"/>
              <w:adjustRightInd w:val="0"/>
              <w:spacing w:after="0"/>
              <w:textAlignment w:val="baseline"/>
              <w:rPr>
                <w:sz w:val="18"/>
                <w:szCs w:val="18"/>
              </w:rPr>
            </w:pPr>
            <w:r>
              <w:rPr>
                <w:sz w:val="18"/>
                <w:szCs w:val="18"/>
                <w:lang w:val="en-US" w:eastAsia="zh-CN"/>
              </w:rPr>
              <w:drawing>
                <wp:inline distT="0" distB="0" distL="0" distR="0">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sz w:val="18"/>
                <w:szCs w:val="18"/>
                <w:lang w:val="en-US" w:eastAsia="zh-CN"/>
              </w:rPr>
              <w:drawing>
                <wp:inline distT="0" distB="0" distL="0" distR="0">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1001B5B8">
            <w:pPr>
              <w:pStyle w:val="21"/>
              <w:overflowPunct w:val="0"/>
              <w:autoSpaceDE w:val="0"/>
              <w:autoSpaceDN w:val="0"/>
              <w:adjustRightInd w:val="0"/>
              <w:textAlignment w:val="baseline"/>
              <w:rPr>
                <w:sz w:val="18"/>
                <w:szCs w:val="18"/>
              </w:rPr>
            </w:pPr>
            <w:bookmarkStart w:id="13"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3"/>
            <w:r>
              <w:rPr>
                <w:sz w:val="18"/>
                <w:szCs w:val="18"/>
              </w:rPr>
              <w:t xml:space="preserve"> Rank indicator and time averaged CQI for a commercial UE when the CQI BLER target is 10% and the NW side BLER target is set to 10% (blue) and 1% (orange). </w:t>
            </w:r>
          </w:p>
          <w:p w14:paraId="4B051A32">
            <w:pPr>
              <w:overflowPunct w:val="0"/>
              <w:autoSpaceDE w:val="0"/>
              <w:autoSpaceDN w:val="0"/>
              <w:adjustRightInd w:val="0"/>
              <w:spacing w:after="180"/>
              <w:textAlignment w:val="baseline"/>
              <w:rPr>
                <w:sz w:val="18"/>
                <w:szCs w:val="18"/>
                <w:lang w:eastAsia="en-GB"/>
              </w:rPr>
            </w:pPr>
            <w:r>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381FA812">
            <w:pPr>
              <w:overflowPunct w:val="0"/>
              <w:autoSpaceDE w:val="0"/>
              <w:autoSpaceDN w:val="0"/>
              <w:adjustRightInd w:val="0"/>
              <w:spacing w:after="180"/>
              <w:textAlignment w:val="baseline"/>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2B33C565">
            <w:pPr>
              <w:keepNext/>
              <w:overflowPunct w:val="0"/>
              <w:autoSpaceDE w:val="0"/>
              <w:autoSpaceDN w:val="0"/>
              <w:adjustRightInd w:val="0"/>
              <w:spacing w:after="180"/>
              <w:textAlignment w:val="baseline"/>
              <w:rPr>
                <w:sz w:val="18"/>
                <w:szCs w:val="18"/>
              </w:rPr>
            </w:pPr>
            <w:r>
              <w:rPr>
                <w:sz w:val="18"/>
                <w:szCs w:val="18"/>
                <w:lang w:val="en-US" w:eastAsia="zh-CN"/>
              </w:rPr>
              <w:drawing>
                <wp:inline distT="0" distB="0" distL="0" distR="0">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18"/>
                          <a:stretch>
                            <a:fillRect/>
                          </a:stretch>
                        </pic:blipFill>
                        <pic:spPr>
                          <a:xfrm>
                            <a:off x="0" y="0"/>
                            <a:ext cx="6120765" cy="2899410"/>
                          </a:xfrm>
                          <a:prstGeom prst="rect">
                            <a:avLst/>
                          </a:prstGeom>
                        </pic:spPr>
                      </pic:pic>
                    </a:graphicData>
                  </a:graphic>
                </wp:inline>
              </w:drawing>
            </w:r>
          </w:p>
          <w:p w14:paraId="7073A068">
            <w:pPr>
              <w:pStyle w:val="21"/>
              <w:overflowPunct w:val="0"/>
              <w:autoSpaceDE w:val="0"/>
              <w:autoSpaceDN w:val="0"/>
              <w:adjustRightInd w:val="0"/>
              <w:textAlignment w:val="baseline"/>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CQI,RI is reported by the UE and OLA,BLER and MCS is parameters set by the NW side OLA. </w:t>
            </w:r>
          </w:p>
          <w:p w14:paraId="5745E3CD">
            <w:pPr>
              <w:overflowPunct w:val="0"/>
              <w:autoSpaceDE w:val="0"/>
              <w:autoSpaceDN w:val="0"/>
              <w:adjustRightInd w:val="0"/>
              <w:spacing w:after="180"/>
              <w:textAlignment w:val="baseline"/>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0A708632">
            <w:pPr>
              <w:overflowPunct w:val="0"/>
              <w:autoSpaceDE w:val="0"/>
              <w:autoSpaceDN w:val="0"/>
              <w:adjustRightInd w:val="0"/>
              <w:spacing w:after="180"/>
              <w:textAlignment w:val="baseline"/>
              <w:rPr>
                <w:sz w:val="18"/>
                <w:szCs w:val="18"/>
                <w:lang w:eastAsia="en-GB"/>
              </w:rPr>
            </w:pPr>
            <w:r>
              <w:rPr>
                <w:sz w:val="18"/>
                <w:szCs w:val="18"/>
                <w:lang w:eastAsia="en-GB"/>
              </w:rPr>
              <w:t>It is useful for app coverage (see Section 2) and cell edge UEs to use CQI table 3 (currently only for the 0,001% BLER target) without the very low URLLC based BLER target.</w:t>
            </w:r>
          </w:p>
          <w:p w14:paraId="093546EB">
            <w:pPr>
              <w:overflowPunct w:val="0"/>
              <w:autoSpaceDE w:val="0"/>
              <w:autoSpaceDN w:val="0"/>
              <w:adjustRightInd w:val="0"/>
              <w:spacing w:after="180"/>
              <w:textAlignment w:val="baseline"/>
              <w:rPr>
                <w:sz w:val="18"/>
                <w:szCs w:val="18"/>
                <w:lang w:eastAsia="en-GB"/>
              </w:rPr>
            </w:pPr>
            <w:r>
              <w:rPr>
                <w:sz w:val="18"/>
                <w:szCs w:val="18"/>
                <w:lang w:eastAsia="en-GB"/>
              </w:rPr>
              <w:t>Also, based on the above observations of real world performance, it is useful if the NW side OLA BLER target and the UE side CQI BLER target is the same. Hence, we propose as a TEI-19:</w:t>
            </w:r>
          </w:p>
          <w:p w14:paraId="61AC03DF">
            <w:pPr>
              <w:pStyle w:val="218"/>
              <w:numPr>
                <w:ilvl w:val="0"/>
                <w:numId w:val="0"/>
              </w:numPr>
              <w:overflowPunct w:val="0"/>
              <w:autoSpaceDE w:val="0"/>
              <w:autoSpaceDN w:val="0"/>
              <w:adjustRightInd w:val="0"/>
              <w:ind w:left="1304" w:hanging="1304"/>
              <w:textAlignment w:val="baseline"/>
              <w:rPr>
                <w:rFonts w:eastAsia="MS Mincho"/>
                <w:sz w:val="20"/>
                <w:szCs w:val="20"/>
                <w:lang w:eastAsia="ja-JP"/>
              </w:rPr>
            </w:pPr>
            <w:bookmarkStart w:id="14"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53F5B7EB">
      <w:pPr>
        <w:rPr>
          <w:b/>
        </w:rPr>
      </w:pPr>
    </w:p>
    <w:p w14:paraId="08369308">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14:paraId="5CA57CDB">
      <w:pPr>
        <w:rPr>
          <w:rFonts w:ascii="Arial" w:hAnsi="Arial" w:eastAsia="MS Mincho"/>
          <w:sz w:val="32"/>
          <w:szCs w:val="32"/>
        </w:rPr>
      </w:pPr>
    </w:p>
    <w:p w14:paraId="6FB5BE3E">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6</w:t>
      </w:r>
    </w:p>
    <w:p w14:paraId="4E3CD1D0">
      <w:pPr>
        <w:pStyle w:val="108"/>
        <w:numPr>
          <w:ilvl w:val="0"/>
          <w:numId w:val="20"/>
        </w:numPr>
        <w:ind w:leftChars="0"/>
        <w:jc w:val="both"/>
        <w:rPr>
          <w:b/>
          <w:szCs w:val="24"/>
        </w:rPr>
      </w:pPr>
      <w:r>
        <w:rPr>
          <w:rFonts w:hint="eastAsia" w:eastAsia="MS Mincho" w:cs="Batang"/>
          <w:b/>
          <w:bCs/>
          <w:szCs w:val="24"/>
        </w:rPr>
        <w:t>Introduce an RRC parameter that indicates one target from a set of BLER targets [0.1, 0.01, 0.001, 0.0001, 0.00001] to be used for CQI reporting, independently of configured CQI table.</w:t>
      </w:r>
    </w:p>
    <w:p w14:paraId="437511FD">
      <w:pPr>
        <w:rPr>
          <w:b/>
        </w:rPr>
      </w:pPr>
    </w:p>
    <w:p w14:paraId="1C2BC48D">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Ericsson</w:t>
      </w:r>
      <w:r>
        <w:rPr>
          <w:rFonts w:eastAsia="MS Mincho" w:cs="Batang"/>
          <w:sz w:val="22"/>
          <w:szCs w:val="22"/>
        </w:rPr>
        <w:t>.</w:t>
      </w:r>
    </w:p>
    <w:p w14:paraId="41556AC7">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14:paraId="5A4A3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14:paraId="6327C75C">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14:paraId="157E896F">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14:paraId="0622EDF6">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14:paraId="37B1D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792DD9B4">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14:paraId="748723F2">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N</w:t>
            </w:r>
          </w:p>
        </w:tc>
        <w:tc>
          <w:tcPr>
            <w:tcW w:w="6912" w:type="dxa"/>
          </w:tcPr>
          <w:p w14:paraId="6375BC57">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2663E5BC">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14A6C428">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14:paraId="2C72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6606A6A2">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QC</w:t>
            </w:r>
          </w:p>
        </w:tc>
        <w:tc>
          <w:tcPr>
            <w:tcW w:w="1023" w:type="dxa"/>
          </w:tcPr>
          <w:p w14:paraId="53DB5A02">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w:t>
            </w:r>
          </w:p>
        </w:tc>
        <w:tc>
          <w:tcPr>
            <w:tcW w:w="6912" w:type="dxa"/>
          </w:tcPr>
          <w:p w14:paraId="7DB4216E">
            <w:pPr>
              <w:overflowPunct w:val="0"/>
              <w:autoSpaceDE w:val="0"/>
              <w:autoSpaceDN w:val="0"/>
              <w:adjustRightInd w:val="0"/>
              <w:spacing w:after="120" w:afterLines="50"/>
              <w:jc w:val="both"/>
              <w:textAlignment w:val="baseline"/>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2D21CCF7">
            <w:pPr>
              <w:overflowPunct w:val="0"/>
              <w:autoSpaceDE w:val="0"/>
              <w:autoSpaceDN w:val="0"/>
              <w:adjustRightInd w:val="0"/>
              <w:spacing w:after="120" w:afterLines="50"/>
              <w:jc w:val="both"/>
              <w:textAlignment w:val="baseline"/>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implementation based solution can fix them). We are not sure adding new CQI BLER target can solve the problem. </w:t>
            </w:r>
          </w:p>
          <w:p w14:paraId="7035E00C">
            <w:pPr>
              <w:overflowPunct w:val="0"/>
              <w:autoSpaceDE w:val="0"/>
              <w:autoSpaceDN w:val="0"/>
              <w:adjustRightInd w:val="0"/>
              <w:spacing w:after="120" w:afterLines="50"/>
              <w:jc w:val="both"/>
              <w:textAlignment w:val="baseline"/>
              <w:rPr>
                <w:sz w:val="22"/>
                <w:lang w:val="en-US"/>
              </w:rPr>
            </w:pPr>
            <w:r>
              <w:rPr>
                <w:sz w:val="22"/>
                <w:lang w:val="en-US"/>
              </w:rPr>
              <w:t xml:space="preserve">Plus, this proposal will force all UEs pass new CQI RAN4 tests, which seems unnecessary big burden for both standardization and implementation. </w:t>
            </w:r>
          </w:p>
          <w:p w14:paraId="1B424FA8">
            <w:pPr>
              <w:overflowPunct w:val="0"/>
              <w:autoSpaceDE w:val="0"/>
              <w:autoSpaceDN w:val="0"/>
              <w:adjustRightInd w:val="0"/>
              <w:spacing w:after="120" w:afterLines="50"/>
              <w:jc w:val="both"/>
              <w:textAlignment w:val="baseline"/>
              <w:rPr>
                <w:sz w:val="22"/>
                <w:lang w:val="en-US"/>
              </w:rPr>
            </w:pPr>
            <w:r>
              <w:rPr>
                <w:sz w:val="22"/>
                <w:lang w:val="en-US"/>
              </w:rPr>
              <w:t xml:space="preserve">In summary, our view is this field problem can/should be fixed by UE implementation (to correct CQI calculation algorithm) transparent to 3GPP.  </w:t>
            </w:r>
          </w:p>
          <w:p w14:paraId="1026A84F">
            <w:pPr>
              <w:overflowPunct w:val="0"/>
              <w:autoSpaceDE w:val="0"/>
              <w:autoSpaceDN w:val="0"/>
              <w:adjustRightInd w:val="0"/>
              <w:spacing w:after="120" w:afterLines="50"/>
              <w:jc w:val="both"/>
              <w:textAlignment w:val="baseline"/>
              <w:rPr>
                <w:sz w:val="22"/>
                <w:lang w:val="en-US"/>
              </w:rPr>
            </w:pPr>
          </w:p>
        </w:tc>
      </w:tr>
      <w:tr w14:paraId="254A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1507AE7E">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14:paraId="097ED9FB">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912" w:type="dxa"/>
          </w:tcPr>
          <w:p w14:paraId="2BFDAC93">
            <w:pPr>
              <w:overflowPunct w:val="0"/>
              <w:autoSpaceDE w:val="0"/>
              <w:autoSpaceDN w:val="0"/>
              <w:adjustRightInd w:val="0"/>
              <w:spacing w:after="180"/>
              <w:textAlignment w:val="baseline"/>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Lastly, it may be an implementation issue that can be solved with a gNB implementation, e.g., gNB can reduce the OLLA step size if the UE is found to have CQI adjustments.</w:t>
            </w:r>
          </w:p>
        </w:tc>
      </w:tr>
      <w:tr w14:paraId="647A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134D5C5D">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DCM</w:t>
            </w:r>
          </w:p>
        </w:tc>
        <w:tc>
          <w:tcPr>
            <w:tcW w:w="1023" w:type="dxa"/>
          </w:tcPr>
          <w:p w14:paraId="629DBF88">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14:paraId="4E3FB33E">
            <w:pPr>
              <w:overflowPunct w:val="0"/>
              <w:autoSpaceDE w:val="0"/>
              <w:autoSpaceDN w:val="0"/>
              <w:adjustRightInd w:val="0"/>
              <w:spacing w:after="180"/>
              <w:textAlignment w:val="baseline"/>
            </w:pPr>
            <w:r>
              <w:rPr>
                <w:rFonts w:hint="eastAsia"/>
              </w:rPr>
              <w:t>We can understand the problem and solution, but at the same time we are not sure whether changing UE behavior from this release is really beneficial. More discussion may be necessary.</w:t>
            </w:r>
          </w:p>
        </w:tc>
      </w:tr>
      <w:tr w14:paraId="4863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0AC9FDAF">
            <w:pPr>
              <w:overflowPunct w:val="0"/>
              <w:autoSpaceDE w:val="0"/>
              <w:autoSpaceDN w:val="0"/>
              <w:adjustRightInd w:val="0"/>
              <w:spacing w:after="120" w:afterLines="50"/>
              <w:jc w:val="both"/>
              <w:textAlignment w:val="baseline"/>
              <w:rPr>
                <w:rFonts w:eastAsia="MS Mincho"/>
                <w:sz w:val="22"/>
                <w:lang w:val="en-US"/>
              </w:rPr>
            </w:pPr>
            <w:r>
              <w:rPr>
                <w:rFonts w:eastAsiaTheme="minorEastAsia"/>
                <w:sz w:val="22"/>
                <w:lang w:val="en-US" w:eastAsia="zh-CN"/>
              </w:rPr>
              <w:t>MediaTek</w:t>
            </w:r>
          </w:p>
        </w:tc>
        <w:tc>
          <w:tcPr>
            <w:tcW w:w="1023" w:type="dxa"/>
          </w:tcPr>
          <w:p w14:paraId="62178D81">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14:paraId="50BBFA5C">
            <w:pPr>
              <w:overflowPunct w:val="0"/>
              <w:autoSpaceDE w:val="0"/>
              <w:autoSpaceDN w:val="0"/>
              <w:adjustRightInd w:val="0"/>
              <w:spacing w:after="180"/>
              <w:textAlignment w:val="baseline"/>
            </w:pPr>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14:paraId="3DC89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3D2C192B">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14:paraId="58E5B390">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912" w:type="dxa"/>
          </w:tcPr>
          <w:p w14:paraId="01B94617">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22033F00">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 xml:space="preserve">The gNB can estimate different BLERs around the target BLER and small possible variations/errors have no impact on throughput due to HARQ </w:t>
            </w:r>
          </w:p>
          <w:p w14:paraId="186449F0">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14:paraId="1C9F2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56C96882">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Ericsson</w:t>
            </w:r>
          </w:p>
        </w:tc>
        <w:tc>
          <w:tcPr>
            <w:tcW w:w="1023" w:type="dxa"/>
          </w:tcPr>
          <w:p w14:paraId="60389593">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Y</w:t>
            </w:r>
          </w:p>
        </w:tc>
        <w:tc>
          <w:tcPr>
            <w:tcW w:w="6912" w:type="dxa"/>
          </w:tcPr>
          <w:p w14:paraId="689F397E">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Also supported by Verizon, Apple and T-Mobile USA</w:t>
            </w:r>
          </w:p>
        </w:tc>
      </w:tr>
      <w:tr w14:paraId="4429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2188568A">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 xml:space="preserve">Ericsson </w:t>
            </w:r>
          </w:p>
        </w:tc>
        <w:tc>
          <w:tcPr>
            <w:tcW w:w="1023" w:type="dxa"/>
          </w:tcPr>
          <w:p w14:paraId="3D3C7A2E">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Y</w:t>
            </w:r>
          </w:p>
        </w:tc>
        <w:tc>
          <w:tcPr>
            <w:tcW w:w="6912" w:type="dxa"/>
          </w:tcPr>
          <w:p w14:paraId="5D794C02">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@vivo: The measurements in our tdoc shows that what you are describing is not the case in reality. The UE is taking into account the PDSCH reception performance in the the CQI reporting. We are trying to cope with this on the NW side by OLA but since there is a competing OLA loop in the UE we observe very strange anomalies in the link adaptation and poor performance for the UE.</w:t>
            </w:r>
          </w:p>
          <w:p w14:paraId="7DB16B90">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@MediaTek what is your proposal to solve the link adaptation issue?</w:t>
            </w:r>
          </w:p>
          <w:p w14:paraId="2CC42903">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 xml:space="preserve">@samsung the performance benefit is shown by simulations in our tdoc. Pleasde elaborate more on the NW side solution you suggest, I don’t see how estimating a BLER value (?) helps. </w:t>
            </w:r>
          </w:p>
          <w:p w14:paraId="720FBE75">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6B8BBDBF">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 xml:space="preserve">@huawei, we show that the app coverage is increased in our tdoc. It is not strange in our view, but the theoretically achievable peak data rate is reduced for these UEs near cell edge, but that is not a concern to us. You are right that the solution doesn’t prevent the UE to not follow specifications (e.g. largest CQI that fulfills &lt;10% BLER), but it makes is less likely since we can use any table with any target. </w:t>
            </w:r>
          </w:p>
          <w:p w14:paraId="03B36FD2">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p>
        </w:tc>
      </w:tr>
      <w:tr w14:paraId="35E52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Align w:val="top"/>
          </w:tcPr>
          <w:p w14:paraId="61A636C9">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CATT</w:t>
            </w:r>
          </w:p>
        </w:tc>
        <w:tc>
          <w:tcPr>
            <w:tcW w:w="1023" w:type="dxa"/>
            <w:vAlign w:val="top"/>
          </w:tcPr>
          <w:p w14:paraId="59C9B538">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No</w:t>
            </w:r>
          </w:p>
        </w:tc>
        <w:tc>
          <w:tcPr>
            <w:tcW w:w="6912" w:type="dxa"/>
            <w:vAlign w:val="top"/>
          </w:tcPr>
          <w:p w14:paraId="4757844C">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bl>
    <w:p w14:paraId="2B2AD9EF">
      <w:pPr>
        <w:rPr>
          <w:b/>
        </w:rPr>
      </w:pPr>
    </w:p>
    <w:p w14:paraId="1577966D">
      <w:pPr>
        <w:rPr>
          <w:b/>
        </w:rPr>
      </w:pPr>
    </w:p>
    <w:p w14:paraId="3616472C">
      <w:pPr>
        <w:rPr>
          <w:b/>
        </w:rPr>
      </w:pPr>
    </w:p>
    <w:p w14:paraId="182A6654">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SRS carrier switching with uplink Tx switching</w:t>
      </w:r>
    </w:p>
    <w:p w14:paraId="7D8641F3">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14:paraId="38FF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26DC1FC1">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[5</w:t>
            </w:r>
            <w:r>
              <w:rPr>
                <w:rFonts w:ascii="Arial" w:hAnsi="Arial" w:eastAsia="MS Mincho"/>
                <w:sz w:val="22"/>
                <w:szCs w:val="22"/>
                <w:lang w:val="en-US"/>
              </w:rPr>
              <w:t>]</w:t>
            </w:r>
          </w:p>
        </w:tc>
        <w:tc>
          <w:tcPr>
            <w:tcW w:w="9066" w:type="dxa"/>
          </w:tcPr>
          <w:p w14:paraId="5C3F3499">
            <w:pPr>
              <w:overflowPunct w:val="0"/>
              <w:autoSpaceDE w:val="0"/>
              <w:autoSpaceDN w:val="0"/>
              <w:adjustRightInd w:val="0"/>
              <w:spacing w:after="180"/>
              <w:jc w:val="both"/>
              <w:textAlignment w:val="baseline"/>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448FCDC8">
            <w:pPr>
              <w:pStyle w:val="108"/>
              <w:numPr>
                <w:ilvl w:val="0"/>
                <w:numId w:val="29"/>
              </w:numPr>
              <w:overflowPunct w:val="0"/>
              <w:autoSpaceDE w:val="0"/>
              <w:autoSpaceDN w:val="0"/>
              <w:adjustRightInd w:val="0"/>
              <w:spacing w:after="180"/>
              <w:ind w:leftChars="0"/>
              <w:jc w:val="both"/>
              <w:textAlignment w:val="baseline"/>
              <w:rPr>
                <w:rFonts w:eastAsia="Times New Roman"/>
                <w:sz w:val="18"/>
                <w:szCs w:val="18"/>
                <w:lang w:eastAsia="en-US"/>
              </w:rPr>
            </w:pPr>
            <w:r>
              <w:rPr>
                <w:rFonts w:eastAsia="Times New Roman"/>
                <w:sz w:val="18"/>
                <w:szCs w:val="18"/>
                <w:lang w:eastAsia="en-US"/>
              </w:rPr>
              <w:t xml:space="preserve">UL Tx switching is configured between C1 and C2 </w:t>
            </w:r>
          </w:p>
          <w:p w14:paraId="3202D63C">
            <w:pPr>
              <w:pStyle w:val="108"/>
              <w:numPr>
                <w:ilvl w:val="1"/>
                <w:numId w:val="29"/>
              </w:numPr>
              <w:overflowPunct w:val="0"/>
              <w:autoSpaceDE w:val="0"/>
              <w:autoSpaceDN w:val="0"/>
              <w:adjustRightInd w:val="0"/>
              <w:spacing w:after="180"/>
              <w:ind w:leftChars="0"/>
              <w:jc w:val="both"/>
              <w:textAlignment w:val="baseline"/>
              <w:rPr>
                <w:rFonts w:eastAsia="Times New Roman"/>
                <w:sz w:val="18"/>
                <w:szCs w:val="18"/>
                <w:lang w:eastAsia="en-US"/>
              </w:rPr>
            </w:pPr>
            <w:r>
              <w:rPr>
                <w:sz w:val="18"/>
                <w:szCs w:val="18"/>
              </w:rPr>
              <w:t xml:space="preserve">For example, (C1, C2) represents (carrier1, carrier2), i.e. C2 supports 2Tx where 1Tx can switch to CC1 </w:t>
            </w:r>
          </w:p>
          <w:p w14:paraId="4B2687C3">
            <w:pPr>
              <w:pStyle w:val="108"/>
              <w:numPr>
                <w:ilvl w:val="0"/>
                <w:numId w:val="29"/>
              </w:numPr>
              <w:overflowPunct w:val="0"/>
              <w:autoSpaceDE w:val="0"/>
              <w:autoSpaceDN w:val="0"/>
              <w:adjustRightInd w:val="0"/>
              <w:spacing w:after="180"/>
              <w:ind w:leftChars="0"/>
              <w:jc w:val="both"/>
              <w:textAlignment w:val="baseline"/>
              <w:rPr>
                <w:rFonts w:eastAsia="Times New Roman"/>
                <w:sz w:val="18"/>
                <w:szCs w:val="18"/>
                <w:lang w:eastAsia="en-US"/>
              </w:rPr>
            </w:pPr>
            <w:r>
              <w:rPr>
                <w:i/>
                <w:iCs/>
                <w:sz w:val="18"/>
                <w:szCs w:val="18"/>
              </w:rPr>
              <w:t>SRS-CarrierSwitching</w:t>
            </w:r>
            <w:r>
              <w:rPr>
                <w:sz w:val="18"/>
                <w:szCs w:val="18"/>
              </w:rPr>
              <w:t xml:space="preserve"> is configured between C2 and C3, where C3 is DL only  </w:t>
            </w:r>
          </w:p>
          <w:p w14:paraId="35BD32F5">
            <w:pPr>
              <w:overflowPunct w:val="0"/>
              <w:autoSpaceDE w:val="0"/>
              <w:autoSpaceDN w:val="0"/>
              <w:adjustRightInd w:val="0"/>
              <w:spacing w:after="180"/>
              <w:jc w:val="both"/>
              <w:textAlignment w:val="baseline"/>
              <w:rPr>
                <w:sz w:val="18"/>
                <w:szCs w:val="18"/>
              </w:rPr>
            </w:pPr>
            <w:r>
              <w:rPr>
                <w:sz w:val="18"/>
                <w:szCs w:val="18"/>
              </w:rPr>
              <w:t>For this case, specification is not clear for the following aspects:</w:t>
            </w:r>
          </w:p>
          <w:p w14:paraId="22115FA2">
            <w:pPr>
              <w:pStyle w:val="108"/>
              <w:numPr>
                <w:ilvl w:val="0"/>
                <w:numId w:val="30"/>
              </w:numPr>
              <w:overflowPunct w:val="0"/>
              <w:autoSpaceDE w:val="0"/>
              <w:autoSpaceDN w:val="0"/>
              <w:adjustRightInd w:val="0"/>
              <w:spacing w:after="180"/>
              <w:ind w:leftChars="0"/>
              <w:jc w:val="both"/>
              <w:textAlignment w:val="baseline"/>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5FE78F8A">
            <w:pPr>
              <w:pStyle w:val="108"/>
              <w:numPr>
                <w:ilvl w:val="0"/>
                <w:numId w:val="30"/>
              </w:numPr>
              <w:overflowPunct w:val="0"/>
              <w:autoSpaceDE w:val="0"/>
              <w:autoSpaceDN w:val="0"/>
              <w:adjustRightInd w:val="0"/>
              <w:spacing w:after="180"/>
              <w:ind w:leftChars="0"/>
              <w:jc w:val="both"/>
              <w:textAlignment w:val="baseline"/>
              <w:rPr>
                <w:sz w:val="18"/>
                <w:szCs w:val="18"/>
              </w:rPr>
            </w:pPr>
            <w:r>
              <w:rPr>
                <w:sz w:val="18"/>
                <w:szCs w:val="18"/>
              </w:rPr>
              <w:t>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ulTxswitch with source.</w:t>
            </w:r>
          </w:p>
          <w:p w14:paraId="5CBD1897">
            <w:pPr>
              <w:pStyle w:val="108"/>
              <w:numPr>
                <w:ilvl w:val="0"/>
                <w:numId w:val="30"/>
              </w:numPr>
              <w:overflowPunct w:val="0"/>
              <w:autoSpaceDE w:val="0"/>
              <w:autoSpaceDN w:val="0"/>
              <w:adjustRightInd w:val="0"/>
              <w:spacing w:after="180"/>
              <w:ind w:leftChars="0"/>
              <w:jc w:val="both"/>
              <w:textAlignment w:val="baseline"/>
              <w:rPr>
                <w:sz w:val="18"/>
                <w:szCs w:val="18"/>
              </w:rPr>
            </w:pPr>
            <w:r>
              <w:rPr>
                <w:sz w:val="18"/>
                <w:szCs w:val="18"/>
              </w:rPr>
              <w:t>ulTxswitch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48D7AE29">
            <w:pPr>
              <w:overflowPunct w:val="0"/>
              <w:autoSpaceDE w:val="0"/>
              <w:autoSpaceDN w:val="0"/>
              <w:adjustRightInd w:val="0"/>
              <w:spacing w:after="180"/>
              <w:jc w:val="center"/>
              <w:textAlignment w:val="baseline"/>
              <w:rPr>
                <w:sz w:val="18"/>
                <w:szCs w:val="18"/>
              </w:rPr>
            </w:pPr>
            <w:r>
              <w:rPr>
                <w:sz w:val="18"/>
                <w:szCs w:val="18"/>
                <w:lang w:val="en-US" w:eastAsia="zh-CN"/>
              </w:rPr>
              <w:drawing>
                <wp:inline distT="0" distB="0" distL="0" distR="0">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19"/>
                          <a:stretch>
                            <a:fillRect/>
                          </a:stretch>
                        </pic:blipFill>
                        <pic:spPr>
                          <a:xfrm>
                            <a:off x="0" y="0"/>
                            <a:ext cx="3226152" cy="1282949"/>
                          </a:xfrm>
                          <a:prstGeom prst="rect">
                            <a:avLst/>
                          </a:prstGeom>
                        </pic:spPr>
                      </pic:pic>
                    </a:graphicData>
                  </a:graphic>
                </wp:inline>
              </w:drawing>
            </w:r>
          </w:p>
          <w:p w14:paraId="2F92736A">
            <w:pPr>
              <w:overflowPunct w:val="0"/>
              <w:autoSpaceDE w:val="0"/>
              <w:autoSpaceDN w:val="0"/>
              <w:adjustRightInd w:val="0"/>
              <w:spacing w:after="180"/>
              <w:jc w:val="center"/>
              <w:textAlignment w:val="baseline"/>
              <w:rPr>
                <w:sz w:val="18"/>
                <w:szCs w:val="18"/>
              </w:rPr>
            </w:pPr>
            <w:r>
              <w:rPr>
                <w:b/>
                <w:bCs/>
                <w:sz w:val="18"/>
                <w:szCs w:val="18"/>
              </w:rPr>
              <w:t>Fig. 1:</w:t>
            </w:r>
            <w:r>
              <w:rPr>
                <w:sz w:val="18"/>
                <w:szCs w:val="18"/>
              </w:rPr>
              <w:t xml:space="preserve"> </w:t>
            </w:r>
            <w:r>
              <w:rPr>
                <w:b/>
                <w:bCs/>
                <w:sz w:val="18"/>
                <w:szCs w:val="18"/>
              </w:rPr>
              <w:t>SRS-CS + ulTxswitch</w:t>
            </w:r>
          </w:p>
          <w:p w14:paraId="50E4AFA7">
            <w:pPr>
              <w:pStyle w:val="225"/>
              <w:overflowPunct w:val="0"/>
              <w:autoSpaceDE w:val="0"/>
              <w:autoSpaceDN w:val="0"/>
              <w:adjustRightInd w:val="0"/>
              <w:spacing w:after="120" w:afterAutospacing="0"/>
              <w:ind w:firstLine="0"/>
              <w:textAlignment w:val="baseline"/>
              <w:rPr>
                <w:rFonts w:eastAsia="MS Mincho"/>
                <w:sz w:val="18"/>
                <w:szCs w:val="18"/>
                <w:lang w:val="en-US"/>
              </w:rPr>
            </w:pPr>
            <w:r>
              <w:rPr>
                <w:sz w:val="18"/>
                <w:szCs w:val="18"/>
                <w:lang w:val="en-US" w:eastAsia="zh-CN"/>
              </w:rPr>
              <w:t>Based on the above discussion, the following is proposed:</w:t>
            </w:r>
          </w:p>
          <w:p w14:paraId="58CABF18">
            <w:pPr>
              <w:overflowPunct w:val="0"/>
              <w:autoSpaceDE w:val="0"/>
              <w:autoSpaceDN w:val="0"/>
              <w:adjustRightInd w:val="0"/>
              <w:spacing w:after="180"/>
              <w:jc w:val="both"/>
              <w:textAlignment w:val="baseline"/>
              <w:rPr>
                <w:b/>
                <w:bCs/>
                <w:i/>
                <w:iCs/>
                <w:sz w:val="18"/>
                <w:szCs w:val="18"/>
              </w:rPr>
            </w:pPr>
            <w:r>
              <w:rPr>
                <w:b/>
                <w:bCs/>
                <w:i/>
                <w:iCs/>
                <w:sz w:val="18"/>
                <w:szCs w:val="18"/>
              </w:rPr>
              <w:t>Proposal 1: RAN1 to resolve ambiguities with SRS-CS+ulTxswitch for the following areas:</w:t>
            </w:r>
          </w:p>
          <w:p w14:paraId="3EB70A85">
            <w:pPr>
              <w:pStyle w:val="108"/>
              <w:numPr>
                <w:ilvl w:val="0"/>
                <w:numId w:val="31"/>
              </w:numPr>
              <w:overflowPunct w:val="0"/>
              <w:autoSpaceDE w:val="0"/>
              <w:autoSpaceDN w:val="0"/>
              <w:adjustRightInd w:val="0"/>
              <w:spacing w:after="180"/>
              <w:ind w:leftChars="0"/>
              <w:jc w:val="both"/>
              <w:textAlignment w:val="baseline"/>
              <w:rPr>
                <w:b/>
                <w:bCs/>
                <w:i/>
                <w:iCs/>
                <w:sz w:val="18"/>
                <w:szCs w:val="18"/>
              </w:rPr>
            </w:pPr>
            <w:r>
              <w:rPr>
                <w:b/>
                <w:bCs/>
                <w:i/>
                <w:iCs/>
                <w:sz w:val="18"/>
                <w:szCs w:val="18"/>
              </w:rPr>
              <w:t>SRS-CS prioritization rules</w:t>
            </w:r>
          </w:p>
          <w:p w14:paraId="2EB08372">
            <w:pPr>
              <w:pStyle w:val="108"/>
              <w:numPr>
                <w:ilvl w:val="0"/>
                <w:numId w:val="31"/>
              </w:numPr>
              <w:overflowPunct w:val="0"/>
              <w:autoSpaceDE w:val="0"/>
              <w:autoSpaceDN w:val="0"/>
              <w:adjustRightInd w:val="0"/>
              <w:spacing w:after="180"/>
              <w:ind w:leftChars="0"/>
              <w:jc w:val="both"/>
              <w:textAlignment w:val="baseline"/>
              <w:rPr>
                <w:b/>
                <w:bCs/>
                <w:i/>
                <w:iCs/>
                <w:sz w:val="18"/>
                <w:szCs w:val="18"/>
              </w:rPr>
            </w:pPr>
            <w:r>
              <w:rPr>
                <w:b/>
                <w:bCs/>
                <w:i/>
                <w:iCs/>
                <w:sz w:val="18"/>
                <w:szCs w:val="18"/>
              </w:rPr>
              <w:t>Revisit switching times</w:t>
            </w:r>
          </w:p>
          <w:p w14:paraId="62B42F97">
            <w:pPr>
              <w:pStyle w:val="108"/>
              <w:numPr>
                <w:ilvl w:val="0"/>
                <w:numId w:val="31"/>
              </w:numPr>
              <w:overflowPunct w:val="0"/>
              <w:autoSpaceDE w:val="0"/>
              <w:autoSpaceDN w:val="0"/>
              <w:adjustRightInd w:val="0"/>
              <w:spacing w:after="180"/>
              <w:ind w:leftChars="0"/>
              <w:jc w:val="both"/>
              <w:textAlignment w:val="baseline"/>
              <w:rPr>
                <w:b/>
                <w:bCs/>
                <w:i/>
                <w:iCs/>
                <w:sz w:val="18"/>
                <w:szCs w:val="18"/>
              </w:rPr>
            </w:pPr>
            <w:r>
              <w:rPr>
                <w:b/>
                <w:bCs/>
                <w:i/>
                <w:iCs/>
                <w:sz w:val="18"/>
                <w:szCs w:val="18"/>
              </w:rPr>
              <w:t>Clarification of switching states after SRS-CS</w:t>
            </w:r>
          </w:p>
        </w:tc>
      </w:tr>
      <w:tr w14:paraId="0893F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4A0CA631">
            <w:pPr>
              <w:overflowPunct w:val="0"/>
              <w:autoSpaceDE w:val="0"/>
              <w:autoSpaceDN w:val="0"/>
              <w:adjustRightInd w:val="0"/>
              <w:spacing w:after="180"/>
              <w:textAlignment w:val="baseline"/>
              <w:rPr>
                <w:rFonts w:ascii="Arial" w:hAnsi="Arial" w:eastAsia="MS Mincho"/>
                <w:sz w:val="22"/>
                <w:szCs w:val="22"/>
                <w:lang w:val="en-US"/>
              </w:rPr>
            </w:pPr>
            <w:r>
              <w:rPr>
                <w:rFonts w:hint="eastAsia" w:ascii="Arial" w:hAnsi="Arial" w:eastAsia="MS Mincho"/>
                <w:sz w:val="22"/>
                <w:szCs w:val="22"/>
                <w:lang w:val="en-US"/>
              </w:rPr>
              <w:t>[7]</w:t>
            </w:r>
          </w:p>
        </w:tc>
        <w:tc>
          <w:tcPr>
            <w:tcW w:w="9066" w:type="dxa"/>
          </w:tcPr>
          <w:p w14:paraId="3162B64B">
            <w:pPr>
              <w:overflowPunct w:val="0"/>
              <w:autoSpaceDE w:val="0"/>
              <w:autoSpaceDN w:val="0"/>
              <w:adjustRightInd w:val="0"/>
              <w:spacing w:after="180"/>
              <w:textAlignment w:val="baseline"/>
              <w:rPr>
                <w:sz w:val="18"/>
                <w:szCs w:val="18"/>
              </w:rPr>
            </w:pPr>
            <w:r>
              <w:rPr>
                <w:sz w:val="18"/>
                <w:szCs w:val="18"/>
              </w:rPr>
              <w:t>In this scenario, the UE is configured with a set of CCs for uplink tx switching (2 CCs in the baseline) and one carrier with SRS carrier switching. This scenario is depicted in Figure 5 below:</w:t>
            </w:r>
          </w:p>
          <w:p w14:paraId="2FC8CEE1">
            <w:pPr>
              <w:keepNext/>
              <w:overflowPunct w:val="0"/>
              <w:autoSpaceDE w:val="0"/>
              <w:autoSpaceDN w:val="0"/>
              <w:adjustRightInd w:val="0"/>
              <w:spacing w:after="180"/>
              <w:jc w:val="center"/>
              <w:textAlignment w:val="baseline"/>
              <w:rPr>
                <w:sz w:val="18"/>
                <w:szCs w:val="18"/>
              </w:rPr>
            </w:pPr>
            <w:r>
              <w:rPr>
                <w:sz w:val="18"/>
                <w:szCs w:val="18"/>
                <w:lang w:val="en-US" w:eastAsia="zh-CN"/>
              </w:rPr>
              <mc:AlternateContent>
                <mc:Choice Requires="wpc">
                  <w:drawing>
                    <wp:inline distT="0" distB="0" distL="0" distR="0">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9DB4E8B">
                                    <w:pPr>
                                      <w:jc w:val="center"/>
                                    </w:pPr>
                                    <w:r>
                                      <w:t xml:space="preserve">CC1 </w:t>
                                    </w:r>
                                    <w:r>
                                      <w:rPr>
                                        <w:lang w:val="en-US" w:eastAsia="zh-CN"/>
                                      </w:rPr>
                                      <w:drawing>
                                        <wp:inline distT="0" distB="0" distL="0" distR="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E368C1C">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32D8377">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5945F755">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2B306544">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ln>
                              </wps:spPr>
                              <wps:txbx>
                                <w:txbxContent>
                                  <w:p w14:paraId="10F77E6B">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id="Canvas 1" o:spid="_x0000_s1026" o:spt="203" style="height:106.55pt;width:347.7pt;" coordsize="4415790,1353185" editas="canvas"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">
                      <o:lock v:ext="edit" aspectratio="f"/>
                      <v:shape id="Canvas 1" o:spid="_x0000_s1026" style="position:absolute;left:0;top:0;height:1353185;width:4415790;" fillcolor="#FFFFFF" filled="t" stroked="f" coordsize="21600,21600"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">
                        <v:fill on="t" focussize="0,0"/>
                        <v:stroke on="f"/>
                        <v:imagedata o:title=""/>
                        <o:lock v:ext="edit" aspectratio="t"/>
                      </v:shape>
                      <v:shape id="Rectangle: Top Corners Rounded 310060684" o:spid="_x0000_s1026" style="position:absolute;left:482320;top:351692;height:251209;width:743578;v-text-anchor:middle;" fillcolor="#5B9BD5 [3204]" filled="t" stroked="t" coordsize="743578,251209" o:gfxdata="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GLYVY1gAAAAUBAAAPAAAAAAAAAAEAIAAAACIAAABkcnMvZG93bnJldi54&#10;bWxQSwECFAAUAAAACACHTuJAqIjKVKcCAABbBQAADgAAAAAAAAABACAAAAAlAQAAZHJzL2Uyb0Rv&#10;Yy54bWxQSwUGAAAAAAYABgBZAQAAPgYAAAAA&#10;" path="m41869,0l701708,0c724832,0,743577,18745,743577,41869l743578,251209,743578,251209,0,251209,0,251209,0,41869c0,18745,18745,0,41869,0xe">
                        <v:path textboxrect="0,0,743578,251209" o:connectlocs="743578,125604;371789,251209;0,125604;371789,0" o:connectangles="0,82,164,247"/>
                        <v:fill on="t" focussize="0,0"/>
                        <v:stroke weight="1pt" color="#223F59 [3204]" miterlimit="8" joinstyle="miter"/>
                        <v:imagedata o:title=""/>
                        <o:lock v:ext="edit" aspectratio="f"/>
                        <v:textbox>
                          <w:txbxContent>
                            <w:p w14:paraId="29DB4E8B">
                              <w:pPr>
                                <w:jc w:val="center"/>
                              </w:pPr>
                              <w:r>
                                <w:t xml:space="preserve">CC1 </w:t>
                              </w:r>
                              <w:r>
                                <w:rPr>
                                  <w:lang w:val="en-US" w:eastAsia="zh-CN"/>
                                </w:rPr>
                                <w:drawing>
                                  <wp:inline distT="0" distB="0" distL="0" distR="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26" style="position:absolute;left:1652084;top:350301;height:250825;width:742950;v-text-anchor:middle;" fillcolor="#5B9BD5 [3204]" filled="t" stroked="t" coordsize="742950,250825" o:gfxdata="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v&#10;O6LWAAAABQEAAA8AAAAAAAAAAQAgAAAAIgAAAGRycy9kb3ducmV2LnhtbFBLAQIUABQAAAAIAIdO&#10;4kA9mM4hlwIAAC4FAAAOAAAAAAAAAAEAIAAAACUBAABkcnMvZTJvRG9jLnhtbFBLBQYAAAAABgAG&#10;AFkBAAAuBgAAAAA=&#10;" path="m41805,0l701144,0c724232,0,742949,18717,742949,41805l742950,250825,742950,250825,0,250825,0,250825,0,41805c0,18717,18717,0,41805,0xe">
                        <v:path textboxrect="0,0,742950,250825" o:connectlocs="742950,125412;371475,250825;0,125412;371475,0" o:connectangles="0,82,164,247"/>
                        <v:fill on="t" focussize="0,0"/>
                        <v:stroke weight="1pt" color="#223F59 [3204]" miterlimit="8" joinstyle="miter"/>
                        <v:imagedata o:title=""/>
                        <o:lock v:ext="edit" aspectratio="f"/>
                        <v:textbox>
                          <w:txbxContent>
                            <w:p w14:paraId="6E368C1C">
                              <w:pPr>
                                <w:jc w:val="center"/>
                              </w:pPr>
                              <w:r>
                                <w:t>CC2</w:t>
                              </w:r>
                            </w:p>
                          </w:txbxContent>
                        </v:textbox>
                      </v:shape>
                      <v:shape id="Rectangle: Top Corners Rounded 137682363" o:spid="_x0000_s1026" style="position:absolute;left:2757403;top:352672;height:250190;width:742315;v-text-anchor:middle;" fillcolor="#5B9BD5 [3204]" filled="t" stroked="t" coordsize="742315,250190" o:gfxdata="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oL6Sv2AAAAAUBAAAPAAAAAAAAAAEAIAAAACIAAABkcnMvZG93bnJldi54bWxQSwECFAAUAAAA&#10;CACHTuJAJq1EYZkCAAAsBQAADgAAAAAAAAABACAAAAAnAQAAZHJzL2Uyb0RvYy54bWxQSwUGAAAA&#10;AAYABgBZAQAAMgYAAAAA&#10;" path="m41699,0l700615,0c723645,0,742314,18669,742314,41699l742315,250190,742315,250190,0,250190,0,250190,0,41699c0,18669,18669,0,41699,0xe">
                        <v:path textboxrect="0,0,742315,250190" o:connectlocs="742315,125095;371157,250190;0,125095;371157,0" o:connectangles="0,82,164,247"/>
                        <v:fill on="t" focussize="0,0"/>
                        <v:stroke weight="1pt" color="#223F59 [3204]" miterlimit="8" joinstyle="miter"/>
                        <v:imagedata o:title=""/>
                        <o:lock v:ext="edit" aspectratio="f"/>
                        <v:textbox>
                          <w:txbxContent>
                            <w:p w14:paraId="432D8377">
                              <w:pPr>
                                <w:jc w:val="center"/>
                              </w:pPr>
                              <w:r>
                                <w:t xml:space="preserve">CC3 </w:t>
                              </w:r>
                            </w:p>
                          </w:txbxContent>
                        </v:textbox>
                      </v:shape>
                      <v:shape id="Right Brace 70557173" o:spid="_x0000_s1026" o:spt="88" type="#_x0000_t88" style="position:absolute;left:1439304;top:-223625;height:2019462;width:45719;rotation:5898240f;v-text-anchor:middle;" filled="f" stroked="t" coordsize="21600,21600" o:gfxdata="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19ridcAAAAFAQAADwAAAAAAAAABACAA&#10;AAAiAAAAZHJzL2Rvd25yZXYueG1sUEsBAhQAFAAAAAgAh07iQN/F1AKAAgAA/AQAAA4AAAAAAAAA&#10;AQAgAAAAJgEAAGRycy9lMm9Eb2MueG1sUEsFBgAAAAAGAAYAWQEAABgGAAAAAA==&#10;" adj="40,10800">
                        <v:fill on="f" focussize="0,0"/>
                        <v:stroke weight="0.5pt" color="#5B9BD5 [3204]" miterlimit="8" joinstyle="miter"/>
                        <v:imagedata o:title=""/>
                        <o:lock v:ext="edit" aspectratio="f"/>
                      </v:shape>
                      <v:shape id="Text Box 2" o:spid="_x0000_s1026" o:spt="202" type="#_x0000_t202" style="position:absolute;left:296483;top:806868;height:278764;width:2425064;" fillcolor="#FFFFFF" filled="t" stroked="f" coordsize="21600,21600" o:gfxdata="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30OtQAAAAFAQAADwAAAAAAAAABACAAAAAiAAAAZHJzL2Rvd25yZXYu&#10;eG1sUEsBAhQAFAAAAAgAh07iQA1h3+w4AgAAZAQAAA4AAAAAAAAAAQAgAAAAIwEAAGRycy9lMm9E&#10;b2MueG1sUEsFBgAAAAAGAAYAWQEAAM0FAAAAAA==&#10;">
                        <v:fill on="t" focussize="0,0"/>
                        <v:stroke on="f" miterlimit="8" joinstyle="miter"/>
                        <v:imagedata o:title=""/>
                        <o:lock v:ext="edit" aspectratio="f"/>
                        <v:textbox style="mso-fit-shape-to-text:t;">
                          <w:txbxContent>
                            <w:p w14:paraId="5945F755">
                              <w:pPr>
                                <w:jc w:val="center"/>
                              </w:pPr>
                              <w:r>
                                <w:t>UL Tx switching</w:t>
                              </w:r>
                            </w:p>
                          </w:txbxContent>
                        </v:textbox>
                      </v:shape>
                      <v:shape id="Straight Arrow Connector 593642901" o:spid="_x0000_s1026" o:spt="32" type="#_x0000_t32" style="position:absolute;left:2394784;top:475605;height:2054;width:362331;" filled="f" stroked="t" coordsize="21600,21600" o:gfxdata="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tacvjWAAAABQEAAA8AAAAAAAAAAQAgAAAAIgAAAGRycy9kb3ducmV2LnhtbFBLAQIU&#10;ABQAAAAIAIdO4kDEXj2CLgIAAFIEAAAOAAAAAAAAAAEAIAAAACUBAABkcnMvZTJvRG9jLnhtbFBL&#10;BQYAAAAABgAGAFkBAADFBQAAAAA=&#10;">
                        <v:fill on="f" focussize="0,0"/>
                        <v:stroke weight="0.5pt" color="#5B9BD5 [3204]" miterlimit="8" joinstyle="miter" endarrow="block"/>
                        <v:imagedata o:title=""/>
                        <o:lock v:ext="edit" aspectratio="f"/>
                      </v:shape>
                      <v:shape id="Text Box 2" o:spid="_x0000_s1026" o:spt="202" type="#_x0000_t202" style="position:absolute;left:1370730;top:116858;height:278764;width:2424429;"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u41TU&#10;AAAABQEAAA8AAAAAAAAAAQAgAAAAIgAAAGRycy9kb3ducmV2LnhtbFBLAQIUABQAAAAIAIdO4kBD&#10;p/cuJAIAADsEAAAOAAAAAAAAAAEAIAAAACMBAABkcnMvZTJvRG9jLnhtbFBLBQYAAAAABgAGAFkB&#10;AAC5BQAAAAA=&#10;">
                        <v:fill on="f" focussize="0,0"/>
                        <v:stroke on="f" miterlimit="8" joinstyle="miter"/>
                        <v:imagedata o:title=""/>
                        <o:lock v:ext="edit" aspectratio="f"/>
                        <v:textbox style="mso-fit-shape-to-text:t;">
                          <w:txbxContent>
                            <w:p w14:paraId="2B306544">
                              <w:pPr>
                                <w:jc w:val="center"/>
                              </w:pPr>
                              <w:r>
                                <w:t>SRS CS</w:t>
                              </w:r>
                            </w:p>
                          </w:txbxContent>
                        </v:textbox>
                      </v:shape>
                      <v:shape id="Text Box 2" o:spid="_x0000_s1026" o:spt="202" type="#_x0000_t202" style="position:absolute;left:2394792;top:654566;height:451484;width:1541144;"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S7j&#10;VNQAAAAFAQAADwAAAAAAAAABACAAAAAiAAAAZHJzL2Rvd25yZXYueG1sUEsBAhQAFAAAAAgAh07i&#10;QDB7+OYmAgAAPAQAAA4AAAAAAAAAAQAgAAAAIwEAAGRycy9lMm9Eb2MueG1sUEsFBgAAAAAGAAYA&#10;WQEAALsFAAAAAA==&#10;">
                        <v:fill on="f" focussize="0,0"/>
                        <v:stroke on="f" miterlimit="8" joinstyle="miter"/>
                        <v:imagedata o:title=""/>
                        <o:lock v:ext="edit" aspectratio="f"/>
                        <v:textbox style="mso-fit-shape-to-text:t;">
                          <w:txbxContent>
                            <w:p w14:paraId="10F77E6B">
                              <w:pPr>
                                <w:jc w:val="center"/>
                              </w:pPr>
                              <w:r>
                                <w:t>TDD CC, no PUSCH/PUCCH</w:t>
                              </w:r>
                            </w:p>
                          </w:txbxContent>
                        </v:textbox>
                      </v:shape>
                      <w10:wrap type="none"/>
                      <w10:anchorlock/>
                    </v:group>
                  </w:pict>
                </mc:Fallback>
              </mc:AlternateContent>
            </w:r>
          </w:p>
          <w:p w14:paraId="25989ED8">
            <w:pPr>
              <w:pStyle w:val="21"/>
              <w:overflowPunct w:val="0"/>
              <w:autoSpaceDE w:val="0"/>
              <w:autoSpaceDN w:val="0"/>
              <w:adjustRightInd w:val="0"/>
              <w:jc w:val="center"/>
              <w:textAlignment w:val="baseline"/>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0E928C8A">
            <w:pPr>
              <w:overflowPunct w:val="0"/>
              <w:autoSpaceDE w:val="0"/>
              <w:autoSpaceDN w:val="0"/>
              <w:adjustRightInd w:val="0"/>
              <w:spacing w:after="180"/>
              <w:textAlignment w:val="baseline"/>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097915D0">
            <w:pPr>
              <w:overflowPunct w:val="0"/>
              <w:autoSpaceDE w:val="0"/>
              <w:autoSpaceDN w:val="0"/>
              <w:adjustRightInd w:val="0"/>
              <w:spacing w:after="180"/>
              <w:textAlignment w:val="baseline"/>
              <w:rPr>
                <w:b/>
                <w:bCs/>
                <w:sz w:val="18"/>
                <w:szCs w:val="18"/>
                <w:u w:val="single"/>
              </w:rPr>
            </w:pPr>
            <w:r>
              <w:rPr>
                <w:b/>
                <w:bCs/>
                <w:sz w:val="18"/>
                <w:szCs w:val="18"/>
                <w:u w:val="single"/>
              </w:rPr>
              <w:t>Determination of switching time:</w:t>
            </w:r>
          </w:p>
          <w:p w14:paraId="237BCEFD">
            <w:pPr>
              <w:overflowPunct w:val="0"/>
              <w:autoSpaceDE w:val="0"/>
              <w:autoSpaceDN w:val="0"/>
              <w:adjustRightInd w:val="0"/>
              <w:spacing w:after="180"/>
              <w:textAlignment w:val="baseline"/>
              <w:rPr>
                <w:sz w:val="18"/>
                <w:szCs w:val="18"/>
              </w:rPr>
            </w:pPr>
            <w:r>
              <w:rPr>
                <w:sz w:val="18"/>
                <w:szCs w:val="18"/>
              </w:rPr>
              <w:t>For determining the switching time we differentiate between the following two cases:</w:t>
            </w:r>
          </w:p>
          <w:p w14:paraId="3F98637A">
            <w:pPr>
              <w:pStyle w:val="108"/>
              <w:numPr>
                <w:ilvl w:val="0"/>
                <w:numId w:val="32"/>
              </w:numPr>
              <w:overflowPunct w:val="0"/>
              <w:autoSpaceDE w:val="0"/>
              <w:autoSpaceDN w:val="0"/>
              <w:adjustRightInd w:val="0"/>
              <w:spacing w:after="180"/>
              <w:ind w:leftChars="0"/>
              <w:textAlignment w:val="baseline"/>
              <w:rPr>
                <w:rFonts w:eastAsia="宋体"/>
                <w:sz w:val="18"/>
                <w:szCs w:val="18"/>
              </w:rPr>
            </w:pPr>
            <w:r>
              <w:rPr>
                <w:rFonts w:eastAsia="宋体"/>
                <w:b/>
                <w:bCs/>
                <w:sz w:val="18"/>
                <w:szCs w:val="18"/>
              </w:rPr>
              <w:t>Case 1</w:t>
            </w:r>
            <w:r>
              <w:rPr>
                <w:rFonts w:eastAsia="宋体"/>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r>
              <w:rPr>
                <w:rFonts w:eastAsia="宋体"/>
                <w:i/>
                <w:iCs/>
                <w:sz w:val="18"/>
                <w:szCs w:val="18"/>
              </w:rPr>
              <w:t>switchingTimeUL.</w:t>
            </w:r>
          </w:p>
          <w:p w14:paraId="25AF2B0A">
            <w:pPr>
              <w:pStyle w:val="108"/>
              <w:numPr>
                <w:ilvl w:val="0"/>
                <w:numId w:val="32"/>
              </w:numPr>
              <w:overflowPunct w:val="0"/>
              <w:autoSpaceDE w:val="0"/>
              <w:autoSpaceDN w:val="0"/>
              <w:adjustRightInd w:val="0"/>
              <w:spacing w:after="180"/>
              <w:ind w:leftChars="0"/>
              <w:textAlignment w:val="baseline"/>
              <w:rPr>
                <w:rFonts w:eastAsia="宋体"/>
                <w:sz w:val="18"/>
                <w:szCs w:val="18"/>
              </w:rPr>
            </w:pPr>
            <w:r>
              <w:rPr>
                <w:rFonts w:eastAsia="宋体"/>
                <w:b/>
                <w:bCs/>
                <w:sz w:val="18"/>
                <w:szCs w:val="18"/>
              </w:rPr>
              <w:t>Case 2</w:t>
            </w:r>
            <w:r>
              <w:rPr>
                <w:rFonts w:eastAsia="宋体"/>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r>
              <w:rPr>
                <w:i/>
                <w:iCs/>
                <w:sz w:val="18"/>
                <w:szCs w:val="18"/>
              </w:rPr>
              <w:t xml:space="preserve">switchingTimeUL + </w:t>
            </w:r>
            <m:oMath>
              <m:sSub>
                <m:sSubPr>
                  <m:ctrlPr>
                    <w:rPr>
                      <w:rFonts w:ascii="Cambria Math" w:hAnsi="Cambria Math"/>
                      <w:i/>
                      <w:iCs/>
                      <w:sz w:val="18"/>
                      <w:szCs w:val="18"/>
                    </w:rPr>
                  </m:ctrlPr>
                </m:sSubPr>
                <m:e>
                  <m:r>
                    <m:rPr/>
                    <w:rPr>
                      <w:rFonts w:ascii="Cambria Math" w:hAnsi="Cambria Math"/>
                      <w:sz w:val="18"/>
                      <w:szCs w:val="18"/>
                    </w:rPr>
                    <m:t>N</m:t>
                  </m:r>
                  <m:ctrlPr>
                    <w:rPr>
                      <w:rFonts w:ascii="Cambria Math" w:hAnsi="Cambria Math"/>
                      <w:i/>
                      <w:iCs/>
                      <w:sz w:val="18"/>
                      <w:szCs w:val="18"/>
                    </w:rPr>
                  </m:ctrlPr>
                </m:e>
                <m:sub>
                  <m:r>
                    <m:rPr/>
                    <w:rPr>
                      <w:rFonts w:ascii="Cambria Math" w:hAnsi="Cambria Math"/>
                      <w:sz w:val="18"/>
                      <w:szCs w:val="18"/>
                    </w:rPr>
                    <m:t>Tx1−Tx2</m:t>
                  </m:r>
                  <m:ctrlPr>
                    <w:rPr>
                      <w:rFonts w:ascii="Cambria Math" w:hAnsi="Cambria Math"/>
                      <w:i/>
                      <w:iCs/>
                      <w:sz w:val="18"/>
                      <w:szCs w:val="18"/>
                    </w:rPr>
                  </m:ctrlPr>
                </m:sub>
              </m:sSub>
            </m:oMath>
            <w:r>
              <w:rPr>
                <w:sz w:val="18"/>
                <w:szCs w:val="18"/>
              </w:rPr>
              <w:t xml:space="preserve">, with </w:t>
            </w:r>
            <m:oMath>
              <m:sSub>
                <m:sSubPr>
                  <m:ctrlPr>
                    <w:rPr>
                      <w:rFonts w:ascii="Cambria Math" w:hAnsi="Cambria Math"/>
                      <w:i/>
                      <w:iCs/>
                      <w:sz w:val="18"/>
                      <w:szCs w:val="18"/>
                    </w:rPr>
                  </m:ctrlPr>
                </m:sSubPr>
                <m:e>
                  <m:r>
                    <m:rPr/>
                    <w:rPr>
                      <w:rFonts w:ascii="Cambria Math" w:hAnsi="Cambria Math"/>
                      <w:sz w:val="18"/>
                      <w:szCs w:val="18"/>
                    </w:rPr>
                    <m:t>N</m:t>
                  </m:r>
                  <m:ctrlPr>
                    <w:rPr>
                      <w:rFonts w:ascii="Cambria Math" w:hAnsi="Cambria Math"/>
                      <w:i/>
                      <w:iCs/>
                      <w:sz w:val="18"/>
                      <w:szCs w:val="18"/>
                    </w:rPr>
                  </m:ctrlPr>
                </m:e>
                <m:sub>
                  <m:r>
                    <m:rPr/>
                    <w:rPr>
                      <w:rFonts w:ascii="Cambria Math" w:hAnsi="Cambria Math"/>
                      <w:sz w:val="18"/>
                      <w:szCs w:val="18"/>
                    </w:rPr>
                    <m:t>Tx1−Tx2</m:t>
                  </m:r>
                  <m:ctrlPr>
                    <w:rPr>
                      <w:rFonts w:ascii="Cambria Math" w:hAnsi="Cambria Math"/>
                      <w:i/>
                      <w:iCs/>
                      <w:sz w:val="18"/>
                      <w:szCs w:val="18"/>
                    </w:rPr>
                  </m:ctrlP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m:rPr/>
                    <w:rPr>
                      <w:rFonts w:ascii="Cambria Math" w:hAnsi="Cambria Math"/>
                      <w:sz w:val="18"/>
                      <w:szCs w:val="18"/>
                    </w:rPr>
                    <m:t>N</m:t>
                  </m:r>
                  <m:ctrlPr>
                    <w:rPr>
                      <w:rFonts w:ascii="Cambria Math" w:hAnsi="Cambria Math"/>
                      <w:i/>
                      <w:iCs/>
                      <w:sz w:val="18"/>
                      <w:szCs w:val="18"/>
                    </w:rPr>
                  </m:ctrlPr>
                </m:e>
                <m:sub>
                  <m:r>
                    <m:rPr/>
                    <w:rPr>
                      <w:rFonts w:ascii="Cambria Math" w:hAnsi="Cambria Math"/>
                      <w:sz w:val="18"/>
                      <w:szCs w:val="18"/>
                    </w:rPr>
                    <m:t>Tx1−Tx2</m:t>
                  </m:r>
                  <m:ctrlPr>
                    <w:rPr>
                      <w:rFonts w:ascii="Cambria Math" w:hAnsi="Cambria Math"/>
                      <w:i/>
                      <w:iCs/>
                      <w:sz w:val="18"/>
                      <w:szCs w:val="18"/>
                    </w:rPr>
                  </m:ctrlPr>
                </m:sub>
              </m:sSub>
            </m:oMath>
            <w:r>
              <w:rPr>
                <w:iCs/>
                <w:sz w:val="18"/>
                <w:szCs w:val="18"/>
              </w:rPr>
              <w:t xml:space="preserve">, and then from CC2 to CC3 using </w:t>
            </w:r>
            <w:r>
              <w:rPr>
                <w:i/>
                <w:iCs/>
                <w:sz w:val="18"/>
                <w:szCs w:val="18"/>
              </w:rPr>
              <w:t>switchingTimeUL</w:t>
            </w:r>
            <w:r>
              <w:rPr>
                <w:iCs/>
                <w:sz w:val="18"/>
                <w:szCs w:val="18"/>
              </w:rPr>
              <w:t>).</w:t>
            </w:r>
          </w:p>
          <w:p w14:paraId="621F4381">
            <w:pPr>
              <w:overflowPunct w:val="0"/>
              <w:autoSpaceDE w:val="0"/>
              <w:autoSpaceDN w:val="0"/>
              <w:adjustRightInd w:val="0"/>
              <w:spacing w:after="180"/>
              <w:textAlignment w:val="baseline"/>
              <w:rPr>
                <w:b/>
                <w:bCs/>
                <w:sz w:val="18"/>
                <w:szCs w:val="18"/>
                <w:u w:val="single"/>
              </w:rPr>
            </w:pPr>
            <w:r>
              <w:rPr>
                <w:b/>
                <w:bCs/>
                <w:sz w:val="18"/>
                <w:szCs w:val="18"/>
                <w:u w:val="single"/>
              </w:rPr>
              <w:t>Switching state after SRS carrier switching:</w:t>
            </w:r>
          </w:p>
          <w:p w14:paraId="536A791F">
            <w:pPr>
              <w:overflowPunct w:val="0"/>
              <w:autoSpaceDE w:val="0"/>
              <w:autoSpaceDN w:val="0"/>
              <w:adjustRightInd w:val="0"/>
              <w:spacing w:after="180"/>
              <w:textAlignment w:val="baseline"/>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hAnsi="Wingdings" w:eastAsia="Wingdings" w:cs="Wingdings"/>
                <w:sz w:val="18"/>
                <w:szCs w:val="18"/>
              </w:rPr>
              <w:sym w:font="Wingdings" w:char="F0E8"/>
            </w:r>
            <w:r>
              <w:rPr>
                <w:sz w:val="18"/>
                <w:szCs w:val="18"/>
              </w:rPr>
              <w:t>CC1 will be larger than the time to switch from CC3</w:t>
            </w:r>
            <w:r>
              <w:rPr>
                <w:rFonts w:ascii="Wingdings" w:hAnsi="Wingdings" w:eastAsia="Wingdings" w:cs="Wingdings"/>
                <w:sz w:val="18"/>
                <w:szCs w:val="18"/>
              </w:rPr>
              <w:sym w:font="Wingdings" w:char="F0E8"/>
            </w:r>
            <w:r>
              <w:rPr>
                <w:sz w:val="18"/>
                <w:szCs w:val="18"/>
              </w:rPr>
              <w:t>CC2 (as explained in the subsection above), we propose that after SRS carrier switching all the chains are returned to CC2.</w:t>
            </w:r>
          </w:p>
          <w:p w14:paraId="60068539">
            <w:pPr>
              <w:overflowPunct w:val="0"/>
              <w:autoSpaceDE w:val="0"/>
              <w:autoSpaceDN w:val="0"/>
              <w:adjustRightInd w:val="0"/>
              <w:spacing w:after="180"/>
              <w:textAlignment w:val="baseline"/>
              <w:rPr>
                <w:b/>
                <w:bCs/>
                <w:sz w:val="18"/>
                <w:szCs w:val="18"/>
                <w:u w:val="single"/>
              </w:rPr>
            </w:pPr>
            <w:r>
              <w:rPr>
                <w:b/>
                <w:bCs/>
                <w:sz w:val="18"/>
                <w:szCs w:val="18"/>
                <w:u w:val="single"/>
              </w:rPr>
              <w:t>Simultaneous transmission:</w:t>
            </w:r>
          </w:p>
          <w:p w14:paraId="1C365CB6">
            <w:pPr>
              <w:overflowPunct w:val="0"/>
              <w:autoSpaceDE w:val="0"/>
              <w:autoSpaceDN w:val="0"/>
              <w:adjustRightInd w:val="0"/>
              <w:spacing w:after="180"/>
              <w:textAlignment w:val="baseline"/>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351A848D">
            <w:pPr>
              <w:overflowPunct w:val="0"/>
              <w:autoSpaceDE w:val="0"/>
              <w:autoSpaceDN w:val="0"/>
              <w:adjustRightInd w:val="0"/>
              <w:spacing w:after="180"/>
              <w:textAlignment w:val="baseline"/>
              <w:rPr>
                <w:sz w:val="18"/>
                <w:szCs w:val="18"/>
              </w:rPr>
            </w:pPr>
            <w:r>
              <w:rPr>
                <w:sz w:val="18"/>
                <w:szCs w:val="18"/>
              </w:rPr>
              <w:t>If the new capability indicates that no simultaneous transmission is possible, the conflicting transmissions should be included in the prioritization rules of TS 38.214, 6.2.1.3.</w:t>
            </w:r>
          </w:p>
          <w:p w14:paraId="22ED3BB3">
            <w:pPr>
              <w:overflowPunct w:val="0"/>
              <w:autoSpaceDE w:val="0"/>
              <w:autoSpaceDN w:val="0"/>
              <w:adjustRightInd w:val="0"/>
              <w:spacing w:after="180"/>
              <w:textAlignment w:val="baseline"/>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3D18533C">
            <w:pPr>
              <w:pStyle w:val="108"/>
              <w:numPr>
                <w:ilvl w:val="0"/>
                <w:numId w:val="32"/>
              </w:numPr>
              <w:overflowPunct w:val="0"/>
              <w:autoSpaceDE w:val="0"/>
              <w:autoSpaceDN w:val="0"/>
              <w:adjustRightInd w:val="0"/>
              <w:spacing w:after="180"/>
              <w:ind w:leftChars="0"/>
              <w:textAlignment w:val="baseline"/>
              <w:rPr>
                <w:rFonts w:eastAsia="宋体"/>
                <w:sz w:val="18"/>
                <w:szCs w:val="18"/>
              </w:rPr>
            </w:pPr>
            <w:r>
              <w:rPr>
                <w:rFonts w:eastAsia="宋体"/>
                <w:sz w:val="18"/>
                <w:szCs w:val="18"/>
              </w:rPr>
              <w:t>If the SRS transmission has 2 ports, then no simultaneous transmission in any other carrier is possible and, therefore, all the carriers operating in UL Tx Switching group are included in the prioritization.</w:t>
            </w:r>
          </w:p>
          <w:p w14:paraId="04583A8B">
            <w:pPr>
              <w:pStyle w:val="108"/>
              <w:numPr>
                <w:ilvl w:val="0"/>
                <w:numId w:val="32"/>
              </w:numPr>
              <w:overflowPunct w:val="0"/>
              <w:autoSpaceDE w:val="0"/>
              <w:autoSpaceDN w:val="0"/>
              <w:adjustRightInd w:val="0"/>
              <w:spacing w:after="180"/>
              <w:ind w:leftChars="0"/>
              <w:textAlignment w:val="baseline"/>
              <w:rPr>
                <w:rFonts w:eastAsia="宋体"/>
                <w:sz w:val="18"/>
                <w:szCs w:val="18"/>
              </w:rPr>
            </w:pPr>
            <w:r>
              <w:rPr>
                <w:rFonts w:eastAsia="宋体"/>
                <w:sz w:val="18"/>
                <w:szCs w:val="18"/>
              </w:rPr>
              <w:t>If the SRS transmission has 1 port and there is a conflicting transmission with 2 ports, the carrier with the conflicting transmission is included in the prioritization.</w:t>
            </w:r>
          </w:p>
          <w:p w14:paraId="6688F94C">
            <w:pPr>
              <w:pStyle w:val="108"/>
              <w:numPr>
                <w:ilvl w:val="0"/>
                <w:numId w:val="32"/>
              </w:numPr>
              <w:overflowPunct w:val="0"/>
              <w:autoSpaceDE w:val="0"/>
              <w:autoSpaceDN w:val="0"/>
              <w:adjustRightInd w:val="0"/>
              <w:spacing w:after="180"/>
              <w:ind w:leftChars="0"/>
              <w:textAlignment w:val="baseline"/>
              <w:rPr>
                <w:rFonts w:eastAsia="宋体"/>
                <w:sz w:val="18"/>
                <w:szCs w:val="18"/>
              </w:rPr>
            </w:pPr>
            <w:r>
              <w:rPr>
                <w:rFonts w:eastAsia="宋体"/>
                <w:sz w:val="18"/>
                <w:szCs w:val="18"/>
              </w:rPr>
              <w:t>If the SRS transmission has 1 port and there is a conflicting transmission with 1 port, both are transmitted simultaneously.</w:t>
            </w:r>
          </w:p>
          <w:p w14:paraId="3BC7E91E">
            <w:pPr>
              <w:overflowPunct w:val="0"/>
              <w:autoSpaceDE w:val="0"/>
              <w:autoSpaceDN w:val="0"/>
              <w:adjustRightInd w:val="0"/>
              <w:spacing w:after="180"/>
              <w:textAlignment w:val="baseline"/>
              <w:rPr>
                <w:sz w:val="18"/>
                <w:szCs w:val="18"/>
              </w:rPr>
            </w:pPr>
            <w:r>
              <w:rPr>
                <w:sz w:val="18"/>
                <w:szCs w:val="18"/>
              </w:rPr>
              <w:t>The above approaches are summarized in the following proposal:</w:t>
            </w:r>
          </w:p>
          <w:p w14:paraId="5CBB072C">
            <w:pPr>
              <w:overflowPunct w:val="0"/>
              <w:autoSpaceDE w:val="0"/>
              <w:autoSpaceDN w:val="0"/>
              <w:adjustRightInd w:val="0"/>
              <w:spacing w:after="180"/>
              <w:textAlignment w:val="baseline"/>
              <w:rPr>
                <w:b/>
                <w:bCs/>
                <w:sz w:val="18"/>
                <w:szCs w:val="18"/>
              </w:rPr>
            </w:pPr>
            <w:r>
              <w:rPr>
                <w:b/>
                <w:sz w:val="18"/>
                <w:szCs w:val="18"/>
                <w:u w:val="single"/>
              </w:rPr>
              <w:t>Proposal 5:</w:t>
            </w:r>
            <w:r>
              <w:rPr>
                <w:b/>
                <w:bCs/>
                <w:sz w:val="18"/>
                <w:szCs w:val="18"/>
              </w:rPr>
              <w:t xml:space="preserve"> </w:t>
            </w:r>
            <w:bookmarkStart w:id="15"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3B0C052A">
            <w:pPr>
              <w:pStyle w:val="108"/>
              <w:numPr>
                <w:ilvl w:val="0"/>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SRS switching time:</w:t>
            </w:r>
          </w:p>
          <w:p w14:paraId="45E37C56">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r>
              <w:rPr>
                <w:b/>
                <w:bCs/>
                <w:i/>
                <w:iCs/>
                <w:sz w:val="18"/>
                <w:szCs w:val="18"/>
              </w:rPr>
              <w:t>switchingTimeUL</w:t>
            </w:r>
            <w:r>
              <w:rPr>
                <w:sz w:val="18"/>
                <w:szCs w:val="18"/>
              </w:rPr>
              <w:t xml:space="preserve"> </w:t>
            </w:r>
            <w:r>
              <w:rPr>
                <w:b/>
                <w:bCs/>
                <w:sz w:val="18"/>
                <w:szCs w:val="18"/>
              </w:rPr>
              <w:t>corresponding to a switch between CC1 and CC2.</w:t>
            </w:r>
          </w:p>
          <w:p w14:paraId="24F524CB">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 xml:space="preserve">Otherwise, the retuning time is given by </w:t>
            </w:r>
            <w:r>
              <w:rPr>
                <w:b/>
                <w:bCs/>
                <w:i/>
                <w:iCs/>
                <w:sz w:val="18"/>
                <w:szCs w:val="18"/>
              </w:rPr>
              <w:t xml:space="preserve">switchingTimeUL + </w:t>
            </w:r>
            <m:oMath>
              <m:sSub>
                <m:sSubPr>
                  <m:ctrlPr>
                    <w:rPr>
                      <w:rFonts w:ascii="Cambria Math" w:hAnsi="Cambria Math"/>
                      <w:b/>
                      <w:bCs/>
                      <w:i/>
                      <w:iCs/>
                      <w:sz w:val="18"/>
                      <w:szCs w:val="18"/>
                    </w:rPr>
                  </m:ctrlPr>
                </m:sSubPr>
                <m:e>
                  <m:r>
                    <m:rPr>
                      <m:sty m:val="bi"/>
                    </m:rPr>
                    <w:rPr>
                      <w:rFonts w:ascii="Cambria Math" w:hAnsi="Cambria Math"/>
                      <w:sz w:val="18"/>
                      <w:szCs w:val="18"/>
                    </w:rPr>
                    <m:t>N</m:t>
                  </m:r>
                  <m:ctrlPr>
                    <w:rPr>
                      <w:rFonts w:ascii="Cambria Math" w:hAnsi="Cambria Math"/>
                      <w:b/>
                      <w:bCs/>
                      <w:i/>
                      <w:iCs/>
                      <w:sz w:val="18"/>
                      <w:szCs w:val="18"/>
                    </w:rPr>
                  </m:ctrlPr>
                </m:e>
                <m:sub>
                  <m:r>
                    <m:rPr>
                      <m:sty m:val="bi"/>
                    </m:rPr>
                    <w:rPr>
                      <w:rFonts w:ascii="Cambria Math" w:hAnsi="Cambria Math"/>
                      <w:sz w:val="18"/>
                      <w:szCs w:val="18"/>
                    </w:rPr>
                    <m:t>Tx1−Tx2</m:t>
                  </m:r>
                  <m:ctrlPr>
                    <w:rPr>
                      <w:rFonts w:ascii="Cambria Math" w:hAnsi="Cambria Math"/>
                      <w:b/>
                      <w:bCs/>
                      <w:i/>
                      <w:iCs/>
                      <w:sz w:val="18"/>
                      <w:szCs w:val="18"/>
                    </w:rPr>
                  </m:ctrlP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ctrlPr>
                    <w:rPr>
                      <w:rFonts w:ascii="Cambria Math" w:hAnsi="Cambria Math"/>
                      <w:b/>
                      <w:bCs/>
                      <w:i/>
                      <w:iCs/>
                      <w:sz w:val="18"/>
                      <w:szCs w:val="18"/>
                    </w:rPr>
                  </m:ctrlPr>
                </m:e>
                <m:sub>
                  <m:r>
                    <m:rPr>
                      <m:sty m:val="bi"/>
                    </m:rPr>
                    <w:rPr>
                      <w:rFonts w:ascii="Cambria Math" w:hAnsi="Cambria Math"/>
                      <w:sz w:val="18"/>
                      <w:szCs w:val="18"/>
                    </w:rPr>
                    <m:t>Tx1−Tx2</m:t>
                  </m:r>
                  <m:ctrlPr>
                    <w:rPr>
                      <w:rFonts w:ascii="Cambria Math" w:hAnsi="Cambria Math"/>
                      <w:b/>
                      <w:bCs/>
                      <w:i/>
                      <w:iCs/>
                      <w:sz w:val="18"/>
                      <w:szCs w:val="18"/>
                    </w:rPr>
                  </m:ctrlPr>
                </m:sub>
              </m:sSub>
            </m:oMath>
            <w:r>
              <w:rPr>
                <w:b/>
                <w:bCs/>
                <w:iCs/>
                <w:sz w:val="18"/>
                <w:szCs w:val="18"/>
              </w:rPr>
              <w:t xml:space="preserve"> corresponding to an N-port transmission in CC1 from the current switching state</w:t>
            </w:r>
          </w:p>
          <w:p w14:paraId="0DE264DD">
            <w:pPr>
              <w:pStyle w:val="108"/>
              <w:numPr>
                <w:ilvl w:val="0"/>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switching state after SRS transmission:</w:t>
            </w:r>
          </w:p>
          <w:p w14:paraId="26CF9533">
            <w:pPr>
              <w:pStyle w:val="108"/>
              <w:numPr>
                <w:ilvl w:val="1"/>
                <w:numId w:val="32"/>
              </w:numPr>
              <w:overflowPunct w:val="0"/>
              <w:autoSpaceDE w:val="0"/>
              <w:autoSpaceDN w:val="0"/>
              <w:adjustRightInd w:val="0"/>
              <w:spacing w:after="180"/>
              <w:ind w:leftChars="0"/>
              <w:contextualSpacing/>
              <w:textAlignment w:val="baseline"/>
              <w:rPr>
                <w:b/>
                <w:sz w:val="18"/>
                <w:szCs w:val="18"/>
              </w:rPr>
            </w:pPr>
            <w:r>
              <w:rPr>
                <w:b/>
                <w:bCs/>
                <w:sz w:val="18"/>
                <w:szCs w:val="18"/>
              </w:rPr>
              <w:t>The switching state is such that all N transmit chains are returned to CC1 after the SRS transmission.</w:t>
            </w:r>
            <w:r>
              <w:rPr>
                <w:b/>
                <w:sz w:val="18"/>
                <w:szCs w:val="18"/>
              </w:rPr>
              <w:t xml:space="preserve"> </w:t>
            </w:r>
          </w:p>
          <w:p w14:paraId="6CC7256A">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 xml:space="preserve">The switching time from CC2 to CC1 is given by </w:t>
            </w:r>
            <w:r>
              <w:rPr>
                <w:b/>
                <w:bCs/>
                <w:i/>
                <w:iCs/>
                <w:sz w:val="18"/>
                <w:szCs w:val="18"/>
              </w:rPr>
              <w:t>switchingTimeUL</w:t>
            </w:r>
            <w:r>
              <w:rPr>
                <w:b/>
                <w:bCs/>
                <w:sz w:val="18"/>
                <w:szCs w:val="18"/>
              </w:rPr>
              <w:t>.</w:t>
            </w:r>
          </w:p>
          <w:p w14:paraId="4FF9DF27">
            <w:pPr>
              <w:pStyle w:val="108"/>
              <w:numPr>
                <w:ilvl w:val="0"/>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simultaneous transmission:</w:t>
            </w:r>
          </w:p>
          <w:p w14:paraId="5F3EB7E1">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 xml:space="preserve">Introduce a new UE capability (similar to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hAnsi="Wingdings" w:eastAsia="Wingdings" w:cs="Wingdings"/>
                <w:b/>
                <w:sz w:val="18"/>
                <w:szCs w:val="18"/>
              </w:rPr>
              <w:sym w:font="Wingdings" w:char="F0E8"/>
            </w:r>
            <w:r>
              <w:rPr>
                <w:b/>
                <w:bCs/>
                <w:sz w:val="18"/>
                <w:szCs w:val="18"/>
              </w:rPr>
              <w:t>B2 interrupts any other band in the band combination.</w:t>
            </w:r>
          </w:p>
          <w:p w14:paraId="7932CDB5">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382D6675">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7D467705">
            <w:pPr>
              <w:pStyle w:val="108"/>
              <w:numPr>
                <w:ilvl w:val="2"/>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a 2-port transmission in B2, all the carriers operating in UL Tx Switching are included in the prioritization.</w:t>
            </w:r>
          </w:p>
          <w:p w14:paraId="3A77C7F9">
            <w:pPr>
              <w:pStyle w:val="108"/>
              <w:numPr>
                <w:ilvl w:val="2"/>
                <w:numId w:val="32"/>
              </w:numPr>
              <w:overflowPunct w:val="0"/>
              <w:autoSpaceDE w:val="0"/>
              <w:autoSpaceDN w:val="0"/>
              <w:adjustRightInd w:val="0"/>
              <w:spacing w:after="180"/>
              <w:ind w:leftChars="0"/>
              <w:contextualSpacing/>
              <w:textAlignment w:val="baseline"/>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5"/>
          <w:p w14:paraId="4D018B11">
            <w:pPr>
              <w:overflowPunct w:val="0"/>
              <w:autoSpaceDE w:val="0"/>
              <w:autoSpaceDN w:val="0"/>
              <w:adjustRightInd w:val="0"/>
              <w:spacing w:after="180"/>
              <w:jc w:val="both"/>
              <w:textAlignment w:val="baseline"/>
              <w:rPr>
                <w:sz w:val="18"/>
                <w:szCs w:val="18"/>
              </w:rPr>
            </w:pPr>
          </w:p>
        </w:tc>
      </w:tr>
    </w:tbl>
    <w:p w14:paraId="6A0981C3">
      <w:pPr>
        <w:rPr>
          <w:b/>
        </w:rPr>
      </w:pPr>
    </w:p>
    <w:p w14:paraId="6842ECD8">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14:paraId="3D7C42EB">
      <w:pPr>
        <w:rPr>
          <w:rFonts w:ascii="Arial" w:hAnsi="Arial" w:eastAsia="MS Mincho"/>
          <w:sz w:val="32"/>
          <w:szCs w:val="32"/>
        </w:rPr>
      </w:pPr>
    </w:p>
    <w:p w14:paraId="7267C501">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7</w:t>
      </w:r>
    </w:p>
    <w:p w14:paraId="43EC761E">
      <w:pPr>
        <w:pStyle w:val="108"/>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51783925">
      <w:pPr>
        <w:pStyle w:val="108"/>
        <w:numPr>
          <w:ilvl w:val="1"/>
          <w:numId w:val="20"/>
        </w:numPr>
        <w:ind w:leftChars="0"/>
        <w:jc w:val="both"/>
        <w:rPr>
          <w:b/>
          <w:szCs w:val="24"/>
        </w:rPr>
      </w:pPr>
      <w:r>
        <w:rPr>
          <w:b/>
          <w:szCs w:val="24"/>
        </w:rPr>
        <w:t>For SRS switching time:</w:t>
      </w:r>
    </w:p>
    <w:p w14:paraId="0A600CF1">
      <w:pPr>
        <w:pStyle w:val="108"/>
        <w:numPr>
          <w:ilvl w:val="2"/>
          <w:numId w:val="20"/>
        </w:numPr>
        <w:ind w:leftChars="0"/>
        <w:jc w:val="both"/>
        <w:rPr>
          <w:b/>
          <w:szCs w:val="24"/>
        </w:rPr>
      </w:pPr>
      <w:r>
        <w:rPr>
          <w:b/>
          <w:szCs w:val="24"/>
        </w:rPr>
        <w:t>If the SRS transmission in CC2 includes N SRS ports, and the UE is under the operation state in which N-port transmission can be supported in B1, the SRS switching time is given by switchingTimeUL corresponding to a switch between CC1 and CC2.</w:t>
      </w:r>
    </w:p>
    <w:p w14:paraId="2F089990">
      <w:pPr>
        <w:pStyle w:val="108"/>
        <w:numPr>
          <w:ilvl w:val="2"/>
          <w:numId w:val="20"/>
        </w:numPr>
        <w:ind w:leftChars="0"/>
        <w:jc w:val="both"/>
        <w:rPr>
          <w:b/>
          <w:szCs w:val="24"/>
        </w:rPr>
      </w:pPr>
      <w:r>
        <w:rPr>
          <w:b/>
          <w:szCs w:val="24"/>
        </w:rPr>
        <w:t>Otherwise, the retuning time is given by switchingTimeUL + N_(Tx1-Tx2), with N_(Tx1-Tx2) corresponding to an N-port transmission in CC1 from the current switching state</w:t>
      </w:r>
      <w:r>
        <w:rPr>
          <w:rFonts w:hint="eastAsia"/>
          <w:b/>
          <w:szCs w:val="24"/>
        </w:rPr>
        <w:t>.</w:t>
      </w:r>
    </w:p>
    <w:p w14:paraId="6BB9142C">
      <w:pPr>
        <w:pStyle w:val="108"/>
        <w:numPr>
          <w:ilvl w:val="1"/>
          <w:numId w:val="20"/>
        </w:numPr>
        <w:ind w:leftChars="0"/>
        <w:jc w:val="both"/>
        <w:rPr>
          <w:b/>
          <w:szCs w:val="24"/>
        </w:rPr>
      </w:pPr>
      <w:r>
        <w:rPr>
          <w:b/>
          <w:szCs w:val="24"/>
        </w:rPr>
        <w:t>For switching state after SRS transmission:</w:t>
      </w:r>
    </w:p>
    <w:p w14:paraId="40F38428">
      <w:pPr>
        <w:pStyle w:val="108"/>
        <w:numPr>
          <w:ilvl w:val="2"/>
          <w:numId w:val="20"/>
        </w:numPr>
        <w:ind w:leftChars="0"/>
        <w:jc w:val="both"/>
        <w:rPr>
          <w:b/>
          <w:szCs w:val="24"/>
        </w:rPr>
      </w:pPr>
      <w:r>
        <w:rPr>
          <w:b/>
          <w:szCs w:val="24"/>
        </w:rPr>
        <w:t xml:space="preserve">The switching state is such that all N transmit chains are returned to CC1 after the SRS transmission. </w:t>
      </w:r>
    </w:p>
    <w:p w14:paraId="701F4854">
      <w:pPr>
        <w:pStyle w:val="108"/>
        <w:numPr>
          <w:ilvl w:val="2"/>
          <w:numId w:val="20"/>
        </w:numPr>
        <w:ind w:leftChars="0"/>
        <w:jc w:val="both"/>
        <w:rPr>
          <w:b/>
          <w:szCs w:val="24"/>
        </w:rPr>
      </w:pPr>
      <w:r>
        <w:rPr>
          <w:b/>
          <w:szCs w:val="24"/>
        </w:rPr>
        <w:t>The switching time from CC2 to CC1 is given by switchingTimeUL.</w:t>
      </w:r>
    </w:p>
    <w:p w14:paraId="146FD280">
      <w:pPr>
        <w:pStyle w:val="108"/>
        <w:numPr>
          <w:ilvl w:val="1"/>
          <w:numId w:val="20"/>
        </w:numPr>
        <w:ind w:leftChars="0"/>
        <w:jc w:val="both"/>
        <w:rPr>
          <w:b/>
          <w:szCs w:val="24"/>
        </w:rPr>
      </w:pPr>
      <w:r>
        <w:rPr>
          <w:b/>
          <w:szCs w:val="24"/>
        </w:rPr>
        <w:t>For simultaneous transmission:</w:t>
      </w:r>
    </w:p>
    <w:p w14:paraId="40513A22">
      <w:pPr>
        <w:pStyle w:val="108"/>
        <w:numPr>
          <w:ilvl w:val="2"/>
          <w:numId w:val="20"/>
        </w:numPr>
        <w:ind w:leftChars="0"/>
        <w:jc w:val="both"/>
        <w:rPr>
          <w:b/>
          <w:szCs w:val="24"/>
        </w:rPr>
      </w:pPr>
      <w:r>
        <w:rPr>
          <w:b/>
          <w:szCs w:val="24"/>
        </w:rPr>
        <w:t>Introduce a new UE capability (similar to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20DF6A0F">
      <w:pPr>
        <w:pStyle w:val="108"/>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4B6330E3">
      <w:pPr>
        <w:pStyle w:val="108"/>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2AEBBB57">
      <w:pPr>
        <w:pStyle w:val="108"/>
        <w:numPr>
          <w:ilvl w:val="3"/>
          <w:numId w:val="20"/>
        </w:numPr>
        <w:ind w:leftChars="0"/>
        <w:jc w:val="both"/>
        <w:rPr>
          <w:b/>
          <w:szCs w:val="24"/>
        </w:rPr>
      </w:pPr>
      <w:r>
        <w:rPr>
          <w:b/>
          <w:szCs w:val="24"/>
        </w:rPr>
        <w:t>For a 2-port transmission in B2, all the carriers operating in UL Tx Switching are included in the prioritization.</w:t>
      </w:r>
    </w:p>
    <w:p w14:paraId="03692CC5">
      <w:pPr>
        <w:pStyle w:val="108"/>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7767D80F">
      <w:pPr>
        <w:jc w:val="both"/>
        <w:rPr>
          <w:b/>
          <w:szCs w:val="24"/>
          <w:highlight w:val="red"/>
        </w:rPr>
      </w:pPr>
    </w:p>
    <w:p w14:paraId="63799FA1">
      <w:pPr>
        <w:rPr>
          <w:b/>
        </w:rPr>
      </w:pPr>
    </w:p>
    <w:p w14:paraId="71FA92AA">
      <w:pPr>
        <w:rPr>
          <w:rFonts w:eastAsia="MS Mincho" w:cs="Batang"/>
          <w:sz w:val="22"/>
          <w:szCs w:val="22"/>
        </w:rPr>
      </w:pPr>
    </w:p>
    <w:p w14:paraId="38278D26">
      <w:pPr>
        <w:rPr>
          <w:rFonts w:eastAsia="MS Mincho" w:cs="Batang"/>
          <w:sz w:val="22"/>
          <w:szCs w:val="22"/>
        </w:rPr>
      </w:pPr>
      <w:r>
        <w:rPr>
          <w:rFonts w:hint="eastAsia" w:eastAsia="MS Mincho" w:cs="Batang"/>
          <w:sz w:val="22"/>
          <w:szCs w:val="22"/>
        </w:rPr>
        <w:t>T</w:t>
      </w:r>
      <w:r>
        <w:rPr>
          <w:rFonts w:eastAsia="MS Mincho" w:cs="Batang"/>
          <w:sz w:val="22"/>
          <w:szCs w:val="22"/>
        </w:rPr>
        <w:t>his proposal is already supported by</w:t>
      </w:r>
      <w:r>
        <w:rPr>
          <w:rFonts w:hint="eastAsia" w:eastAsia="MS Mincho" w:cs="Batang"/>
          <w:sz w:val="22"/>
          <w:szCs w:val="22"/>
        </w:rPr>
        <w:t xml:space="preserve"> Qualcomm</w:t>
      </w:r>
      <w:r>
        <w:rPr>
          <w:rFonts w:eastAsia="MS Mincho" w:cs="Batang"/>
          <w:sz w:val="22"/>
          <w:szCs w:val="22"/>
        </w:rPr>
        <w:t>.</w:t>
      </w:r>
    </w:p>
    <w:p w14:paraId="59725FBF">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121"/>
        <w:gridCol w:w="6912"/>
      </w:tblGrid>
      <w:tr w14:paraId="76061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14:paraId="2537AFEA">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14:paraId="7AEA03E2">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14:paraId="1919CBB5">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14:paraId="2ADF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3EEB1DA2">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Huawei, HiSilicon</w:t>
            </w:r>
          </w:p>
        </w:tc>
        <w:tc>
          <w:tcPr>
            <w:tcW w:w="1023" w:type="dxa"/>
          </w:tcPr>
          <w:p w14:paraId="3B20015F">
            <w:pPr>
              <w:overflowPunct w:val="0"/>
              <w:autoSpaceDE w:val="0"/>
              <w:autoSpaceDN w:val="0"/>
              <w:adjustRightInd w:val="0"/>
              <w:spacing w:after="120" w:afterLines="50"/>
              <w:jc w:val="both"/>
              <w:textAlignment w:val="baseline"/>
              <w:rPr>
                <w:rFonts w:eastAsia="Malgun Gothic"/>
                <w:sz w:val="22"/>
                <w:lang w:val="en-US" w:eastAsia="ko-KR"/>
              </w:rPr>
            </w:pPr>
          </w:p>
        </w:tc>
        <w:tc>
          <w:tcPr>
            <w:tcW w:w="6912" w:type="dxa"/>
          </w:tcPr>
          <w:p w14:paraId="5B1D93FA">
            <w:pPr>
              <w:overflowPunct w:val="0"/>
              <w:autoSpaceDE w:val="0"/>
              <w:autoSpaceDN w:val="0"/>
              <w:adjustRightInd w:val="0"/>
              <w:spacing w:after="120" w:afterLines="50"/>
              <w:jc w:val="both"/>
              <w:textAlignment w:val="baseline"/>
              <w:rPr>
                <w:sz w:val="22"/>
                <w:lang w:val="en-US"/>
              </w:rPr>
            </w:pPr>
            <w:r>
              <w:rPr>
                <w:iCs/>
                <w:lang w:eastAsia="en-GB"/>
              </w:rPr>
              <w:t>The UE capability</w:t>
            </w:r>
            <w:r>
              <w:rPr>
                <w:i/>
                <w:iCs/>
                <w:lang w:eastAsia="en-GB"/>
              </w:rPr>
              <w:t xml:space="preserve"> srs-SwitchingAffectedBandsListNR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14:paraId="16657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030FB0D6">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Samsung</w:t>
            </w:r>
          </w:p>
        </w:tc>
        <w:tc>
          <w:tcPr>
            <w:tcW w:w="1023" w:type="dxa"/>
          </w:tcPr>
          <w:p w14:paraId="4CEB04C4">
            <w:pPr>
              <w:overflowPunct w:val="0"/>
              <w:autoSpaceDE w:val="0"/>
              <w:autoSpaceDN w:val="0"/>
              <w:adjustRightInd w:val="0"/>
              <w:spacing w:after="120" w:afterLines="50"/>
              <w:jc w:val="both"/>
              <w:textAlignment w:val="baseline"/>
              <w:rPr>
                <w:sz w:val="22"/>
                <w:lang w:val="en-US"/>
              </w:rPr>
            </w:pPr>
          </w:p>
        </w:tc>
        <w:tc>
          <w:tcPr>
            <w:tcW w:w="6912" w:type="dxa"/>
          </w:tcPr>
          <w:p w14:paraId="1BD4A0C2">
            <w:pPr>
              <w:overflowPunct w:val="0"/>
              <w:autoSpaceDE w:val="0"/>
              <w:autoSpaceDN w:val="0"/>
              <w:adjustRightInd w:val="0"/>
              <w:spacing w:after="120" w:afterLines="50"/>
              <w:jc w:val="both"/>
              <w:textAlignment w:val="baseline"/>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r>
              <w:rPr>
                <w:i/>
                <w:sz w:val="22"/>
                <w:lang w:val="en-US"/>
              </w:rPr>
              <w:t>srs-SwitchingAffectedBandsListNR</w:t>
            </w:r>
            <w:r>
              <w:rPr>
                <w:sz w:val="22"/>
                <w:lang w:val="en-US"/>
              </w:rPr>
              <w:t xml:space="preserve"> would be. For the intermittent SRS UL Tx, a scheduling gap doesn’t result in significant penalties even if the DL scheduling needs to be interrupted.</w:t>
            </w:r>
          </w:p>
        </w:tc>
      </w:tr>
      <w:tr w14:paraId="041B8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12947138">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Ericsson</w:t>
            </w:r>
          </w:p>
        </w:tc>
        <w:tc>
          <w:tcPr>
            <w:tcW w:w="1023" w:type="dxa"/>
          </w:tcPr>
          <w:p w14:paraId="6CDCF712">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See comments</w:t>
            </w:r>
          </w:p>
        </w:tc>
        <w:tc>
          <w:tcPr>
            <w:tcW w:w="6912" w:type="dxa"/>
          </w:tcPr>
          <w:p w14:paraId="4F4D3CDC">
            <w:pPr>
              <w:overflowPunct w:val="0"/>
              <w:autoSpaceDE w:val="0"/>
              <w:autoSpaceDN w:val="0"/>
              <w:adjustRightInd w:val="0"/>
              <w:spacing w:after="120" w:afterLines="50"/>
              <w:jc w:val="both"/>
              <w:textAlignment w:val="baseline"/>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bl>
    <w:p w14:paraId="57570A49">
      <w:pPr>
        <w:rPr>
          <w:b/>
        </w:rPr>
      </w:pPr>
    </w:p>
    <w:p w14:paraId="4653D869">
      <w:pPr>
        <w:rPr>
          <w:b/>
        </w:rPr>
      </w:pPr>
    </w:p>
    <w:p w14:paraId="6615374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SRS carrier switching in UL CA</w:t>
      </w:r>
    </w:p>
    <w:p w14:paraId="3107DDC8">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14:paraId="37FF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tcPr>
          <w:p w14:paraId="658169B1">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[5</w:t>
            </w:r>
            <w:r>
              <w:rPr>
                <w:rFonts w:ascii="Arial" w:hAnsi="Arial" w:eastAsia="MS Mincho"/>
                <w:sz w:val="22"/>
                <w:szCs w:val="22"/>
                <w:lang w:val="en-US"/>
              </w:rPr>
              <w:t>]</w:t>
            </w:r>
          </w:p>
        </w:tc>
        <w:tc>
          <w:tcPr>
            <w:tcW w:w="9066" w:type="dxa"/>
          </w:tcPr>
          <w:p w14:paraId="3C947DEF">
            <w:pPr>
              <w:overflowPunct w:val="0"/>
              <w:autoSpaceDE w:val="0"/>
              <w:autoSpaceDN w:val="0"/>
              <w:adjustRightInd w:val="0"/>
              <w:spacing w:after="180"/>
              <w:jc w:val="both"/>
              <w:textAlignment w:val="baseline"/>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373943E5">
            <w:pPr>
              <w:overflowPunct w:val="0"/>
              <w:autoSpaceDE w:val="0"/>
              <w:autoSpaceDN w:val="0"/>
              <w:adjustRightInd w:val="0"/>
              <w:spacing w:after="180"/>
              <w:jc w:val="center"/>
              <w:textAlignment w:val="baseline"/>
              <w:rPr>
                <w:rFonts w:cs="Batang"/>
                <w:sz w:val="18"/>
                <w:szCs w:val="18"/>
                <w:lang w:eastAsia="zh-CN"/>
              </w:rPr>
            </w:pPr>
            <w:r>
              <w:rPr>
                <w:rFonts w:cs="Batang"/>
                <w:sz w:val="18"/>
                <w:szCs w:val="18"/>
                <w:lang w:val="en-US" w:eastAsia="zh-CN"/>
              </w:rPr>
              <w:drawing>
                <wp:inline distT="0" distB="0" distL="0" distR="0">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1"/>
                          <a:stretch>
                            <a:fillRect/>
                          </a:stretch>
                        </pic:blipFill>
                        <pic:spPr>
                          <a:xfrm>
                            <a:off x="0" y="0"/>
                            <a:ext cx="2939125" cy="1849499"/>
                          </a:xfrm>
                          <a:prstGeom prst="rect">
                            <a:avLst/>
                          </a:prstGeom>
                        </pic:spPr>
                      </pic:pic>
                    </a:graphicData>
                  </a:graphic>
                </wp:inline>
              </w:drawing>
            </w:r>
          </w:p>
          <w:p w14:paraId="50009F21">
            <w:pPr>
              <w:overflowPunct w:val="0"/>
              <w:autoSpaceDE w:val="0"/>
              <w:autoSpaceDN w:val="0"/>
              <w:adjustRightInd w:val="0"/>
              <w:spacing w:after="180"/>
              <w:jc w:val="center"/>
              <w:textAlignment w:val="baseline"/>
              <w:rPr>
                <w:sz w:val="18"/>
                <w:szCs w:val="18"/>
              </w:rPr>
            </w:pPr>
            <w:r>
              <w:rPr>
                <w:b/>
                <w:bCs/>
                <w:sz w:val="18"/>
                <w:szCs w:val="18"/>
              </w:rPr>
              <w:t>Fig. 2:</w:t>
            </w:r>
            <w:r>
              <w:rPr>
                <w:sz w:val="18"/>
                <w:szCs w:val="18"/>
              </w:rPr>
              <w:t xml:space="preserve"> </w:t>
            </w:r>
            <w:r>
              <w:rPr>
                <w:b/>
                <w:bCs/>
                <w:sz w:val="18"/>
                <w:szCs w:val="18"/>
              </w:rPr>
              <w:t>SRS-CS + ULCA</w:t>
            </w:r>
          </w:p>
          <w:p w14:paraId="754A2511">
            <w:pPr>
              <w:overflowPunct w:val="0"/>
              <w:autoSpaceDE w:val="0"/>
              <w:autoSpaceDN w:val="0"/>
              <w:adjustRightInd w:val="0"/>
              <w:spacing w:after="180"/>
              <w:jc w:val="center"/>
              <w:textAlignment w:val="baseline"/>
              <w:rPr>
                <w:rFonts w:cs="Batang"/>
                <w:sz w:val="18"/>
                <w:szCs w:val="18"/>
                <w:lang w:eastAsia="zh-CN"/>
              </w:rPr>
            </w:pPr>
          </w:p>
          <w:p w14:paraId="58E7A8CF">
            <w:pPr>
              <w:overflowPunct w:val="0"/>
              <w:autoSpaceDE w:val="0"/>
              <w:autoSpaceDN w:val="0"/>
              <w:adjustRightInd w:val="0"/>
              <w:spacing w:after="180"/>
              <w:jc w:val="both"/>
              <w:textAlignment w:val="baseline"/>
              <w:rPr>
                <w:sz w:val="18"/>
                <w:szCs w:val="18"/>
              </w:rPr>
            </w:pPr>
          </w:p>
          <w:p w14:paraId="399450D7">
            <w:pPr>
              <w:overflowPunct w:val="0"/>
              <w:autoSpaceDE w:val="0"/>
              <w:autoSpaceDN w:val="0"/>
              <w:adjustRightInd w:val="0"/>
              <w:spacing w:after="180"/>
              <w:jc w:val="both"/>
              <w:textAlignment w:val="baseline"/>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14:paraId="4EA0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40D9AEC6">
            <w:pPr>
              <w:overflowPunct w:val="0"/>
              <w:autoSpaceDE w:val="0"/>
              <w:autoSpaceDN w:val="0"/>
              <w:adjustRightInd w:val="0"/>
              <w:spacing w:after="180"/>
              <w:textAlignment w:val="baseline"/>
              <w:rPr>
                <w:rFonts w:ascii="Arial" w:hAnsi="Arial" w:eastAsia="MS Mincho"/>
                <w:sz w:val="22"/>
                <w:szCs w:val="22"/>
                <w:lang w:val="en-US"/>
              </w:rPr>
            </w:pPr>
            <w:r>
              <w:rPr>
                <w:rFonts w:hint="eastAsia" w:ascii="Arial" w:hAnsi="Arial" w:eastAsia="MS Mincho"/>
                <w:sz w:val="22"/>
                <w:szCs w:val="22"/>
                <w:lang w:val="en-US"/>
              </w:rPr>
              <w:t>[7]</w:t>
            </w:r>
          </w:p>
        </w:tc>
        <w:tc>
          <w:tcPr>
            <w:tcW w:w="9066" w:type="dxa"/>
          </w:tcPr>
          <w:p w14:paraId="6B51B4BC">
            <w:pPr>
              <w:overflowPunct w:val="0"/>
              <w:autoSpaceDE w:val="0"/>
              <w:autoSpaceDN w:val="0"/>
              <w:adjustRightInd w:val="0"/>
              <w:spacing w:after="180"/>
              <w:textAlignment w:val="baseline"/>
              <w:rPr>
                <w:sz w:val="18"/>
                <w:szCs w:val="18"/>
              </w:rPr>
            </w:pPr>
            <w:r>
              <w:rPr>
                <w:sz w:val="18"/>
                <w:szCs w:val="18"/>
              </w:rPr>
              <w:t>This issue was brought up originally in [6, Section 2.2]. The scenario is as follows:</w:t>
            </w:r>
          </w:p>
          <w:p w14:paraId="1D35A425">
            <w:pPr>
              <w:pStyle w:val="108"/>
              <w:numPr>
                <w:ilvl w:val="0"/>
                <w:numId w:val="33"/>
              </w:numPr>
              <w:overflowPunct w:val="0"/>
              <w:autoSpaceDE w:val="0"/>
              <w:autoSpaceDN w:val="0"/>
              <w:adjustRightInd w:val="0"/>
              <w:spacing w:after="180"/>
              <w:ind w:leftChars="0"/>
              <w:contextualSpacing/>
              <w:textAlignment w:val="baseline"/>
              <w:rPr>
                <w:sz w:val="18"/>
                <w:szCs w:val="18"/>
              </w:rPr>
            </w:pPr>
            <w:r>
              <w:rPr>
                <w:sz w:val="18"/>
                <w:szCs w:val="18"/>
              </w:rPr>
              <w:t>CC2 is the source carrier for SRS CS in CC1.</w:t>
            </w:r>
          </w:p>
          <w:p w14:paraId="77570E01">
            <w:pPr>
              <w:pStyle w:val="108"/>
              <w:numPr>
                <w:ilvl w:val="0"/>
                <w:numId w:val="33"/>
              </w:numPr>
              <w:overflowPunct w:val="0"/>
              <w:autoSpaceDE w:val="0"/>
              <w:autoSpaceDN w:val="0"/>
              <w:adjustRightInd w:val="0"/>
              <w:spacing w:after="180"/>
              <w:ind w:leftChars="0"/>
              <w:contextualSpacing/>
              <w:textAlignment w:val="baseline"/>
              <w:rPr>
                <w:sz w:val="18"/>
                <w:szCs w:val="18"/>
              </w:rPr>
            </w:pPr>
            <w:r>
              <w:rPr>
                <w:sz w:val="18"/>
                <w:szCs w:val="18"/>
              </w:rPr>
              <w:t>CC4 is the source carrier for SRS CS in CC3.</w:t>
            </w:r>
          </w:p>
          <w:p w14:paraId="0A770093">
            <w:pPr>
              <w:overflowPunct w:val="0"/>
              <w:autoSpaceDE w:val="0"/>
              <w:autoSpaceDN w:val="0"/>
              <w:adjustRightInd w:val="0"/>
              <w:spacing w:after="180"/>
              <w:textAlignment w:val="baseline"/>
              <w:rPr>
                <w:sz w:val="18"/>
                <w:szCs w:val="18"/>
              </w:rPr>
            </w:pPr>
            <w:r>
              <w:rPr>
                <w:sz w:val="18"/>
                <w:szCs w:val="18"/>
              </w:rPr>
              <w:t>The specification gap is to clarify (or add a UE capability) on whether the UE perform simultaneous switching and transmission from CC2</w:t>
            </w:r>
            <w:r>
              <w:rPr>
                <w:rFonts w:ascii="Wingdings" w:hAnsi="Wingdings" w:eastAsia="Wingdings" w:cs="Wingdings"/>
                <w:sz w:val="18"/>
                <w:szCs w:val="18"/>
              </w:rPr>
              <w:sym w:font="Wingdings" w:char="F0E8"/>
            </w:r>
            <w:r>
              <w:rPr>
                <w:sz w:val="18"/>
                <w:szCs w:val="18"/>
              </w:rPr>
              <w:t>CC1 and CC4</w:t>
            </w:r>
            <w:r>
              <w:rPr>
                <w:rFonts w:ascii="Wingdings" w:hAnsi="Wingdings" w:eastAsia="Wingdings" w:cs="Wingdings"/>
                <w:sz w:val="18"/>
                <w:szCs w:val="18"/>
              </w:rPr>
              <w:sym w:font="Wingdings" w:char="F0E8"/>
            </w:r>
            <w:r>
              <w:rPr>
                <w:sz w:val="18"/>
                <w:szCs w:val="18"/>
              </w:rPr>
              <w:t>CC3. This scenario is depicted in Figure 6:</w:t>
            </w:r>
          </w:p>
          <w:p w14:paraId="663CFB7B">
            <w:pPr>
              <w:overflowPunct w:val="0"/>
              <w:autoSpaceDE w:val="0"/>
              <w:autoSpaceDN w:val="0"/>
              <w:adjustRightInd w:val="0"/>
              <w:spacing w:after="180"/>
              <w:textAlignment w:val="baseline"/>
              <w:rPr>
                <w:sz w:val="18"/>
                <w:szCs w:val="18"/>
              </w:rPr>
            </w:pPr>
          </w:p>
          <w:p w14:paraId="552206C4">
            <w:pPr>
              <w:keepNext/>
              <w:overflowPunct w:val="0"/>
              <w:autoSpaceDE w:val="0"/>
              <w:autoSpaceDN w:val="0"/>
              <w:adjustRightInd w:val="0"/>
              <w:spacing w:after="180"/>
              <w:jc w:val="center"/>
              <w:textAlignment w:val="baseline"/>
              <w:rPr>
                <w:sz w:val="18"/>
                <w:szCs w:val="18"/>
              </w:rPr>
            </w:pPr>
            <w:r>
              <w:rPr>
                <w:sz w:val="18"/>
                <w:szCs w:val="18"/>
                <w:lang w:val="en-US" w:eastAsia="zh-CN"/>
              </w:rPr>
              <w:drawing>
                <wp:inline distT="0" distB="0" distL="0" distR="0">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2"/>
                          <a:stretch>
                            <a:fillRect/>
                          </a:stretch>
                        </pic:blipFill>
                        <pic:spPr>
                          <a:xfrm>
                            <a:off x="0" y="0"/>
                            <a:ext cx="4012103" cy="2938212"/>
                          </a:xfrm>
                          <a:prstGeom prst="rect">
                            <a:avLst/>
                          </a:prstGeom>
                        </pic:spPr>
                      </pic:pic>
                    </a:graphicData>
                  </a:graphic>
                </wp:inline>
              </w:drawing>
            </w:r>
          </w:p>
          <w:p w14:paraId="0150EF45">
            <w:pPr>
              <w:pStyle w:val="21"/>
              <w:overflowPunct w:val="0"/>
              <w:autoSpaceDE w:val="0"/>
              <w:autoSpaceDN w:val="0"/>
              <w:adjustRightInd w:val="0"/>
              <w:jc w:val="center"/>
              <w:textAlignment w:val="baseline"/>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0FEEF94F">
            <w:pPr>
              <w:overflowPunct w:val="0"/>
              <w:autoSpaceDE w:val="0"/>
              <w:autoSpaceDN w:val="0"/>
              <w:adjustRightInd w:val="0"/>
              <w:spacing w:after="180"/>
              <w:textAlignment w:val="baseline"/>
              <w:rPr>
                <w:sz w:val="18"/>
                <w:szCs w:val="18"/>
              </w:rPr>
            </w:pPr>
          </w:p>
          <w:p w14:paraId="5161E258">
            <w:pPr>
              <w:overflowPunct w:val="0"/>
              <w:autoSpaceDE w:val="0"/>
              <w:autoSpaceDN w:val="0"/>
              <w:adjustRightInd w:val="0"/>
              <w:spacing w:after="180"/>
              <w:textAlignment w:val="baseline"/>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5AFD47F2">
            <w:pPr>
              <w:pStyle w:val="108"/>
              <w:numPr>
                <w:ilvl w:val="0"/>
                <w:numId w:val="34"/>
              </w:numPr>
              <w:overflowPunct w:val="0"/>
              <w:autoSpaceDE w:val="0"/>
              <w:autoSpaceDN w:val="0"/>
              <w:adjustRightInd w:val="0"/>
              <w:spacing w:after="180"/>
              <w:ind w:leftChars="0"/>
              <w:contextualSpacing/>
              <w:textAlignment w:val="baseline"/>
              <w:rPr>
                <w:b/>
                <w:sz w:val="18"/>
                <w:szCs w:val="18"/>
              </w:rPr>
            </w:pPr>
            <w:r>
              <w:rPr>
                <w:b/>
                <w:sz w:val="18"/>
                <w:szCs w:val="18"/>
              </w:rPr>
              <w:t>For uplink CA + SRS carrier switching:</w:t>
            </w:r>
          </w:p>
          <w:p w14:paraId="3B2807FE">
            <w:pPr>
              <w:pStyle w:val="108"/>
              <w:numPr>
                <w:ilvl w:val="1"/>
                <w:numId w:val="34"/>
              </w:numPr>
              <w:overflowPunct w:val="0"/>
              <w:autoSpaceDE w:val="0"/>
              <w:autoSpaceDN w:val="0"/>
              <w:adjustRightInd w:val="0"/>
              <w:spacing w:after="180"/>
              <w:ind w:leftChars="0"/>
              <w:contextualSpacing/>
              <w:textAlignment w:val="baseline"/>
              <w:rPr>
                <w:b/>
                <w:sz w:val="18"/>
                <w:szCs w:val="18"/>
              </w:rPr>
            </w:pPr>
            <w:r>
              <w:rPr>
                <w:b/>
                <w:sz w:val="18"/>
                <w:szCs w:val="18"/>
              </w:rPr>
              <w:t>Define rules for simultaneous transmission across two target CCs for SRS carrier switching</w:t>
            </w:r>
          </w:p>
          <w:p w14:paraId="2B1DE40B">
            <w:pPr>
              <w:overflowPunct w:val="0"/>
              <w:autoSpaceDE w:val="0"/>
              <w:autoSpaceDN w:val="0"/>
              <w:adjustRightInd w:val="0"/>
              <w:spacing w:after="180"/>
              <w:textAlignment w:val="baseline"/>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24F57DC3">
            <w:pPr>
              <w:overflowPunct w:val="0"/>
              <w:autoSpaceDE w:val="0"/>
              <w:autoSpaceDN w:val="0"/>
              <w:adjustRightInd w:val="0"/>
              <w:spacing w:after="180"/>
              <w:textAlignment w:val="baseline"/>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hAnsi="Wingdings" w:eastAsia="Wingdings" w:cs="Wingdings"/>
                <w:b/>
                <w:sz w:val="18"/>
                <w:szCs w:val="18"/>
              </w:rPr>
              <w:sym w:font="Wingdings" w:char="F0E8"/>
            </w:r>
            <w:r>
              <w:rPr>
                <w:b/>
                <w:bCs/>
                <w:sz w:val="18"/>
                <w:szCs w:val="18"/>
              </w:rPr>
              <w:t>CC2 and CC3</w:t>
            </w:r>
            <w:r>
              <w:rPr>
                <w:rFonts w:ascii="Wingdings" w:hAnsi="Wingdings" w:eastAsia="Wingdings" w:cs="Wingdings"/>
                <w:b/>
                <w:sz w:val="18"/>
                <w:szCs w:val="18"/>
              </w:rPr>
              <w:sym w:font="Wingdings" w:char="F0E8"/>
            </w:r>
            <w:r>
              <w:rPr>
                <w:b/>
                <w:bCs/>
                <w:sz w:val="18"/>
                <w:szCs w:val="18"/>
              </w:rPr>
              <w:t>CC4)</w:t>
            </w:r>
          </w:p>
          <w:p w14:paraId="48884988">
            <w:pPr>
              <w:pStyle w:val="108"/>
              <w:numPr>
                <w:ilvl w:val="0"/>
                <w:numId w:val="35"/>
              </w:numPr>
              <w:overflowPunct w:val="0"/>
              <w:autoSpaceDE w:val="0"/>
              <w:autoSpaceDN w:val="0"/>
              <w:adjustRightInd w:val="0"/>
              <w:spacing w:after="180"/>
              <w:ind w:leftChars="0"/>
              <w:contextualSpacing/>
              <w:textAlignment w:val="baseline"/>
              <w:rPr>
                <w:rFonts w:eastAsia="Times New Roman"/>
                <w:b/>
                <w:bCs/>
                <w:sz w:val="18"/>
                <w:szCs w:val="18"/>
              </w:rPr>
            </w:pPr>
            <w:r>
              <w:rPr>
                <w:rFonts w:eastAsia="Times New Roman"/>
                <w:b/>
                <w:bCs/>
                <w:sz w:val="18"/>
                <w:szCs w:val="18"/>
              </w:rPr>
              <w:t>The new capability is per band combination.</w:t>
            </w:r>
          </w:p>
          <w:p w14:paraId="5067EBDB">
            <w:pPr>
              <w:pStyle w:val="108"/>
              <w:numPr>
                <w:ilvl w:val="0"/>
                <w:numId w:val="35"/>
              </w:numPr>
              <w:overflowPunct w:val="0"/>
              <w:autoSpaceDE w:val="0"/>
              <w:autoSpaceDN w:val="0"/>
              <w:adjustRightInd w:val="0"/>
              <w:spacing w:after="180"/>
              <w:ind w:leftChars="0"/>
              <w:contextualSpacing/>
              <w:textAlignment w:val="baseline"/>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29F4DF9B">
            <w:pPr>
              <w:pStyle w:val="108"/>
              <w:numPr>
                <w:ilvl w:val="0"/>
                <w:numId w:val="35"/>
              </w:numPr>
              <w:overflowPunct w:val="0"/>
              <w:autoSpaceDE w:val="0"/>
              <w:autoSpaceDN w:val="0"/>
              <w:adjustRightInd w:val="0"/>
              <w:spacing w:after="180"/>
              <w:ind w:leftChars="0"/>
              <w:contextualSpacing/>
              <w:textAlignment w:val="baseline"/>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053AA854">
            <w:pPr>
              <w:pStyle w:val="108"/>
              <w:numPr>
                <w:ilvl w:val="0"/>
                <w:numId w:val="35"/>
              </w:numPr>
              <w:overflowPunct w:val="0"/>
              <w:autoSpaceDE w:val="0"/>
              <w:autoSpaceDN w:val="0"/>
              <w:adjustRightInd w:val="0"/>
              <w:spacing w:after="180"/>
              <w:ind w:leftChars="0"/>
              <w:contextualSpacing/>
              <w:textAlignment w:val="baseline"/>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035FDA0A">
            <w:pPr>
              <w:overflowPunct w:val="0"/>
              <w:autoSpaceDE w:val="0"/>
              <w:autoSpaceDN w:val="0"/>
              <w:adjustRightInd w:val="0"/>
              <w:spacing w:after="180"/>
              <w:jc w:val="both"/>
              <w:textAlignment w:val="baseline"/>
              <w:rPr>
                <w:rFonts w:cs="Batang"/>
                <w:sz w:val="18"/>
                <w:szCs w:val="18"/>
                <w:lang w:eastAsia="zh-CN"/>
              </w:rPr>
            </w:pPr>
          </w:p>
        </w:tc>
      </w:tr>
    </w:tbl>
    <w:p w14:paraId="693E305A">
      <w:pPr>
        <w:rPr>
          <w:b/>
        </w:rPr>
      </w:pPr>
    </w:p>
    <w:p w14:paraId="7CEA97B7">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14:paraId="47DD5286">
      <w:pPr>
        <w:rPr>
          <w:rFonts w:ascii="Arial" w:hAnsi="Arial" w:eastAsia="MS Mincho"/>
          <w:sz w:val="32"/>
          <w:szCs w:val="32"/>
        </w:rPr>
      </w:pPr>
    </w:p>
    <w:p w14:paraId="419A8E0A">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8</w:t>
      </w:r>
    </w:p>
    <w:p w14:paraId="6D11A22C">
      <w:pPr>
        <w:pStyle w:val="108"/>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176CEA35">
      <w:pPr>
        <w:pStyle w:val="108"/>
        <w:numPr>
          <w:ilvl w:val="1"/>
          <w:numId w:val="20"/>
        </w:numPr>
        <w:ind w:leftChars="0"/>
        <w:jc w:val="both"/>
        <w:rPr>
          <w:b/>
        </w:rPr>
      </w:pPr>
      <w:r>
        <w:rPr>
          <w:b/>
        </w:rPr>
        <w:t>The new capability is per band combination.</w:t>
      </w:r>
    </w:p>
    <w:p w14:paraId="5F81935E">
      <w:pPr>
        <w:pStyle w:val="108"/>
        <w:numPr>
          <w:ilvl w:val="1"/>
          <w:numId w:val="20"/>
        </w:numPr>
        <w:ind w:leftChars="0"/>
        <w:jc w:val="both"/>
        <w:rPr>
          <w:b/>
        </w:rPr>
      </w:pPr>
      <w:r>
        <w:rPr>
          <w:b/>
        </w:rPr>
        <w:t>Take as baseline the capability srs-SwitchingAffectedBandsListNR-r17 for this indication.</w:t>
      </w:r>
    </w:p>
    <w:p w14:paraId="3F378051">
      <w:pPr>
        <w:pStyle w:val="108"/>
        <w:numPr>
          <w:ilvl w:val="1"/>
          <w:numId w:val="20"/>
        </w:numPr>
        <w:ind w:leftChars="0"/>
        <w:jc w:val="both"/>
        <w:rPr>
          <w:b/>
        </w:rPr>
      </w:pPr>
      <w:r>
        <w:rPr>
          <w:b/>
        </w:rPr>
        <w:t>Two SRS carrier switches are considered to be simultaneous if the SRS transmission (including RF retuning time) in both CCs totally or partially overlap in time.</w:t>
      </w:r>
    </w:p>
    <w:p w14:paraId="78342DCE">
      <w:pPr>
        <w:pStyle w:val="108"/>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2345D4AA">
      <w:pPr>
        <w:jc w:val="both"/>
        <w:rPr>
          <w:rFonts w:eastAsia="MS Mincho" w:cs="Batang"/>
          <w:sz w:val="22"/>
          <w:szCs w:val="22"/>
          <w:highlight w:val="red"/>
        </w:rPr>
      </w:pPr>
    </w:p>
    <w:p w14:paraId="38F8FC65">
      <w:pPr>
        <w:jc w:val="both"/>
        <w:rPr>
          <w:rFonts w:eastAsia="MS Mincho" w:cs="Batang"/>
          <w:sz w:val="22"/>
          <w:szCs w:val="22"/>
        </w:rPr>
      </w:pPr>
    </w:p>
    <w:p w14:paraId="62E76DEA">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Qualcomm</w:t>
      </w:r>
      <w:r>
        <w:rPr>
          <w:rFonts w:eastAsia="MS Mincho" w:cs="Batang"/>
          <w:sz w:val="22"/>
          <w:szCs w:val="22"/>
        </w:rPr>
        <w:t>.</w:t>
      </w:r>
    </w:p>
    <w:p w14:paraId="24F352BF">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14:paraId="4A6A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14:paraId="585BD828">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14:paraId="17534A1E">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14:paraId="0CB89708">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14:paraId="30D0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38E80152">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Huawei, HiSilicon</w:t>
            </w:r>
          </w:p>
        </w:tc>
        <w:tc>
          <w:tcPr>
            <w:tcW w:w="1023" w:type="dxa"/>
          </w:tcPr>
          <w:p w14:paraId="76A02A95">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N</w:t>
            </w:r>
          </w:p>
        </w:tc>
        <w:tc>
          <w:tcPr>
            <w:tcW w:w="6912" w:type="dxa"/>
          </w:tcPr>
          <w:p w14:paraId="7702607F">
            <w:pPr>
              <w:overflowPunct w:val="0"/>
              <w:autoSpaceDE w:val="0"/>
              <w:autoSpaceDN w:val="0"/>
              <w:adjustRightInd w:val="0"/>
              <w:spacing w:after="180"/>
              <w:textAlignment w:val="baseline"/>
            </w:pPr>
            <w:r>
              <w:t xml:space="preserve">It has been covered by R17 UE capability (FG 39-3-2) </w:t>
            </w:r>
            <w:r>
              <w:rPr>
                <w:i/>
                <w:iCs/>
                <w:lang w:eastAsia="en-GB"/>
              </w:rPr>
              <w:t>SwitchingAffectedBandsListNR</w:t>
            </w:r>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45BB38C7">
            <w:pPr>
              <w:overflowPunct w:val="0"/>
              <w:autoSpaceDE w:val="0"/>
              <w:autoSpaceDN w:val="0"/>
              <w:adjustRightInd w:val="0"/>
              <w:spacing w:after="120" w:afterLines="50"/>
              <w:jc w:val="both"/>
              <w:textAlignment w:val="baseline"/>
              <w:rPr>
                <w:sz w:val="22"/>
                <w:lang w:val="en-US"/>
              </w:rPr>
            </w:pPr>
          </w:p>
        </w:tc>
      </w:tr>
      <w:tr w14:paraId="2592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5F73CB32">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Samsung</w:t>
            </w:r>
          </w:p>
        </w:tc>
        <w:tc>
          <w:tcPr>
            <w:tcW w:w="1023" w:type="dxa"/>
          </w:tcPr>
          <w:p w14:paraId="29DAD19F">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N</w:t>
            </w:r>
          </w:p>
        </w:tc>
        <w:tc>
          <w:tcPr>
            <w:tcW w:w="6912" w:type="dxa"/>
          </w:tcPr>
          <w:p w14:paraId="66EF86BF">
            <w:pPr>
              <w:overflowPunct w:val="0"/>
              <w:autoSpaceDE w:val="0"/>
              <w:autoSpaceDN w:val="0"/>
              <w:adjustRightInd w:val="0"/>
              <w:spacing w:after="120" w:afterLines="50"/>
              <w:jc w:val="both"/>
              <w:textAlignment w:val="baseline"/>
              <w:rPr>
                <w:sz w:val="22"/>
                <w:lang w:val="en-US"/>
              </w:rPr>
            </w:pPr>
            <w:r>
              <w:rPr>
                <w:sz w:val="22"/>
                <w:lang w:val="en-US"/>
              </w:rPr>
              <w:t>Agree with Huawei.</w:t>
            </w:r>
          </w:p>
        </w:tc>
      </w:tr>
      <w:tr w14:paraId="2725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32CD70F9">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Ericsson</w:t>
            </w:r>
          </w:p>
        </w:tc>
        <w:tc>
          <w:tcPr>
            <w:tcW w:w="1023" w:type="dxa"/>
          </w:tcPr>
          <w:p w14:paraId="3FDC4A60">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14:paraId="7F6041D2">
            <w:pPr>
              <w:overflowPunct w:val="0"/>
              <w:autoSpaceDE w:val="0"/>
              <w:autoSpaceDN w:val="0"/>
              <w:adjustRightInd w:val="0"/>
              <w:spacing w:after="120" w:afterLines="50"/>
              <w:jc w:val="both"/>
              <w:textAlignment w:val="baseline"/>
              <w:rPr>
                <w:sz w:val="22"/>
                <w:lang w:val="en-US"/>
              </w:rPr>
            </w:pPr>
            <w:r>
              <w:rPr>
                <w:sz w:val="22"/>
                <w:lang w:val="en-US"/>
              </w:rPr>
              <w:t>This seems to fit within a TEI to us, and would be worthwhile to have clear behavior &amp; support for the simultaneous switching case.</w:t>
            </w:r>
          </w:p>
        </w:tc>
      </w:tr>
    </w:tbl>
    <w:p w14:paraId="7494F3D4">
      <w:pPr>
        <w:rPr>
          <w:b/>
        </w:rPr>
      </w:pPr>
    </w:p>
    <w:p w14:paraId="6B253EBD">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Consideration on the power constraint for type II codebook</w:t>
      </w:r>
    </w:p>
    <w:p w14:paraId="20FE3C5D">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14:paraId="7952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67F18092">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[6</w:t>
            </w:r>
            <w:r>
              <w:rPr>
                <w:rFonts w:ascii="Arial" w:hAnsi="Arial" w:eastAsia="MS Mincho"/>
                <w:sz w:val="22"/>
                <w:szCs w:val="22"/>
                <w:lang w:val="en-US"/>
              </w:rPr>
              <w:t>]</w:t>
            </w:r>
          </w:p>
        </w:tc>
        <w:tc>
          <w:tcPr>
            <w:tcW w:w="9066" w:type="dxa"/>
          </w:tcPr>
          <w:p w14:paraId="44EEEACF">
            <w:pPr>
              <w:overflowPunct w:val="0"/>
              <w:autoSpaceDE w:val="0"/>
              <w:autoSpaceDN w:val="0"/>
              <w:adjustRightInd w:val="0"/>
              <w:spacing w:after="180"/>
              <w:jc w:val="both"/>
              <w:textAlignment w:val="baseline"/>
              <w:rPr>
                <w:sz w:val="18"/>
                <w:szCs w:val="18"/>
              </w:rPr>
            </w:pPr>
            <w:r>
              <w:rPr>
                <w:sz w:val="18"/>
                <w:szCs w:val="18"/>
              </w:rPr>
              <w:t xml:space="preserve">Fig. 3 illustrates the gain achieved by the proposal for the subcase </w:t>
            </w:r>
            <m:oMath>
              <m:r>
                <m:rPr/>
                <w:rPr>
                  <w:rFonts w:ascii="Cambria Math" w:hAnsi="Cambria Math"/>
                  <w:sz w:val="18"/>
                  <w:szCs w:val="18"/>
                  <w:lang w:val="fr-FR"/>
                </w:rPr>
                <m:t>Δ</m:t>
              </m:r>
              <m:sSub>
                <m:sSubPr>
                  <m:ctrlPr>
                    <w:rPr>
                      <w:rFonts w:ascii="Cambria Math" w:hAnsi="Cambria Math"/>
                      <w:i/>
                      <w:sz w:val="18"/>
                      <w:szCs w:val="18"/>
                      <w:lang w:val="fr-FR"/>
                    </w:rPr>
                  </m:ctrlPr>
                </m:sSubPr>
                <m:e>
                  <m:r>
                    <m:rPr/>
                    <w:rPr>
                      <w:rFonts w:ascii="Cambria Math" w:hAnsi="Cambria Math"/>
                      <w:sz w:val="18"/>
                      <w:szCs w:val="18"/>
                      <w:lang w:val="fr-FR"/>
                    </w:rPr>
                    <m:t>P</m:t>
                  </m:r>
                  <m:ctrlPr>
                    <w:rPr>
                      <w:rFonts w:ascii="Cambria Math" w:hAnsi="Cambria Math"/>
                      <w:i/>
                      <w:sz w:val="18"/>
                      <w:szCs w:val="18"/>
                      <w:lang w:val="fr-FR"/>
                    </w:rPr>
                  </m:ctrlPr>
                </m:e>
                <m:sub>
                  <m:r>
                    <m:rPr/>
                    <w:rPr>
                      <w:rFonts w:ascii="Cambria Math" w:hAnsi="Cambria Math"/>
                      <w:sz w:val="18"/>
                      <w:szCs w:val="18"/>
                      <w:lang w:val="fr-FR"/>
                    </w:rPr>
                    <m:t>t</m:t>
                  </m:r>
                  <m:ctrlPr>
                    <w:rPr>
                      <w:rFonts w:ascii="Cambria Math" w:hAnsi="Cambria Math"/>
                      <w:i/>
                      <w:sz w:val="18"/>
                      <w:szCs w:val="18"/>
                      <w:lang w:val="fr-FR"/>
                    </w:rPr>
                  </m:ctrlPr>
                </m:sub>
              </m:sSub>
              <m:r>
                <m:rPr/>
                <w:rPr>
                  <w:rFonts w:ascii="Cambria Math" w:hAnsi="Cambria Math"/>
                  <w:sz w:val="18"/>
                  <w:szCs w:val="18"/>
                  <w:lang w:val="en-US"/>
                </w:rPr>
                <m:t>=</m:t>
              </m:r>
              <m:r>
                <m:rPr/>
                <w:rPr>
                  <w:rFonts w:ascii="Cambria Math" w:hAnsi="Cambria Math"/>
                  <w:sz w:val="18"/>
                  <w:szCs w:val="18"/>
                  <w:lang w:val="fr-FR"/>
                </w:rPr>
                <m:t>Δ</m:t>
              </m:r>
              <m:sSub>
                <m:sSubPr>
                  <m:ctrlPr>
                    <w:rPr>
                      <w:rFonts w:ascii="Cambria Math" w:hAnsi="Cambria Math"/>
                      <w:i/>
                      <w:sz w:val="18"/>
                      <w:szCs w:val="18"/>
                      <w:lang w:val="fr-FR"/>
                    </w:rPr>
                  </m:ctrlPr>
                </m:sSubPr>
                <m:e>
                  <m:r>
                    <m:rPr/>
                    <w:rPr>
                      <w:rFonts w:ascii="Cambria Math" w:hAnsi="Cambria Math"/>
                      <w:sz w:val="18"/>
                      <w:szCs w:val="18"/>
                      <w:lang w:val="fr-FR"/>
                    </w:rPr>
                    <m:t>P</m:t>
                  </m:r>
                  <m:ctrlPr>
                    <w:rPr>
                      <w:rFonts w:ascii="Cambria Math" w:hAnsi="Cambria Math"/>
                      <w:i/>
                      <w:sz w:val="18"/>
                      <w:szCs w:val="18"/>
                      <w:lang w:val="fr-FR"/>
                    </w:rPr>
                  </m:ctrlPr>
                </m:e>
                <m:sub>
                  <m:r>
                    <m:rPr/>
                    <w:rPr>
                      <w:rFonts w:ascii="Cambria Math" w:hAnsi="Cambria Math"/>
                      <w:sz w:val="18"/>
                      <w:szCs w:val="18"/>
                      <w:lang w:val="en-US"/>
                    </w:rPr>
                    <m:t>0</m:t>
                  </m:r>
                  <m:ctrlPr>
                    <w:rPr>
                      <w:rFonts w:ascii="Cambria Math" w:hAnsi="Cambria Math"/>
                      <w:i/>
                      <w:sz w:val="18"/>
                      <w:szCs w:val="18"/>
                      <w:lang w:val="fr-FR"/>
                    </w:rPr>
                  </m:ctrlPr>
                </m:sub>
              </m:sSub>
            </m:oMath>
            <w:r>
              <w:rPr>
                <w:sz w:val="18"/>
                <w:szCs w:val="18"/>
              </w:rPr>
              <w:t>, by taking into account the effective configuration of the gNodeB in terms of the power that can be transmitted from the configured APs.</w:t>
            </w:r>
          </w:p>
          <w:p w14:paraId="7BC0F829">
            <w:pPr>
              <w:keepNext/>
              <w:overflowPunct w:val="0"/>
              <w:autoSpaceDE w:val="0"/>
              <w:autoSpaceDN w:val="0"/>
              <w:adjustRightInd w:val="0"/>
              <w:spacing w:after="180"/>
              <w:jc w:val="center"/>
              <w:textAlignment w:val="baseline"/>
              <w:rPr>
                <w:sz w:val="18"/>
                <w:szCs w:val="18"/>
              </w:rPr>
            </w:pPr>
            <w:r>
              <w:rPr>
                <w:rFonts w:ascii="Arial" w:hAnsi="Arial" w:cs="Arial"/>
                <w:sz w:val="18"/>
                <w:szCs w:val="18"/>
                <w:lang w:val="en-US" w:eastAsia="zh-CN"/>
              </w:rPr>
              <w:drawing>
                <wp:inline distT="0" distB="0" distL="0" distR="0">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37B1266C">
            <w:pPr>
              <w:pStyle w:val="21"/>
              <w:overflowPunct w:val="0"/>
              <w:autoSpaceDE w:val="0"/>
              <w:autoSpaceDN w:val="0"/>
              <w:adjustRightInd w:val="0"/>
              <w:jc w:val="center"/>
              <w:textAlignment w:val="baseline"/>
              <w:rPr>
                <w:sz w:val="18"/>
                <w:szCs w:val="18"/>
              </w:rPr>
            </w:pPr>
            <w:r>
              <w:rPr>
                <w:sz w:val="18"/>
                <w:szCs w:val="18"/>
              </w:rPr>
              <w:t>Figure 3: Proposal evaluation for eType-II codebook for CDL-C 363ns</w:t>
            </w:r>
          </w:p>
          <w:p w14:paraId="438215D8">
            <w:pPr>
              <w:overflowPunct w:val="0"/>
              <w:autoSpaceDE w:val="0"/>
              <w:autoSpaceDN w:val="0"/>
              <w:adjustRightInd w:val="0"/>
              <w:spacing w:after="180"/>
              <w:jc w:val="both"/>
              <w:textAlignment w:val="baseline"/>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514C987D">
            <w:pPr>
              <w:overflowPunct w:val="0"/>
              <w:autoSpaceDE w:val="0"/>
              <w:autoSpaceDN w:val="0"/>
              <w:adjustRightInd w:val="0"/>
              <w:spacing w:after="180"/>
              <w:textAlignment w:val="baseline"/>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Type II port selection codebook for predicted PMI, in order to fully exploit the local power constraints of each power amplifiers (PAs) in gNodeB, the UE should assume the RRC configured power offsets/constraints per CSI-RS antenna port while calculating CSI feedback.</w:t>
            </w:r>
          </w:p>
          <w:p w14:paraId="5181043B">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6" w:name="_Hlk179205720"/>
            <w:r>
              <w:rPr>
                <w:rFonts w:eastAsia="Times New Roman"/>
                <w:b/>
                <w:bCs/>
                <w:sz w:val="18"/>
                <w:szCs w:val="18"/>
              </w:rPr>
              <w:t xml:space="preserve">RRC Information Element DeltaPower containing an offset </w:t>
            </w:r>
            <w:r>
              <w:rPr>
                <w:rFonts w:eastAsia="Times New Roman"/>
                <w:b/>
                <w:bCs/>
                <w:i/>
                <w:iCs/>
                <w:sz w:val="18"/>
                <w:szCs w:val="18"/>
              </w:rPr>
              <w:t>DeltaPowerPerAP</w:t>
            </w:r>
            <w:r>
              <w:rPr>
                <w:rFonts w:eastAsia="Times New Roman"/>
                <w:b/>
                <w:bCs/>
                <w:sz w:val="18"/>
                <w:szCs w:val="18"/>
              </w:rPr>
              <w:t xml:space="preserve"> (</w:t>
            </w:r>
            <m:oMath>
              <m:r>
                <m:rPr>
                  <m:sty m:val="bi"/>
                </m:rPr>
                <w:rPr>
                  <w:rFonts w:ascii="Cambria Math" w:hAnsi="Cambria Math" w:eastAsia="Times New Roman"/>
                  <w:sz w:val="18"/>
                  <w:szCs w:val="18"/>
                </w:rPr>
                <m:t>Δ</m:t>
              </m:r>
              <m:sSub>
                <m:sSubPr>
                  <m:ctrlPr>
                    <w:rPr>
                      <w:rFonts w:ascii="Cambria Math" w:hAnsi="Cambria Math" w:eastAsia="Times New Roman"/>
                      <w:b/>
                      <w:bCs/>
                      <w:i/>
                      <w:sz w:val="18"/>
                      <w:szCs w:val="18"/>
                    </w:rPr>
                  </m:ctrlPr>
                </m:sSubPr>
                <m:e>
                  <m:r>
                    <m:rPr>
                      <m:sty m:val="bi"/>
                    </m:rPr>
                    <w:rPr>
                      <w:rFonts w:ascii="Cambria Math" w:hAnsi="Cambria Math" w:eastAsia="Times New Roman"/>
                      <w:sz w:val="18"/>
                      <w:szCs w:val="18"/>
                    </w:rPr>
                    <m:t>P</m:t>
                  </m:r>
                  <m:ctrlPr>
                    <w:rPr>
                      <w:rFonts w:ascii="Cambria Math" w:hAnsi="Cambria Math" w:eastAsia="Times New Roman"/>
                      <w:b/>
                      <w:bCs/>
                      <w:i/>
                      <w:sz w:val="18"/>
                      <w:szCs w:val="18"/>
                    </w:rPr>
                  </m:ctrlPr>
                </m:e>
                <m:sub>
                  <m:r>
                    <m:rPr>
                      <m:sty m:val="bi"/>
                    </m:rPr>
                    <w:rPr>
                      <w:rFonts w:ascii="Cambria Math" w:hAnsi="Cambria Math" w:eastAsia="Times New Roman"/>
                      <w:sz w:val="18"/>
                      <w:szCs w:val="18"/>
                    </w:rPr>
                    <m:t>t</m:t>
                  </m:r>
                  <m:ctrlPr>
                    <w:rPr>
                      <w:rFonts w:ascii="Cambria Math" w:hAnsi="Cambria Math" w:eastAsia="Times New Roman"/>
                      <w:b/>
                      <w:bCs/>
                      <w:i/>
                      <w:sz w:val="18"/>
                      <w:szCs w:val="18"/>
                    </w:rPr>
                  </m:ctrlPr>
                </m:sub>
              </m:sSub>
              <m:r>
                <m:rPr>
                  <m:sty m:val="bi"/>
                </m:rPr>
                <w:rPr>
                  <w:rFonts w:ascii="Cambria Math" w:hAnsi="Cambria Math" w:eastAsia="Times New Roman"/>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End w:id="16"/>
          <w:p w14:paraId="29469078">
            <w:pPr>
              <w:overflowPunct w:val="0"/>
              <w:autoSpaceDE w:val="0"/>
              <w:autoSpaceDN w:val="0"/>
              <w:adjustRightInd w:val="0"/>
              <w:spacing w:after="180"/>
              <w:ind w:left="720"/>
              <w:textAlignment w:val="baseline"/>
              <w:rPr>
                <w:rFonts w:eastAsia="Times New Roman"/>
                <w:b/>
                <w:bCs/>
                <w:sz w:val="18"/>
                <w:szCs w:val="18"/>
                <w:lang w:eastAsia="zh-CN"/>
              </w:rPr>
            </w:pPr>
            <m:oMathPara>
              <m:oMath>
                <m:d>
                  <w:bookmarkStart w:id="17" w:name="_Hlk179205780"/>
                  <m:dPr>
                    <m:begChr m:val="{"/>
                    <m:endChr m:val=""/>
                    <m:ctrlPr>
                      <w:rPr>
                        <w:rFonts w:ascii="Cambria Math" w:hAnsi="Cambria Math" w:cs="Arial"/>
                        <w:b/>
                        <w:bCs/>
                        <w:i/>
                        <w:sz w:val="18"/>
                        <w:szCs w:val="18"/>
                        <w:lang w:eastAsia="zh-CN"/>
                      </w:rPr>
                    </m:ctrlPr>
                  </m:dPr>
                  <m:e>
                    <m:m>
                      <m:mPr>
                        <m:mcs>
                          <m:mc>
                            <m:mcPr>
                              <m:count m:val="1"/>
                              <m:mcJc m:val="left"/>
                            </m:mcPr>
                          </m:mc>
                        </m:mcs>
                        <m:cGp m:val="8"/>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ctrlPr>
                                <w:rPr>
                                  <w:rFonts w:ascii="Cambria Math" w:hAnsi="Cambria Math" w:cs="Arial"/>
                                  <w:b/>
                                  <w:bCs/>
                                  <w:i/>
                                  <w:sz w:val="18"/>
                                  <w:szCs w:val="18"/>
                                  <w:lang w:eastAsia="zh-CN"/>
                                </w:rPr>
                              </m:ctrlPr>
                            </m:sub>
                            <m:sup>
                              <m:r>
                                <m:rPr>
                                  <m:sty m:val="bi"/>
                                </m:rPr>
                                <w:rPr>
                                  <w:rFonts w:ascii="Cambria Math" w:hAnsi="Cambria Math" w:cs="Arial"/>
                                  <w:sz w:val="18"/>
                                  <w:szCs w:val="18"/>
                                  <w:lang w:eastAsia="zh-CN"/>
                                </w:rPr>
                                <m:t>ν</m:t>
                              </m:r>
                              <m:ctrlPr>
                                <w:rPr>
                                  <w:rFonts w:ascii="Cambria Math" w:hAnsi="Cambria Math" w:cs="Arial"/>
                                  <w:b/>
                                  <w:bCs/>
                                  <w:i/>
                                  <w:sz w:val="18"/>
                                  <w:szCs w:val="18"/>
                                  <w:lang w:eastAsia="zh-CN"/>
                                </w:rPr>
                              </m:ctrlP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t,l</m:t>
                                          </m:r>
                                          <m:ctrlPr>
                                            <w:rPr>
                                              <w:rFonts w:ascii="Cambria Math" w:hAnsi="Cambria Math" w:cs="Arial"/>
                                              <w:b/>
                                              <w:bCs/>
                                              <w:i/>
                                              <w:sz w:val="18"/>
                                              <w:szCs w:val="18"/>
                                              <w:lang w:eastAsia="zh-CN"/>
                                            </w:rPr>
                                          </m:ctrlPr>
                                        </m:sub>
                                      </m:sSub>
                                      <m:ctrlPr>
                                        <w:rPr>
                                          <w:rFonts w:ascii="Cambria Math" w:hAnsi="Cambria Math" w:cs="Arial"/>
                                          <w:b/>
                                          <w:bCs/>
                                          <w:i/>
                                          <w:sz w:val="18"/>
                                          <w:szCs w:val="18"/>
                                          <w:lang w:eastAsia="zh-CN"/>
                                        </w:rPr>
                                      </m:ctrlPr>
                                    </m:e>
                                  </m:d>
                                  <m:ctrlPr>
                                    <w:rPr>
                                      <w:rFonts w:ascii="Cambria Math" w:hAnsi="Cambria Math" w:cs="Arial"/>
                                      <w:b/>
                                      <w:bCs/>
                                      <w:i/>
                                      <w:sz w:val="18"/>
                                      <w:szCs w:val="18"/>
                                      <w:lang w:eastAsia="zh-CN"/>
                                    </w:rPr>
                                  </m:ctrlPr>
                                </m:e>
                                <m:sup>
                                  <m:r>
                                    <m:rPr>
                                      <m:sty m:val="bi"/>
                                    </m:rPr>
                                    <w:rPr>
                                      <w:rFonts w:ascii="Cambria Math" w:hAnsi="Cambria Math" w:cs="Arial"/>
                                      <w:sz w:val="18"/>
                                      <w:szCs w:val="18"/>
                                      <w:lang w:eastAsia="zh-CN"/>
                                    </w:rPr>
                                    <m:t>2</m:t>
                                  </m:r>
                                  <m:ctrlPr>
                                    <w:rPr>
                                      <w:rFonts w:ascii="Cambria Math" w:hAnsi="Cambria Math" w:cs="Arial"/>
                                      <w:b/>
                                      <w:bCs/>
                                      <w:i/>
                                      <w:sz w:val="18"/>
                                      <w:szCs w:val="18"/>
                                      <w:lang w:eastAsia="zh-CN"/>
                                    </w:rPr>
                                  </m:ctrlPr>
                                </m:sup>
                              </m:sSup>
                              <m:ctrlPr>
                                <w:rPr>
                                  <w:rFonts w:ascii="Cambria Math" w:hAnsi="Cambria Math" w:cs="Arial"/>
                                  <w:b/>
                                  <w:bCs/>
                                  <w:i/>
                                  <w:sz w:val="18"/>
                                  <w:szCs w:val="18"/>
                                  <w:lang w:eastAsia="zh-CN"/>
                                </w:rPr>
                              </m:ctrlPr>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m:t>
                                  </m:r>
                                  <m:ctrlPr>
                                    <w:rPr>
                                      <w:rFonts w:ascii="Cambria Math" w:hAnsi="Cambria Math" w:cs="Arial"/>
                                      <w:b/>
                                      <w:bCs/>
                                      <w:i/>
                                      <w:sz w:val="18"/>
                                      <w:szCs w:val="18"/>
                                      <w:lang w:eastAsia="zh-CN"/>
                                    </w:rPr>
                                  </m:ctrlPr>
                                </m:sub>
                              </m:sSub>
                              <m:ctrlPr>
                                <w:rPr>
                                  <w:rFonts w:ascii="Cambria Math" w:hAnsi="Cambria Math" w:cs="Arial"/>
                                  <w:b/>
                                  <w:bCs/>
                                  <w:i/>
                                  <w:sz w:val="18"/>
                                  <w:szCs w:val="18"/>
                                  <w:lang w:eastAsia="zh-CN"/>
                                </w:rPr>
                              </m:ctrlPr>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m:t>
                                  </m:r>
                                  <m:ctrlPr>
                                    <w:rPr>
                                      <w:rFonts w:ascii="Cambria Math" w:hAnsi="Cambria Math" w:cs="Arial"/>
                                      <w:b/>
                                      <w:bCs/>
                                      <w:i/>
                                      <w:sz w:val="18"/>
                                      <w:szCs w:val="18"/>
                                      <w:lang w:eastAsia="zh-CN"/>
                                    </w:rPr>
                                  </m:ctrlPr>
                                </m:sub>
                              </m:sSub>
                              <m:ctrlPr>
                                <w:rPr>
                                  <w:rFonts w:ascii="Cambria Math" w:hAnsi="Cambria Math" w:cs="Arial"/>
                                  <w:b/>
                                  <w:bCs/>
                                  <w:i/>
                                  <w:sz w:val="18"/>
                                  <w:szCs w:val="18"/>
                                  <w:lang w:eastAsia="zh-CN"/>
                                </w:rPr>
                              </m:ctrlPr>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m:t>
                              </m:r>
                              <m:ctrlPr>
                                <w:rPr>
                                  <w:rFonts w:ascii="Cambria Math" w:hAnsi="Cambria Math" w:cs="Arial"/>
                                  <w:b/>
                                  <w:bCs/>
                                  <w:i/>
                                  <w:sz w:val="18"/>
                                  <w:szCs w:val="18"/>
                                  <w:lang w:eastAsia="zh-CN"/>
                                </w:rPr>
                              </m:ctrlP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m:t>
                                  </m:r>
                                  <m:ctrlPr>
                                    <w:rPr>
                                      <w:rFonts w:ascii="Cambria Math" w:hAnsi="Cambria Math" w:cs="Arial"/>
                                      <w:b/>
                                      <w:bCs/>
                                      <w:i/>
                                      <w:sz w:val="18"/>
                                      <w:szCs w:val="18"/>
                                      <w:lang w:eastAsia="zh-CN"/>
                                    </w:rPr>
                                  </m:ctrlPr>
                                </m:sub>
                              </m:sSub>
                              <m:ctrlPr>
                                <w:rPr>
                                  <w:rFonts w:ascii="Cambria Math" w:hAnsi="Cambria Math" w:cs="Arial"/>
                                  <w:b/>
                                  <w:bCs/>
                                  <w:i/>
                                  <w:sz w:val="18"/>
                                  <w:szCs w:val="18"/>
                                  <w:lang w:eastAsia="zh-CN"/>
                                </w:rPr>
                              </m:ctrlPr>
                            </m:e>
                          </m:d>
                          <m:r>
                            <m:rPr>
                              <m:sty m:val="bi"/>
                            </m:rPr>
                            <w:rPr>
                              <w:rFonts w:ascii="Cambria Math" w:hAnsi="Cambria Math" w:cs="Arial"/>
                              <w:sz w:val="18"/>
                              <w:szCs w:val="18"/>
                              <w:lang w:eastAsia="zh-CN"/>
                            </w:rPr>
                            <m:t xml:space="preserve">  </m:t>
                          </m:r>
                          <m:ctrlPr>
                            <w:rPr>
                              <w:rFonts w:ascii="Cambria Math" w:hAnsi="Cambria Math" w:cs="Arial"/>
                              <w:b/>
                              <w:bCs/>
                              <w:i/>
                              <w:sz w:val="18"/>
                              <w:szCs w:val="18"/>
                              <w:lang w:eastAsia="zh-CN"/>
                            </w:rPr>
                          </m:ctrlP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m:t>
                              </m:r>
                              <m:ctrlPr>
                                <w:rPr>
                                  <w:rFonts w:ascii="Cambria Math" w:hAnsi="Cambria Math" w:cs="Arial"/>
                                  <w:b/>
                                  <w:bCs/>
                                  <w:i/>
                                  <w:sz w:val="18"/>
                                  <w:szCs w:val="18"/>
                                  <w:lang w:eastAsia="zh-CN"/>
                                </w:rPr>
                              </m:ctrlPr>
                            </m:sub>
                          </m:sSub>
                          <m:r>
                            <m:rPr>
                              <m:sty m:val="bi"/>
                            </m:rPr>
                            <w:rPr>
                              <w:rFonts w:ascii="Cambria Math" w:hAnsi="Cambria Math" w:cs="Arial"/>
                              <w:sz w:val="18"/>
                              <w:szCs w:val="18"/>
                              <w:lang w:eastAsia="zh-CN"/>
                            </w:rPr>
                            <m:t xml:space="preserve">                                                             </m:t>
                          </m:r>
                          <m:ctrlPr>
                            <w:rPr>
                              <w:rFonts w:ascii="Cambria Math" w:hAnsi="Cambria Math" w:cs="Arial"/>
                              <w:b/>
                              <w:bCs/>
                              <w:i/>
                              <w:sz w:val="18"/>
                              <w:szCs w:val="18"/>
                              <w:lang w:eastAsia="zh-CN"/>
                            </w:rPr>
                          </m:ctrlPr>
                        </m:e>
                      </m:mr>
                    </m:m>
                    <m:ctrlPr>
                      <w:rPr>
                        <w:rFonts w:ascii="Cambria Math" w:hAnsi="Cambria Math" w:cs="Arial"/>
                        <w:b/>
                        <w:bCs/>
                        <w:i/>
                        <w:sz w:val="18"/>
                        <w:szCs w:val="18"/>
                        <w:lang w:eastAsia="zh-CN"/>
                      </w:rPr>
                    </m:ctrlPr>
                  </m:e>
                </m:d>
              </m:oMath>
            </m:oMathPara>
          </w:p>
          <w:bookmarkEnd w:id="17"/>
          <w:p w14:paraId="70AC96EA">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ctrlPr>
                    <w:rPr>
                      <w:rFonts w:ascii="Cambria Math" w:hAnsi="Cambria Math"/>
                      <w:b/>
                      <w:bCs/>
                      <w:i/>
                      <w:sz w:val="18"/>
                      <w:szCs w:val="18"/>
                    </w:rPr>
                  </m:ctrlPr>
                </m:e>
                <m:sub>
                  <m:r>
                    <m:rPr>
                      <m:sty m:val="bi"/>
                    </m:rPr>
                    <w:rPr>
                      <w:rFonts w:ascii="Cambria Math" w:hAnsi="Cambria Math"/>
                      <w:sz w:val="18"/>
                      <w:szCs w:val="18"/>
                    </w:rPr>
                    <m:t>T</m:t>
                  </m:r>
                  <m:ctrlPr>
                    <w:rPr>
                      <w:rFonts w:ascii="Cambria Math" w:hAnsi="Cambria Math"/>
                      <w:b/>
                      <w:bCs/>
                      <w:i/>
                      <w:sz w:val="18"/>
                      <w:szCs w:val="18"/>
                    </w:rPr>
                  </m:ctrlPr>
                </m:sub>
              </m:sSub>
            </m:oMath>
            <w:r>
              <w:rPr>
                <w:rFonts w:eastAsiaTheme="minorEastAsia"/>
                <w:b/>
                <w:bCs/>
                <w:sz w:val="18"/>
                <w:szCs w:val="18"/>
                <w:lang w:val="en-US"/>
              </w:rPr>
              <w:t xml:space="preserve"> is the nominal EPRE </w:t>
            </w:r>
            <w:bookmarkStart w:id="18" w:name="_Hlk178586617"/>
            <w:r>
              <w:rPr>
                <w:rFonts w:eastAsiaTheme="minorEastAsia"/>
                <w:b/>
                <w:bCs/>
                <w:sz w:val="18"/>
                <w:szCs w:val="18"/>
                <w:lang w:val="en-US"/>
              </w:rPr>
              <w:t>across the antenna ports</w:t>
            </w:r>
            <w:bookmarkEnd w:id="18"/>
            <w:r>
              <w:rPr>
                <w:rFonts w:eastAsiaTheme="minorEastAsia"/>
                <w:b/>
                <w:bCs/>
                <w:sz w:val="18"/>
                <w:szCs w:val="18"/>
                <w:lang w:val="en-US"/>
              </w:rPr>
              <w:t>,</w:t>
            </w:r>
          </w:p>
          <w:p w14:paraId="211C0EBF">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ctrlPr>
                    <w:rPr>
                      <w:rFonts w:ascii="Cambria Math" w:hAnsi="Cambria Math"/>
                      <w:b/>
                      <w:bCs/>
                      <w:i/>
                      <w:sz w:val="18"/>
                      <w:szCs w:val="18"/>
                    </w:rPr>
                  </m:ctrlP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ctrlPr>
                    <w:rPr>
                      <w:rFonts w:ascii="Cambria Math" w:hAnsi="Cambria Math"/>
                      <w:b/>
                      <w:bCs/>
                      <w:i/>
                      <w:sz w:val="18"/>
                      <w:szCs w:val="18"/>
                    </w:rPr>
                  </m:ctrlPr>
                </m:sub>
              </m:sSub>
            </m:oMath>
            <w:r>
              <w:rPr>
                <w:rFonts w:eastAsiaTheme="minorEastAsia"/>
                <w:b/>
                <w:bCs/>
                <w:sz w:val="18"/>
                <w:szCs w:val="18"/>
                <w:lang w:val="en-US"/>
              </w:rPr>
              <w:t xml:space="preserve"> is the precoder, from a non-constant modulus codebook, coefficient associated to antenna port </w:t>
            </w:r>
            <m:oMath>
              <m:r>
                <m:rPr>
                  <m:sty m:val="bi"/>
                </m:rPr>
                <w:rPr>
                  <w:rFonts w:ascii="Cambria Math" w:hAnsi="Cambria Math" w:eastAsiaTheme="minorEastAsia"/>
                  <w:sz w:val="18"/>
                  <w:szCs w:val="18"/>
                  <w:lang w:val="en-US"/>
                </w:rPr>
                <m:t>t∈{1,…,</m:t>
              </m:r>
              <m:sSub>
                <m:sSubPr>
                  <m:ctrlPr>
                    <w:rPr>
                      <w:rFonts w:ascii="Cambria Math" w:hAnsi="Cambria Math" w:eastAsiaTheme="minorEastAsia"/>
                      <w:b/>
                      <w:bCs/>
                      <w:i/>
                      <w:sz w:val="18"/>
                      <w:szCs w:val="18"/>
                      <w:lang w:val="en-US"/>
                    </w:rPr>
                  </m:ctrlPr>
                </m:sSubPr>
                <m:e>
                  <m:r>
                    <m:rPr>
                      <m:sty m:val="bi"/>
                    </m:rPr>
                    <w:rPr>
                      <w:rFonts w:ascii="Cambria Math" w:hAnsi="Cambria Math" w:eastAsiaTheme="minorEastAsia"/>
                      <w:sz w:val="18"/>
                      <w:szCs w:val="18"/>
                      <w:lang w:val="en-US"/>
                    </w:rPr>
                    <m:t>N</m:t>
                  </m:r>
                  <m:ctrlPr>
                    <w:rPr>
                      <w:rFonts w:ascii="Cambria Math" w:hAnsi="Cambria Math" w:eastAsiaTheme="minorEastAsia"/>
                      <w:b/>
                      <w:bCs/>
                      <w:i/>
                      <w:sz w:val="18"/>
                      <w:szCs w:val="18"/>
                      <w:lang w:val="en-US"/>
                    </w:rPr>
                  </m:ctrlPr>
                </m:e>
                <m:sub>
                  <m:r>
                    <m:rPr>
                      <m:sty m:val="bi"/>
                    </m:rPr>
                    <w:rPr>
                      <w:rFonts w:ascii="Cambria Math" w:hAnsi="Cambria Math" w:eastAsiaTheme="minorEastAsia"/>
                      <w:sz w:val="18"/>
                      <w:szCs w:val="18"/>
                      <w:lang w:val="en-US"/>
                    </w:rPr>
                    <m:t>T</m:t>
                  </m:r>
                  <m:ctrlPr>
                    <w:rPr>
                      <w:rFonts w:ascii="Cambria Math" w:hAnsi="Cambria Math" w:eastAsiaTheme="minorEastAsia"/>
                      <w:b/>
                      <w:bCs/>
                      <w:i/>
                      <w:sz w:val="18"/>
                      <w:szCs w:val="18"/>
                      <w:lang w:val="en-US"/>
                    </w:rPr>
                  </m:ctrlPr>
                </m:sub>
              </m:sSub>
              <m:r>
                <m:rPr>
                  <m:sty m:val="bi"/>
                </m:rPr>
                <w:rPr>
                  <w:rFonts w:ascii="Cambria Math" w:hAnsi="Cambria Math" w:eastAsiaTheme="minorEastAsia"/>
                  <w:sz w:val="18"/>
                  <w:szCs w:val="18"/>
                  <w:lang w:val="en-US"/>
                </w:rPr>
                <m:t>}</m:t>
              </m:r>
            </m:oMath>
            <w:r>
              <w:rPr>
                <w:rFonts w:eastAsiaTheme="minorEastAsia"/>
                <w:b/>
                <w:bCs/>
                <w:sz w:val="18"/>
                <w:szCs w:val="18"/>
                <w:lang w:val="en-US"/>
              </w:rPr>
              <w:t xml:space="preserve"> and spatial layer</w:t>
            </w:r>
            <m:oMath>
              <m:r>
                <m:rPr>
                  <m:sty m:val="bi"/>
                </m:rPr>
                <w:rPr>
                  <w:rFonts w:ascii="Cambria Math" w:hAnsi="Cambria Math" w:eastAsiaTheme="minorEastAsia"/>
                  <w:sz w:val="18"/>
                  <w:szCs w:val="18"/>
                  <w:lang w:val="en-US"/>
                </w:rPr>
                <m:t xml:space="preserve"> l∈{1,…,ν}</m:t>
              </m:r>
            </m:oMath>
            <w:r>
              <w:rPr>
                <w:rFonts w:eastAsiaTheme="minorEastAsia"/>
                <w:b/>
                <w:bCs/>
                <w:sz w:val="18"/>
                <w:szCs w:val="18"/>
                <w:lang w:val="en-US"/>
              </w:rPr>
              <w:t>,</w:t>
            </w:r>
          </w:p>
          <w:p w14:paraId="3334D566">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234"/>
                <w:bCs/>
                <w:sz w:val="18"/>
                <w:szCs w:val="18"/>
                <w:lang w:val="en-US"/>
              </w:rPr>
              <w:t>above does not imply specific PA architecture implementation in gNodeB</w:t>
            </w:r>
          </w:p>
          <w:p w14:paraId="3AD53D73">
            <w:pPr>
              <w:overflowPunct w:val="0"/>
              <w:autoSpaceDE w:val="0"/>
              <w:autoSpaceDN w:val="0"/>
              <w:adjustRightInd w:val="0"/>
              <w:spacing w:after="180"/>
              <w:textAlignment w:val="baseline"/>
              <w:rPr>
                <w:b/>
                <w:bCs/>
                <w:sz w:val="18"/>
                <w:szCs w:val="18"/>
              </w:rPr>
            </w:pPr>
          </w:p>
          <w:p w14:paraId="1179BC99">
            <w:pPr>
              <w:overflowPunct w:val="0"/>
              <w:autoSpaceDE w:val="0"/>
              <w:autoSpaceDN w:val="0"/>
              <w:adjustRightInd w:val="0"/>
              <w:spacing w:after="180"/>
              <w:textAlignment w:val="baseline"/>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Type II port selection codebook for predicted PMI, in order to fully exploit the local power constraints of each power amplifiers (PAs) in gNodeB, the UE should assume the RRC configured power offset/constraint per CSI-RS antenna port while calculating CSI feedback.</w:t>
            </w:r>
          </w:p>
          <w:p w14:paraId="6B737CD2">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ctrlPr>
                    <w:rPr>
                      <w:rFonts w:ascii="Cambria Math" w:hAnsi="Cambria Math"/>
                      <w:b/>
                      <w:bCs/>
                      <w:i/>
                      <w:sz w:val="18"/>
                      <w:szCs w:val="18"/>
                    </w:rPr>
                  </m:ctrlPr>
                </m:e>
                <m:sub>
                  <m:r>
                    <m:rPr>
                      <m:sty m:val="bi"/>
                    </m:rPr>
                    <w:rPr>
                      <w:rFonts w:ascii="Cambria Math" w:hAnsi="Cambria Math"/>
                      <w:sz w:val="18"/>
                      <w:szCs w:val="18"/>
                    </w:rPr>
                    <m:t>0</m:t>
                  </m:r>
                  <m:ctrlPr>
                    <w:rPr>
                      <w:rFonts w:ascii="Cambria Math" w:hAnsi="Cambria Math"/>
                      <w:b/>
                      <w:bCs/>
                      <w:i/>
                      <w:sz w:val="18"/>
                      <w:szCs w:val="18"/>
                    </w:rPr>
                  </m:ctrlPr>
                </m:sub>
              </m:sSub>
            </m:oMath>
            <w:r>
              <w:rPr>
                <w:rFonts w:eastAsiaTheme="minorEastAsia"/>
                <w:b/>
                <w:bCs/>
                <w:sz w:val="18"/>
                <w:szCs w:val="18"/>
              </w:rPr>
              <w:t xml:space="preserve"> such that the </w:t>
            </w:r>
            <w:bookmarkStart w:id="19"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19"/>
            <w:r>
              <w:rPr>
                <w:rFonts w:eastAsiaTheme="minorEastAsia"/>
                <w:b/>
                <w:bCs/>
                <w:sz w:val="18"/>
                <w:szCs w:val="18"/>
              </w:rPr>
              <w:t xml:space="preserve"> is </w:t>
            </w:r>
            <m:oMath>
              <m:r>
                <m:rPr>
                  <m:sty m:val="bi"/>
                </m:rPr>
                <w:rPr>
                  <w:rFonts w:ascii="Cambria Math" w:hAnsi="Cambria Math" w:eastAsiaTheme="minorEastAsia"/>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ctrlPr>
                    <w:rPr>
                      <w:rFonts w:ascii="Cambria Math" w:hAnsi="Cambria Math" w:cs="Arial"/>
                      <w:b/>
                      <w:bCs/>
                      <w:i/>
                      <w:sz w:val="18"/>
                      <w:szCs w:val="18"/>
                    </w:rPr>
                  </m:ctrlP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ctrlPr>
                            <w:rPr>
                              <w:rFonts w:ascii="Cambria Math" w:hAnsi="Cambria Math" w:cs="Arial"/>
                              <w:b/>
                              <w:bCs/>
                              <w:i/>
                              <w:sz w:val="18"/>
                              <w:szCs w:val="18"/>
                            </w:rPr>
                          </m:ctrlPr>
                        </m:e>
                        <m:sub>
                          <m:r>
                            <m:rPr>
                              <m:sty m:val="bi"/>
                            </m:rPr>
                            <w:rPr>
                              <w:rFonts w:ascii="Cambria Math" w:hAnsi="Cambria Math" w:cs="Arial"/>
                              <w:sz w:val="18"/>
                              <w:szCs w:val="18"/>
                            </w:rPr>
                            <m:t>T</m:t>
                          </m:r>
                          <m:ctrlPr>
                            <w:rPr>
                              <w:rFonts w:ascii="Cambria Math" w:hAnsi="Cambria Math" w:cs="Arial"/>
                              <w:b/>
                              <w:bCs/>
                              <w:i/>
                              <w:sz w:val="18"/>
                              <w:szCs w:val="18"/>
                            </w:rPr>
                          </m:ctrlP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ctrlPr>
                            <w:rPr>
                              <w:rFonts w:ascii="Cambria Math" w:hAnsi="Cambria Math" w:cs="Arial"/>
                              <w:b/>
                              <w:bCs/>
                              <w:i/>
                              <w:sz w:val="18"/>
                              <w:szCs w:val="18"/>
                            </w:rPr>
                          </m:ctrlPr>
                        </m:e>
                        <m:sub>
                          <m:r>
                            <m:rPr>
                              <m:sty m:val="bi"/>
                            </m:rPr>
                            <w:rPr>
                              <w:rFonts w:ascii="Cambria Math" w:hAnsi="Cambria Math" w:cs="Arial"/>
                              <w:sz w:val="18"/>
                              <w:szCs w:val="18"/>
                              <w:lang w:val="en-US"/>
                            </w:rPr>
                            <m:t>0</m:t>
                          </m:r>
                          <m:ctrlPr>
                            <w:rPr>
                              <w:rFonts w:ascii="Cambria Math" w:hAnsi="Cambria Math" w:cs="Arial"/>
                              <w:b/>
                              <w:bCs/>
                              <w:i/>
                              <w:sz w:val="18"/>
                              <w:szCs w:val="18"/>
                            </w:rPr>
                          </m:ctrlPr>
                        </m:sub>
                      </m:sSub>
                      <m:ctrlPr>
                        <w:rPr>
                          <w:rFonts w:ascii="Cambria Math" w:hAnsi="Cambria Math" w:cs="Arial"/>
                          <w:b/>
                          <w:bCs/>
                          <w:i/>
                          <w:sz w:val="18"/>
                          <w:szCs w:val="18"/>
                        </w:rPr>
                      </m:ctrlPr>
                    </m:num>
                    <m:den>
                      <m:sSub>
                        <m:sSubPr>
                          <m:ctrlPr>
                            <w:rPr>
                              <w:rFonts w:ascii="Cambria Math" w:hAnsi="Cambria Math" w:cs="Arial"/>
                              <w:b/>
                              <w:bCs/>
                              <w:i/>
                              <w:sz w:val="18"/>
                              <w:szCs w:val="18"/>
                            </w:rPr>
                          </m:ctrlPr>
                        </m:sSubPr>
                        <m:e>
                          <m:r>
                            <m:rPr>
                              <m:sty m:val="bi"/>
                            </m:rPr>
                            <w:rPr>
                              <w:rFonts w:ascii="Cambria Math" w:hAnsi="Cambria Math" w:cs="Arial"/>
                              <w:sz w:val="18"/>
                              <w:szCs w:val="18"/>
                            </w:rPr>
                            <m:t>N</m:t>
                          </m:r>
                          <m:ctrlPr>
                            <w:rPr>
                              <w:rFonts w:ascii="Cambria Math" w:hAnsi="Cambria Math" w:cs="Arial"/>
                              <w:b/>
                              <w:bCs/>
                              <w:i/>
                              <w:sz w:val="18"/>
                              <w:szCs w:val="18"/>
                            </w:rPr>
                          </m:ctrlPr>
                        </m:e>
                        <m:sub>
                          <m:r>
                            <m:rPr>
                              <m:sty m:val="bi"/>
                            </m:rPr>
                            <w:rPr>
                              <w:rFonts w:ascii="Cambria Math" w:hAnsi="Cambria Math" w:cs="Arial"/>
                              <w:sz w:val="18"/>
                              <w:szCs w:val="18"/>
                            </w:rPr>
                            <m:t>T</m:t>
                          </m:r>
                          <m:ctrlPr>
                            <w:rPr>
                              <w:rFonts w:ascii="Cambria Math" w:hAnsi="Cambria Math" w:cs="Arial"/>
                              <w:b/>
                              <w:bCs/>
                              <w:i/>
                              <w:sz w:val="18"/>
                              <w:szCs w:val="18"/>
                            </w:rPr>
                          </m:ctrlP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ctrlPr>
                                <w:rPr>
                                  <w:rFonts w:ascii="Cambria Math" w:hAnsi="Cambria Math" w:cs="Arial"/>
                                  <w:b/>
                                  <w:bCs/>
                                  <w:i/>
                                  <w:sz w:val="18"/>
                                  <w:szCs w:val="18"/>
                                </w:rPr>
                              </m:ctrlPr>
                            </m:e>
                            <m:lim>
                              <m:r>
                                <m:rPr>
                                  <m:sty m:val="bi"/>
                                </m:rPr>
                                <w:rPr>
                                  <w:rFonts w:ascii="Cambria Math" w:hAnsi="Cambria Math" w:cs="Arial"/>
                                  <w:sz w:val="18"/>
                                  <w:szCs w:val="18"/>
                                </w:rPr>
                                <m:t>t</m:t>
                              </m:r>
                              <m:ctrlPr>
                                <w:rPr>
                                  <w:rFonts w:ascii="Cambria Math" w:hAnsi="Cambria Math" w:cs="Arial"/>
                                  <w:b/>
                                  <w:bCs/>
                                  <w:i/>
                                  <w:sz w:val="18"/>
                                  <w:szCs w:val="18"/>
                                </w:rPr>
                              </m:ctrlPr>
                            </m:lim>
                          </m:limLow>
                          <m:ctrlPr>
                            <w:rPr>
                              <w:rFonts w:ascii="Cambria Math" w:hAnsi="Cambria Math" w:cs="Arial"/>
                              <w:b/>
                              <w:bCs/>
                              <w:i/>
                              <w:sz w:val="18"/>
                              <w:szCs w:val="18"/>
                            </w:rPr>
                          </m:ctrlPr>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ctrlPr>
                                    <w:rPr>
                                      <w:rFonts w:ascii="Cambria Math" w:hAnsi="Cambria Math" w:cs="Arial"/>
                                      <w:b/>
                                      <w:bCs/>
                                      <w:i/>
                                      <w:sz w:val="18"/>
                                      <w:szCs w:val="18"/>
                                    </w:rPr>
                                  </m:ctrlPr>
                                </m:sub>
                                <m:sup>
                                  <m:r>
                                    <m:rPr>
                                      <m:sty m:val="bi"/>
                                    </m:rPr>
                                    <w:rPr>
                                      <w:rFonts w:ascii="Cambria Math" w:hAnsi="Cambria Math" w:cs="Arial"/>
                                      <w:sz w:val="18"/>
                                      <w:szCs w:val="18"/>
                                    </w:rPr>
                                    <m:t>ν</m:t>
                                  </m:r>
                                  <m:ctrlPr>
                                    <w:rPr>
                                      <w:rFonts w:ascii="Cambria Math" w:hAnsi="Cambria Math" w:cs="Arial"/>
                                      <w:b/>
                                      <w:bCs/>
                                      <w:i/>
                                      <w:sz w:val="18"/>
                                      <w:szCs w:val="18"/>
                                    </w:rPr>
                                  </m:ctrlP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ctrlPr>
                                                <w:rPr>
                                                  <w:rFonts w:ascii="Cambria Math" w:hAnsi="Cambria Math" w:cs="Arial"/>
                                                  <w:b/>
                                                  <w:bCs/>
                                                  <w:i/>
                                                  <w:sz w:val="18"/>
                                                  <w:szCs w:val="18"/>
                                                </w:rPr>
                                              </m:ctrlP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ctrlPr>
                                                <w:rPr>
                                                  <w:rFonts w:ascii="Cambria Math" w:hAnsi="Cambria Math" w:cs="Arial"/>
                                                  <w:b/>
                                                  <w:bCs/>
                                                  <w:i/>
                                                  <w:sz w:val="18"/>
                                                  <w:szCs w:val="18"/>
                                                </w:rPr>
                                              </m:ctrlPr>
                                            </m:sub>
                                          </m:sSub>
                                          <m:ctrlPr>
                                            <w:rPr>
                                              <w:rFonts w:ascii="Cambria Math" w:hAnsi="Cambria Math" w:cs="Arial"/>
                                              <w:b/>
                                              <w:bCs/>
                                              <w:i/>
                                              <w:sz w:val="18"/>
                                              <w:szCs w:val="18"/>
                                            </w:rPr>
                                          </m:ctrlPr>
                                        </m:e>
                                      </m:d>
                                      <m:ctrlPr>
                                        <w:rPr>
                                          <w:rFonts w:ascii="Cambria Math" w:hAnsi="Cambria Math" w:cs="Arial"/>
                                          <w:b/>
                                          <w:bCs/>
                                          <w:i/>
                                          <w:sz w:val="18"/>
                                          <w:szCs w:val="18"/>
                                        </w:rPr>
                                      </m:ctrlPr>
                                    </m:e>
                                    <m:sup>
                                      <m:r>
                                        <m:rPr>
                                          <m:sty m:val="bi"/>
                                        </m:rPr>
                                        <w:rPr>
                                          <w:rFonts w:ascii="Cambria Math" w:hAnsi="Cambria Math" w:cs="Arial"/>
                                          <w:sz w:val="18"/>
                                          <w:szCs w:val="18"/>
                                          <w:lang w:val="en-US"/>
                                        </w:rPr>
                                        <m:t>2</m:t>
                                      </m:r>
                                      <m:ctrlPr>
                                        <w:rPr>
                                          <w:rFonts w:ascii="Cambria Math" w:hAnsi="Cambria Math" w:cs="Arial"/>
                                          <w:b/>
                                          <w:bCs/>
                                          <w:i/>
                                          <w:sz w:val="18"/>
                                          <w:szCs w:val="18"/>
                                        </w:rPr>
                                      </m:ctrlPr>
                                    </m:sup>
                                  </m:sSup>
                                  <m:ctrlPr>
                                    <w:rPr>
                                      <w:rFonts w:ascii="Cambria Math" w:hAnsi="Cambria Math" w:cs="Arial"/>
                                      <w:b/>
                                      <w:bCs/>
                                      <w:i/>
                                      <w:sz w:val="18"/>
                                      <w:szCs w:val="18"/>
                                    </w:rPr>
                                  </m:ctrlPr>
                                </m:e>
                              </m:nary>
                              <m:ctrlPr>
                                <w:rPr>
                                  <w:rFonts w:ascii="Cambria Math" w:hAnsi="Cambria Math" w:cs="Arial"/>
                                  <w:b/>
                                  <w:bCs/>
                                  <w:i/>
                                  <w:sz w:val="18"/>
                                  <w:szCs w:val="18"/>
                                </w:rPr>
                              </m:ctrlPr>
                            </m:e>
                          </m:d>
                          <m:ctrlPr>
                            <w:rPr>
                              <w:rFonts w:ascii="Cambria Math" w:hAnsi="Cambria Math" w:cs="Arial"/>
                              <w:b/>
                              <w:bCs/>
                              <w:i/>
                              <w:sz w:val="18"/>
                              <w:szCs w:val="18"/>
                            </w:rPr>
                          </m:ctrlPr>
                        </m:e>
                      </m:func>
                      <m:ctrlPr>
                        <w:rPr>
                          <w:rFonts w:ascii="Cambria Math" w:hAnsi="Cambria Math" w:cs="Arial"/>
                          <w:b/>
                          <w:bCs/>
                          <w:i/>
                          <w:sz w:val="18"/>
                          <w:szCs w:val="18"/>
                        </w:rPr>
                      </m:ctrlPr>
                    </m:den>
                  </m:f>
                  <m:ctrlPr>
                    <w:rPr>
                      <w:rFonts w:ascii="Cambria Math" w:hAnsi="Cambria Math" w:cs="Arial"/>
                      <w:b/>
                      <w:bCs/>
                      <w:i/>
                      <w:sz w:val="18"/>
                      <w:szCs w:val="18"/>
                    </w:rPr>
                  </m:ctrlPr>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ctrlPr>
                    <w:rPr>
                      <w:rFonts w:ascii="Cambria Math" w:hAnsi="Cambria Math" w:cs="Arial"/>
                      <w:b/>
                      <w:bCs/>
                      <w:i/>
                      <w:sz w:val="18"/>
                      <w:szCs w:val="18"/>
                    </w:rPr>
                  </m:ctrlPr>
                </m:e>
                <m:sub>
                  <m:r>
                    <m:rPr>
                      <m:sty m:val="bi"/>
                    </m:rPr>
                    <w:rPr>
                      <w:rFonts w:ascii="Cambria Math" w:hAnsi="Cambria Math" w:cs="Arial"/>
                      <w:sz w:val="18"/>
                      <w:szCs w:val="18"/>
                    </w:rPr>
                    <m:t>T</m:t>
                  </m:r>
                  <m:ctrlPr>
                    <w:rPr>
                      <w:rFonts w:ascii="Cambria Math" w:hAnsi="Cambria Math" w:cs="Arial"/>
                      <w:b/>
                      <w:bCs/>
                      <w:i/>
                      <w:sz w:val="18"/>
                      <w:szCs w:val="18"/>
                    </w:rPr>
                  </m:ctrlP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p w14:paraId="06E0383F">
            <w:pPr>
              <w:numPr>
                <w:ilvl w:val="1"/>
                <w:numId w:val="36"/>
              </w:numPr>
              <w:overflowPunct/>
              <w:autoSpaceDE/>
              <w:autoSpaceDN/>
              <w:adjustRightInd/>
              <w:spacing w:after="0"/>
              <w:textAlignment w:val="auto"/>
              <w:rPr>
                <w:b/>
                <w:bCs/>
                <w:sz w:val="18"/>
                <w:szCs w:val="18"/>
              </w:rPr>
            </w:pPr>
            <m:oMath>
              <m:sSub>
                <w:bookmarkStart w:id="20" w:name="_Hlk179205639"/>
                <m:sSubPr>
                  <m:ctrlPr>
                    <w:rPr>
                      <w:rFonts w:ascii="Cambria Math" w:hAnsi="Cambria Math"/>
                      <w:b/>
                      <w:bCs/>
                      <w:i/>
                      <w:sz w:val="18"/>
                      <w:szCs w:val="18"/>
                    </w:rPr>
                  </m:ctrlPr>
                </m:sSubPr>
                <m:e>
                  <m:r>
                    <m:rPr>
                      <m:sty m:val="bi"/>
                    </m:rPr>
                    <w:rPr>
                      <w:rFonts w:ascii="Cambria Math" w:hAnsi="Cambria Math"/>
                      <w:sz w:val="18"/>
                      <w:szCs w:val="18"/>
                    </w:rPr>
                    <m:t>P</m:t>
                  </m:r>
                  <m:ctrlPr>
                    <w:rPr>
                      <w:rFonts w:ascii="Cambria Math" w:hAnsi="Cambria Math"/>
                      <w:b/>
                      <w:bCs/>
                      <w:i/>
                      <w:sz w:val="18"/>
                      <w:szCs w:val="18"/>
                    </w:rPr>
                  </m:ctrlPr>
                </m:e>
                <m:sub>
                  <m:r>
                    <m:rPr>
                      <m:sty m:val="bi"/>
                    </m:rPr>
                    <w:rPr>
                      <w:rFonts w:ascii="Cambria Math" w:hAnsi="Cambria Math"/>
                      <w:sz w:val="18"/>
                      <w:szCs w:val="18"/>
                    </w:rPr>
                    <m:t>T</m:t>
                  </m:r>
                  <m:ctrlPr>
                    <w:rPr>
                      <w:rFonts w:ascii="Cambria Math" w:hAnsi="Cambria Math"/>
                      <w:b/>
                      <w:bCs/>
                      <w:i/>
                      <w:sz w:val="18"/>
                      <w:szCs w:val="18"/>
                    </w:rPr>
                  </m:ctrlPr>
                </m:sub>
              </m:sSub>
            </m:oMath>
            <w:r>
              <w:rPr>
                <w:rFonts w:eastAsiaTheme="minorEastAsia"/>
                <w:b/>
                <w:bCs/>
                <w:sz w:val="18"/>
                <w:szCs w:val="18"/>
                <w:lang w:val="en-US"/>
              </w:rPr>
              <w:t xml:space="preserve"> is the nominal EPRE across the antenna ports,</w:t>
            </w:r>
          </w:p>
          <w:bookmarkEnd w:id="20"/>
          <w:p w14:paraId="3A0C518B">
            <w:pPr>
              <w:numPr>
                <w:ilvl w:val="1"/>
                <w:numId w:val="36"/>
              </w:numPr>
              <w:overflowPunct/>
              <w:autoSpaceDE/>
              <w:autoSpaceDN/>
              <w:adjustRightInd/>
              <w:spacing w:after="0"/>
              <w:textAlignment w:val="auto"/>
              <w:rPr>
                <w:b/>
                <w:bCs/>
                <w:sz w:val="18"/>
                <w:szCs w:val="18"/>
              </w:rPr>
            </w:pPr>
            <w:bookmarkStart w:id="21" w:name="_Hlk179205669"/>
            <m:oMath>
              <m:sSub>
                <m:sSubPr>
                  <m:ctrlPr>
                    <w:rPr>
                      <w:rFonts w:ascii="Cambria Math" w:hAnsi="Cambria Math"/>
                      <w:b/>
                      <w:bCs/>
                      <w:i/>
                      <w:sz w:val="18"/>
                      <w:szCs w:val="18"/>
                    </w:rPr>
                  </m:ctrlPr>
                </m:sSubPr>
                <m:e>
                  <m:r>
                    <m:rPr>
                      <m:sty m:val="bi"/>
                    </m:rPr>
                    <w:rPr>
                      <w:rFonts w:ascii="Cambria Math" w:hAnsi="Cambria Math"/>
                      <w:sz w:val="18"/>
                      <w:szCs w:val="18"/>
                    </w:rPr>
                    <m:t>w</m:t>
                  </m:r>
                  <m:ctrlPr>
                    <w:rPr>
                      <w:rFonts w:ascii="Cambria Math" w:hAnsi="Cambria Math"/>
                      <w:b/>
                      <w:bCs/>
                      <w:i/>
                      <w:sz w:val="18"/>
                      <w:szCs w:val="18"/>
                    </w:rPr>
                  </m:ctrlP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ctrlPr>
                    <w:rPr>
                      <w:rFonts w:ascii="Cambria Math" w:hAnsi="Cambria Math"/>
                      <w:b/>
                      <w:bCs/>
                      <w:i/>
                      <w:sz w:val="18"/>
                      <w:szCs w:val="18"/>
                    </w:rPr>
                  </m:ctrlPr>
                </m:sub>
              </m:sSub>
            </m:oMath>
            <w:r>
              <w:rPr>
                <w:rFonts w:eastAsiaTheme="minorEastAsia"/>
                <w:b/>
                <w:bCs/>
                <w:sz w:val="18"/>
                <w:szCs w:val="18"/>
                <w:lang w:val="en-US"/>
              </w:rPr>
              <w:t xml:space="preserve"> is the precoder, from a non-constant modulus codebook, coefficient associated to antenna port </w:t>
            </w:r>
            <m:oMath>
              <m:r>
                <m:rPr>
                  <m:sty m:val="bi"/>
                </m:rPr>
                <w:rPr>
                  <w:rFonts w:ascii="Cambria Math" w:hAnsi="Cambria Math" w:eastAsiaTheme="minorEastAsia"/>
                  <w:sz w:val="18"/>
                  <w:szCs w:val="18"/>
                  <w:lang w:val="en-US"/>
                </w:rPr>
                <m:t>t∈{1,…,</m:t>
              </m:r>
              <m:sSub>
                <m:sSubPr>
                  <m:ctrlPr>
                    <w:rPr>
                      <w:rFonts w:ascii="Cambria Math" w:hAnsi="Cambria Math" w:eastAsiaTheme="minorEastAsia"/>
                      <w:b/>
                      <w:bCs/>
                      <w:i/>
                      <w:sz w:val="18"/>
                      <w:szCs w:val="18"/>
                      <w:lang w:val="en-US"/>
                    </w:rPr>
                  </m:ctrlPr>
                </m:sSubPr>
                <m:e>
                  <m:r>
                    <m:rPr>
                      <m:sty m:val="bi"/>
                    </m:rPr>
                    <w:rPr>
                      <w:rFonts w:ascii="Cambria Math" w:hAnsi="Cambria Math" w:eastAsiaTheme="minorEastAsia"/>
                      <w:sz w:val="18"/>
                      <w:szCs w:val="18"/>
                      <w:lang w:val="en-US"/>
                    </w:rPr>
                    <m:t>N</m:t>
                  </m:r>
                  <m:ctrlPr>
                    <w:rPr>
                      <w:rFonts w:ascii="Cambria Math" w:hAnsi="Cambria Math" w:eastAsiaTheme="minorEastAsia"/>
                      <w:b/>
                      <w:bCs/>
                      <w:i/>
                      <w:sz w:val="18"/>
                      <w:szCs w:val="18"/>
                      <w:lang w:val="en-US"/>
                    </w:rPr>
                  </m:ctrlPr>
                </m:e>
                <m:sub>
                  <m:r>
                    <m:rPr>
                      <m:sty m:val="bi"/>
                    </m:rPr>
                    <w:rPr>
                      <w:rFonts w:ascii="Cambria Math" w:hAnsi="Cambria Math" w:eastAsiaTheme="minorEastAsia"/>
                      <w:sz w:val="18"/>
                      <w:szCs w:val="18"/>
                      <w:lang w:val="en-US"/>
                    </w:rPr>
                    <m:t>T</m:t>
                  </m:r>
                  <m:ctrlPr>
                    <w:rPr>
                      <w:rFonts w:ascii="Cambria Math" w:hAnsi="Cambria Math" w:eastAsiaTheme="minorEastAsia"/>
                      <w:b/>
                      <w:bCs/>
                      <w:i/>
                      <w:sz w:val="18"/>
                      <w:szCs w:val="18"/>
                      <w:lang w:val="en-US"/>
                    </w:rPr>
                  </m:ctrlPr>
                </m:sub>
              </m:sSub>
              <m:r>
                <m:rPr>
                  <m:sty m:val="bi"/>
                </m:rPr>
                <w:rPr>
                  <w:rFonts w:ascii="Cambria Math" w:hAnsi="Cambria Math" w:eastAsiaTheme="minorEastAsia"/>
                  <w:sz w:val="18"/>
                  <w:szCs w:val="18"/>
                  <w:lang w:val="en-US"/>
                </w:rPr>
                <m:t>}</m:t>
              </m:r>
            </m:oMath>
            <w:r>
              <w:rPr>
                <w:rFonts w:eastAsiaTheme="minorEastAsia"/>
                <w:b/>
                <w:bCs/>
                <w:sz w:val="18"/>
                <w:szCs w:val="18"/>
                <w:lang w:val="en-US"/>
              </w:rPr>
              <w:t xml:space="preserve">  and spatial layer</w:t>
            </w:r>
            <m:oMath>
              <m:r>
                <m:rPr>
                  <m:sty m:val="bi"/>
                </m:rPr>
                <w:rPr>
                  <w:rFonts w:ascii="Cambria Math" w:hAnsi="Cambria Math" w:eastAsiaTheme="minorEastAsia"/>
                  <w:sz w:val="18"/>
                  <w:szCs w:val="18"/>
                  <w:lang w:val="en-US"/>
                </w:rPr>
                <m:t xml:space="preserve"> l∈{1,…,ν}</m:t>
              </m:r>
              <w:bookmarkEnd w:id="21"/>
            </m:oMath>
            <w:r>
              <w:rPr>
                <w:rFonts w:eastAsiaTheme="minorEastAsia"/>
                <w:b/>
                <w:bCs/>
                <w:sz w:val="18"/>
                <w:szCs w:val="18"/>
                <w:lang w:val="en-US"/>
              </w:rPr>
              <w:t>,</w:t>
            </w:r>
          </w:p>
          <w:p w14:paraId="7BB0315E">
            <w:pPr>
              <w:overflowPunct w:val="0"/>
              <w:autoSpaceDE w:val="0"/>
              <w:autoSpaceDN w:val="0"/>
              <w:adjustRightInd w:val="0"/>
              <w:spacing w:after="180"/>
              <w:ind w:left="720"/>
              <w:textAlignment w:val="baseline"/>
              <w:rPr>
                <w:b/>
                <w:bCs/>
                <w:sz w:val="18"/>
                <w:szCs w:val="18"/>
              </w:rPr>
            </w:pPr>
            <w:r>
              <w:rPr>
                <w:b/>
                <w:bCs/>
                <w:sz w:val="18"/>
                <w:szCs w:val="18"/>
              </w:rPr>
              <w:t>for CSI computation of the enhanced Type-II codebooks listed above.</w:t>
            </w:r>
          </w:p>
          <w:p w14:paraId="4AB31CE7">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234"/>
                <w:bCs/>
                <w:sz w:val="18"/>
                <w:szCs w:val="18"/>
                <w:lang w:val="en-US"/>
              </w:rPr>
              <w:t>above does not imply specific PA architecture implementation in gNodeB</w:t>
            </w:r>
          </w:p>
          <w:p w14:paraId="403A7D28">
            <w:pPr>
              <w:overflowPunct w:val="0"/>
              <w:autoSpaceDE w:val="0"/>
              <w:autoSpaceDN w:val="0"/>
              <w:adjustRightInd w:val="0"/>
              <w:spacing w:after="180"/>
              <w:jc w:val="both"/>
              <w:textAlignment w:val="baseline"/>
              <w:rPr>
                <w:b/>
                <w:bCs/>
                <w:sz w:val="18"/>
                <w:szCs w:val="18"/>
              </w:rPr>
            </w:pPr>
          </w:p>
          <w:p w14:paraId="51693710">
            <w:pPr>
              <w:overflowPunct w:val="0"/>
              <w:autoSpaceDE w:val="0"/>
              <w:autoSpaceDN w:val="0"/>
              <w:adjustRightInd w:val="0"/>
              <w:spacing w:after="180"/>
              <w:jc w:val="both"/>
              <w:textAlignment w:val="baseline"/>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77B07572">
      <w:pPr>
        <w:rPr>
          <w:b/>
        </w:rPr>
      </w:pPr>
    </w:p>
    <w:p w14:paraId="74EFE552">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14:paraId="56B56DD1">
      <w:pPr>
        <w:rPr>
          <w:rFonts w:ascii="Arial" w:hAnsi="Arial" w:eastAsia="MS Mincho"/>
          <w:sz w:val="32"/>
          <w:szCs w:val="32"/>
        </w:rPr>
      </w:pPr>
    </w:p>
    <w:p w14:paraId="706E8032">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9</w:t>
      </w:r>
    </w:p>
    <w:p w14:paraId="34CF173E">
      <w:pPr>
        <w:pStyle w:val="108"/>
        <w:numPr>
          <w:ilvl w:val="0"/>
          <w:numId w:val="20"/>
        </w:numPr>
        <w:ind w:leftChars="0"/>
        <w:jc w:val="both"/>
        <w:rPr>
          <w:b/>
        </w:rPr>
      </w:pPr>
      <w:r>
        <w:rPr>
          <w:rFonts w:hint="eastAsia"/>
          <w:b/>
        </w:rPr>
        <w:t>For enhanced type II codebook, enhanced type II port selection codebook, and their evolutions, introduce the following RRC parameter.</w:t>
      </w:r>
    </w:p>
    <w:p w14:paraId="5D0CD2E8">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DeltaPower containing an offset </w:t>
      </w:r>
      <w:r>
        <w:rPr>
          <w:b/>
          <w:bCs/>
          <w:i/>
          <w:iCs/>
          <w:sz w:val="22"/>
          <w:szCs w:val="22"/>
        </w:rPr>
        <w:t>DeltaPowerPerAP</w:t>
      </w:r>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mcs>
                  <m:mc>
                    <m:mcPr>
                      <m:count m:val="1"/>
                      <m:mcJc m:val="left"/>
                    </m:mcPr>
                  </m:mc>
                </m:mcs>
                <m:cGp m:val="8"/>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ctrlPr>
                        <w:rPr>
                          <w:rFonts w:ascii="Cambria Math" w:hAnsi="Cambria Math"/>
                          <w:b/>
                          <w:bCs/>
                          <w:i/>
                          <w:sz w:val="22"/>
                          <w:szCs w:val="22"/>
                        </w:rPr>
                      </m:ctrlPr>
                    </m:sub>
                    <m:sup>
                      <m:r>
                        <m:rPr>
                          <m:sty m:val="bi"/>
                        </m:rPr>
                        <w:rPr>
                          <w:rFonts w:ascii="Cambria Math" w:hAnsi="Cambria Math"/>
                          <w:sz w:val="22"/>
                          <w:szCs w:val="22"/>
                        </w:rPr>
                        <m:t>ν</m:t>
                      </m:r>
                      <m:ctrlPr>
                        <w:rPr>
                          <w:rFonts w:ascii="Cambria Math" w:hAnsi="Cambria Math"/>
                          <w:b/>
                          <w:bCs/>
                          <w:i/>
                          <w:sz w:val="22"/>
                          <w:szCs w:val="22"/>
                        </w:rPr>
                      </m:ctrlP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ctrlPr>
                                    <w:rPr>
                                      <w:rFonts w:ascii="Cambria Math" w:hAnsi="Cambria Math"/>
                                      <w:b/>
                                      <w:bCs/>
                                      <w:i/>
                                      <w:sz w:val="22"/>
                                      <w:szCs w:val="22"/>
                                    </w:rPr>
                                  </m:ctrlPr>
                                </m:e>
                                <m:sub>
                                  <m:r>
                                    <m:rPr>
                                      <m:sty m:val="bi"/>
                                    </m:rPr>
                                    <w:rPr>
                                      <w:rFonts w:ascii="Cambria Math" w:hAnsi="Cambria Math"/>
                                      <w:sz w:val="22"/>
                                      <w:szCs w:val="22"/>
                                    </w:rPr>
                                    <m:t>t,l</m:t>
                                  </m:r>
                                  <m:ctrlPr>
                                    <w:rPr>
                                      <w:rFonts w:ascii="Cambria Math" w:hAnsi="Cambria Math"/>
                                      <w:b/>
                                      <w:bCs/>
                                      <w:i/>
                                      <w:sz w:val="22"/>
                                      <w:szCs w:val="22"/>
                                    </w:rPr>
                                  </m:ctrlPr>
                                </m:sub>
                              </m:sSub>
                              <m:ctrlPr>
                                <w:rPr>
                                  <w:rFonts w:ascii="Cambria Math" w:hAnsi="Cambria Math"/>
                                  <w:b/>
                                  <w:bCs/>
                                  <w:i/>
                                  <w:sz w:val="22"/>
                                  <w:szCs w:val="22"/>
                                </w:rPr>
                              </m:ctrlPr>
                            </m:e>
                          </m:d>
                          <m:ctrlPr>
                            <w:rPr>
                              <w:rFonts w:ascii="Cambria Math" w:hAnsi="Cambria Math"/>
                              <w:b/>
                              <w:bCs/>
                              <w:i/>
                              <w:sz w:val="22"/>
                              <w:szCs w:val="22"/>
                            </w:rPr>
                          </m:ctrlPr>
                        </m:e>
                        <m:sup>
                          <m:r>
                            <m:rPr>
                              <m:sty m:val="bi"/>
                            </m:rPr>
                            <w:rPr>
                              <w:rFonts w:ascii="Cambria Math" w:hAnsi="Cambria Math"/>
                              <w:sz w:val="22"/>
                              <w:szCs w:val="22"/>
                            </w:rPr>
                            <m:t>2</m:t>
                          </m:r>
                          <m:ctrlPr>
                            <w:rPr>
                              <w:rFonts w:ascii="Cambria Math" w:hAnsi="Cambria Math"/>
                              <w:b/>
                              <w:bCs/>
                              <w:i/>
                              <w:sz w:val="22"/>
                              <w:szCs w:val="22"/>
                            </w:rPr>
                          </m:ctrlPr>
                        </m:sup>
                      </m:sSup>
                      <m:ctrlPr>
                        <w:rPr>
                          <w:rFonts w:ascii="Cambria Math" w:hAnsi="Cambria Math"/>
                          <w:b/>
                          <w:bCs/>
                          <w:i/>
                          <w:sz w:val="22"/>
                          <w:szCs w:val="22"/>
                        </w:rPr>
                      </m:ctrlPr>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ctrlPr>
                        <w:rPr>
                          <w:rFonts w:ascii="Cambria Math" w:hAnsi="Cambria Math"/>
                          <w:b/>
                          <w:bCs/>
                          <w:i/>
                          <w:sz w:val="22"/>
                          <w:szCs w:val="22"/>
                        </w:rPr>
                      </m:ctrlPr>
                    </m:num>
                    <m:den>
                      <m:sSub>
                        <m:sSubPr>
                          <m:ctrlPr>
                            <w:rPr>
                              <w:rFonts w:ascii="Cambria Math" w:hAnsi="Cambria Math"/>
                              <w:b/>
                              <w:bCs/>
                              <w:i/>
                              <w:sz w:val="22"/>
                              <w:szCs w:val="22"/>
                            </w:rPr>
                          </m:ctrlPr>
                        </m:sSubPr>
                        <m:e>
                          <m:r>
                            <m:rPr>
                              <m:sty m:val="bi"/>
                            </m:rPr>
                            <w:rPr>
                              <w:rFonts w:ascii="Cambria Math" w:hAnsi="Cambria Math"/>
                              <w:sz w:val="22"/>
                              <w:szCs w:val="22"/>
                            </w:rPr>
                            <m:t>N</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ctrlPr>
                        <w:rPr>
                          <w:rFonts w:ascii="Cambria Math" w:hAnsi="Cambria Math"/>
                          <w:b/>
                          <w:bCs/>
                          <w:i/>
                          <w:sz w:val="22"/>
                          <w:szCs w:val="22"/>
                        </w:rPr>
                      </m:ctrlPr>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ctrlPr>
                        <w:rPr>
                          <w:rFonts w:ascii="Cambria Math" w:hAnsi="Cambria Math"/>
                          <w:b/>
                          <w:bCs/>
                          <w:i/>
                          <w:sz w:val="22"/>
                          <w:szCs w:val="22"/>
                        </w:rPr>
                      </m:ctrlPr>
                    </m:e>
                  </m:d>
                  <m:r>
                    <m:rPr>
                      <m:sty m:val="bi"/>
                    </m:rPr>
                    <w:rPr>
                      <w:rFonts w:ascii="Cambria Math" w:hAnsi="Cambria Math"/>
                      <w:sz w:val="22"/>
                      <w:szCs w:val="22"/>
                    </w:rPr>
                    <m:t xml:space="preserve">  </m:t>
                  </m:r>
                  <m:ctrlPr>
                    <w:rPr>
                      <w:rFonts w:ascii="Cambria Math" w:hAnsi="Cambria Math"/>
                      <w:b/>
                      <w:bCs/>
                      <w:i/>
                      <w:sz w:val="22"/>
                      <w:szCs w:val="22"/>
                    </w:rPr>
                  </m:ctrlP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r>
                    <m:rPr>
                      <m:sty m:val="bi"/>
                    </m:rPr>
                    <w:rPr>
                      <w:rFonts w:ascii="Cambria Math" w:hAnsi="Cambria Math"/>
                      <w:sz w:val="22"/>
                      <w:szCs w:val="22"/>
                    </w:rPr>
                    <m:t xml:space="preserve">                                                             </m:t>
                  </m:r>
                  <m:ctrlPr>
                    <w:rPr>
                      <w:rFonts w:ascii="Cambria Math" w:hAnsi="Cambria Math"/>
                      <w:b/>
                      <w:bCs/>
                      <w:i/>
                      <w:sz w:val="22"/>
                      <w:szCs w:val="22"/>
                    </w:rPr>
                  </m:ctrlPr>
                </m:e>
              </m:mr>
            </m:m>
            <m:ctrlPr>
              <w:rPr>
                <w:rFonts w:ascii="Cambria Math" w:hAnsi="Cambria Math"/>
                <w:b/>
                <w:bCs/>
                <w:i/>
                <w:sz w:val="22"/>
                <w:szCs w:val="22"/>
              </w:rPr>
            </m:ctrlPr>
          </m:e>
        </m:d>
      </m:oMath>
      <w:r>
        <w:rPr>
          <w:rFonts w:hint="eastAsia"/>
          <w:b/>
          <w:bCs/>
          <w:sz w:val="22"/>
          <w:szCs w:val="22"/>
        </w:rPr>
        <w:t xml:space="preserve"> for CSI computation.</w:t>
      </w:r>
    </w:p>
    <w:p w14:paraId="4309D084">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ctrlPr>
              <w:rPr>
                <w:rFonts w:ascii="Cambria Math" w:hAnsi="Cambria Math"/>
                <w:b/>
                <w:bCs/>
                <w:i/>
                <w:sz w:val="22"/>
                <w:szCs w:val="22"/>
              </w:rPr>
            </m:ctrlPr>
          </m:e>
          <m:sub>
            <m:r>
              <m:rPr>
                <m:sty m:val="bi"/>
              </m:rPr>
              <w:rPr>
                <w:rFonts w:ascii="Cambria Math" w:hAnsi="Cambria Math"/>
                <w:sz w:val="22"/>
                <w:szCs w:val="22"/>
              </w:rPr>
              <m:t>0</m:t>
            </m:r>
            <m:ctrlPr>
              <w:rPr>
                <w:rFonts w:ascii="Cambria Math" w:hAnsi="Cambria Math"/>
                <w:b/>
                <w:bCs/>
                <w:i/>
                <w:sz w:val="22"/>
                <w:szCs w:val="22"/>
              </w:rPr>
            </m:ctrlP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hAnsi="Cambria Math" w:eastAsiaTheme="minorEastAsia"/>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ctrlPr>
              <w:rPr>
                <w:rFonts w:ascii="Cambria Math" w:hAnsi="Cambria Math" w:cs="Arial"/>
                <w:b/>
                <w:bCs/>
                <w:i/>
                <w:sz w:val="22"/>
                <w:szCs w:val="22"/>
              </w:rPr>
            </m:ctrlP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ctrlPr>
                      <w:rPr>
                        <w:rFonts w:ascii="Cambria Math" w:hAnsi="Cambria Math" w:cs="Arial"/>
                        <w:b/>
                        <w:bCs/>
                        <w:i/>
                        <w:sz w:val="22"/>
                        <w:szCs w:val="22"/>
                      </w:rPr>
                    </m:ctrlPr>
                  </m:e>
                  <m:sub>
                    <m:r>
                      <m:rPr>
                        <m:sty m:val="bi"/>
                      </m:rPr>
                      <w:rPr>
                        <w:rFonts w:ascii="Cambria Math" w:hAnsi="Cambria Math" w:cs="Arial"/>
                        <w:sz w:val="22"/>
                        <w:szCs w:val="22"/>
                      </w:rPr>
                      <m:t>T</m:t>
                    </m:r>
                    <m:ctrlPr>
                      <w:rPr>
                        <w:rFonts w:ascii="Cambria Math" w:hAnsi="Cambria Math" w:cs="Arial"/>
                        <w:b/>
                        <w:bCs/>
                        <w:i/>
                        <w:sz w:val="22"/>
                        <w:szCs w:val="22"/>
                      </w:rPr>
                    </m:ctrlP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ctrlPr>
                      <w:rPr>
                        <w:rFonts w:ascii="Cambria Math" w:hAnsi="Cambria Math" w:cs="Arial"/>
                        <w:b/>
                        <w:bCs/>
                        <w:i/>
                        <w:sz w:val="22"/>
                        <w:szCs w:val="22"/>
                      </w:rPr>
                    </m:ctrlPr>
                  </m:e>
                  <m:sub>
                    <m:r>
                      <m:rPr>
                        <m:sty m:val="bi"/>
                      </m:rPr>
                      <w:rPr>
                        <w:rFonts w:ascii="Cambria Math" w:hAnsi="Cambria Math" w:cs="Arial"/>
                        <w:sz w:val="22"/>
                        <w:szCs w:val="22"/>
                        <w:lang w:val="en-US"/>
                      </w:rPr>
                      <m:t>0</m:t>
                    </m:r>
                    <m:ctrlPr>
                      <w:rPr>
                        <w:rFonts w:ascii="Cambria Math" w:hAnsi="Cambria Math" w:cs="Arial"/>
                        <w:b/>
                        <w:bCs/>
                        <w:i/>
                        <w:sz w:val="22"/>
                        <w:szCs w:val="22"/>
                      </w:rPr>
                    </m:ctrlPr>
                  </m:sub>
                </m:sSub>
                <m:ctrlPr>
                  <w:rPr>
                    <w:rFonts w:ascii="Cambria Math" w:hAnsi="Cambria Math" w:cs="Arial"/>
                    <w:b/>
                    <w:bCs/>
                    <w:i/>
                    <w:sz w:val="22"/>
                    <w:szCs w:val="22"/>
                  </w:rPr>
                </m:ctrlPr>
              </m:num>
              <m:den>
                <m:sSub>
                  <m:sSubPr>
                    <m:ctrlPr>
                      <w:rPr>
                        <w:rFonts w:ascii="Cambria Math" w:hAnsi="Cambria Math" w:cs="Arial"/>
                        <w:b/>
                        <w:bCs/>
                        <w:i/>
                        <w:sz w:val="22"/>
                        <w:szCs w:val="22"/>
                      </w:rPr>
                    </m:ctrlPr>
                  </m:sSubPr>
                  <m:e>
                    <m:r>
                      <m:rPr>
                        <m:sty m:val="bi"/>
                      </m:rPr>
                      <w:rPr>
                        <w:rFonts w:ascii="Cambria Math" w:hAnsi="Cambria Math" w:cs="Arial"/>
                        <w:sz w:val="22"/>
                        <w:szCs w:val="22"/>
                      </w:rPr>
                      <m:t>N</m:t>
                    </m:r>
                    <m:ctrlPr>
                      <w:rPr>
                        <w:rFonts w:ascii="Cambria Math" w:hAnsi="Cambria Math" w:cs="Arial"/>
                        <w:b/>
                        <w:bCs/>
                        <w:i/>
                        <w:sz w:val="22"/>
                        <w:szCs w:val="22"/>
                      </w:rPr>
                    </m:ctrlPr>
                  </m:e>
                  <m:sub>
                    <m:r>
                      <m:rPr>
                        <m:sty m:val="bi"/>
                      </m:rPr>
                      <w:rPr>
                        <w:rFonts w:ascii="Cambria Math" w:hAnsi="Cambria Math" w:cs="Arial"/>
                        <w:sz w:val="22"/>
                        <w:szCs w:val="22"/>
                      </w:rPr>
                      <m:t>T</m:t>
                    </m:r>
                    <m:ctrlPr>
                      <w:rPr>
                        <w:rFonts w:ascii="Cambria Math" w:hAnsi="Cambria Math" w:cs="Arial"/>
                        <w:b/>
                        <w:bCs/>
                        <w:i/>
                        <w:sz w:val="22"/>
                        <w:szCs w:val="22"/>
                      </w:rPr>
                    </m:ctrlP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ctrlPr>
                          <w:rPr>
                            <w:rFonts w:ascii="Cambria Math" w:hAnsi="Cambria Math" w:cs="Arial"/>
                            <w:b/>
                            <w:bCs/>
                            <w:i/>
                            <w:sz w:val="22"/>
                            <w:szCs w:val="22"/>
                          </w:rPr>
                        </m:ctrlPr>
                      </m:e>
                      <m:lim>
                        <m:r>
                          <m:rPr>
                            <m:sty m:val="bi"/>
                          </m:rPr>
                          <w:rPr>
                            <w:rFonts w:ascii="Cambria Math" w:hAnsi="Cambria Math" w:cs="Arial"/>
                            <w:sz w:val="22"/>
                            <w:szCs w:val="22"/>
                          </w:rPr>
                          <m:t>t</m:t>
                        </m:r>
                        <m:ctrlPr>
                          <w:rPr>
                            <w:rFonts w:ascii="Cambria Math" w:hAnsi="Cambria Math" w:cs="Arial"/>
                            <w:b/>
                            <w:bCs/>
                            <w:i/>
                            <w:sz w:val="22"/>
                            <w:szCs w:val="22"/>
                          </w:rPr>
                        </m:ctrlPr>
                      </m:lim>
                    </m:limLow>
                    <m:ctrlPr>
                      <w:rPr>
                        <w:rFonts w:ascii="Cambria Math" w:hAnsi="Cambria Math" w:cs="Arial"/>
                        <w:b/>
                        <w:bCs/>
                        <w:i/>
                        <w:sz w:val="22"/>
                        <w:szCs w:val="22"/>
                      </w:rPr>
                    </m:ctrlPr>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ctrlPr>
                              <w:rPr>
                                <w:rFonts w:ascii="Cambria Math" w:hAnsi="Cambria Math" w:cs="Arial"/>
                                <w:b/>
                                <w:bCs/>
                                <w:i/>
                                <w:sz w:val="22"/>
                                <w:szCs w:val="22"/>
                              </w:rPr>
                            </m:ctrlPr>
                          </m:sub>
                          <m:sup>
                            <m:r>
                              <m:rPr>
                                <m:sty m:val="bi"/>
                              </m:rPr>
                              <w:rPr>
                                <w:rFonts w:ascii="Cambria Math" w:hAnsi="Cambria Math" w:cs="Arial"/>
                                <w:sz w:val="22"/>
                                <w:szCs w:val="22"/>
                              </w:rPr>
                              <m:t>ν</m:t>
                            </m:r>
                            <m:ctrlPr>
                              <w:rPr>
                                <w:rFonts w:ascii="Cambria Math" w:hAnsi="Cambria Math" w:cs="Arial"/>
                                <w:b/>
                                <w:bCs/>
                                <w:i/>
                                <w:sz w:val="22"/>
                                <w:szCs w:val="22"/>
                              </w:rPr>
                            </m:ctrlP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ctrlPr>
                                          <w:rPr>
                                            <w:rFonts w:ascii="Cambria Math" w:hAnsi="Cambria Math" w:cs="Arial"/>
                                            <w:b/>
                                            <w:bCs/>
                                            <w:i/>
                                            <w:sz w:val="22"/>
                                            <w:szCs w:val="22"/>
                                          </w:rPr>
                                        </m:ctrlP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ctrlPr>
                                          <w:rPr>
                                            <w:rFonts w:ascii="Cambria Math" w:hAnsi="Cambria Math" w:cs="Arial"/>
                                            <w:b/>
                                            <w:bCs/>
                                            <w:i/>
                                            <w:sz w:val="22"/>
                                            <w:szCs w:val="22"/>
                                          </w:rPr>
                                        </m:ctrlPr>
                                      </m:sub>
                                    </m:sSub>
                                    <m:ctrlPr>
                                      <w:rPr>
                                        <w:rFonts w:ascii="Cambria Math" w:hAnsi="Cambria Math" w:cs="Arial"/>
                                        <w:b/>
                                        <w:bCs/>
                                        <w:i/>
                                        <w:sz w:val="22"/>
                                        <w:szCs w:val="22"/>
                                      </w:rPr>
                                    </m:ctrlPr>
                                  </m:e>
                                </m:d>
                                <m:ctrlPr>
                                  <w:rPr>
                                    <w:rFonts w:ascii="Cambria Math" w:hAnsi="Cambria Math" w:cs="Arial"/>
                                    <w:b/>
                                    <w:bCs/>
                                    <w:i/>
                                    <w:sz w:val="22"/>
                                    <w:szCs w:val="22"/>
                                  </w:rPr>
                                </m:ctrlPr>
                              </m:e>
                              <m:sup>
                                <m:r>
                                  <m:rPr>
                                    <m:sty m:val="bi"/>
                                  </m:rPr>
                                  <w:rPr>
                                    <w:rFonts w:ascii="Cambria Math" w:hAnsi="Cambria Math" w:cs="Arial"/>
                                    <w:sz w:val="22"/>
                                    <w:szCs w:val="22"/>
                                    <w:lang w:val="en-US"/>
                                  </w:rPr>
                                  <m:t>2</m:t>
                                </m:r>
                                <m:ctrlPr>
                                  <w:rPr>
                                    <w:rFonts w:ascii="Cambria Math" w:hAnsi="Cambria Math" w:cs="Arial"/>
                                    <w:b/>
                                    <w:bCs/>
                                    <w:i/>
                                    <w:sz w:val="22"/>
                                    <w:szCs w:val="22"/>
                                  </w:rPr>
                                </m:ctrlPr>
                              </m:sup>
                            </m:sSup>
                            <m:ctrlPr>
                              <w:rPr>
                                <w:rFonts w:ascii="Cambria Math" w:hAnsi="Cambria Math" w:cs="Arial"/>
                                <w:b/>
                                <w:bCs/>
                                <w:i/>
                                <w:sz w:val="22"/>
                                <w:szCs w:val="22"/>
                              </w:rPr>
                            </m:ctrlPr>
                          </m:e>
                        </m:nary>
                        <m:ctrlPr>
                          <w:rPr>
                            <w:rFonts w:ascii="Cambria Math" w:hAnsi="Cambria Math" w:cs="Arial"/>
                            <w:b/>
                            <w:bCs/>
                            <w:i/>
                            <w:sz w:val="22"/>
                            <w:szCs w:val="22"/>
                          </w:rPr>
                        </m:ctrlPr>
                      </m:e>
                    </m:d>
                    <m:ctrlPr>
                      <w:rPr>
                        <w:rFonts w:ascii="Cambria Math" w:hAnsi="Cambria Math" w:cs="Arial"/>
                        <w:b/>
                        <w:bCs/>
                        <w:i/>
                        <w:sz w:val="22"/>
                        <w:szCs w:val="22"/>
                      </w:rPr>
                    </m:ctrlPr>
                  </m:e>
                </m:func>
                <m:ctrlPr>
                  <w:rPr>
                    <w:rFonts w:ascii="Cambria Math" w:hAnsi="Cambria Math" w:cs="Arial"/>
                    <w:b/>
                    <w:bCs/>
                    <w:i/>
                    <w:sz w:val="22"/>
                    <w:szCs w:val="22"/>
                  </w:rPr>
                </m:ctrlPr>
              </m:den>
            </m:f>
            <m:ctrlPr>
              <w:rPr>
                <w:rFonts w:ascii="Cambria Math" w:hAnsi="Cambria Math" w:cs="Arial"/>
                <w:b/>
                <w:bCs/>
                <w:i/>
                <w:sz w:val="22"/>
                <w:szCs w:val="22"/>
              </w:rPr>
            </m:ctrlPr>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ctrlPr>
              <w:rPr>
                <w:rFonts w:ascii="Cambria Math" w:hAnsi="Cambria Math" w:cs="Arial"/>
                <w:b/>
                <w:bCs/>
                <w:i/>
                <w:sz w:val="22"/>
                <w:szCs w:val="22"/>
              </w:rPr>
            </m:ctrlPr>
          </m:e>
          <m:sub>
            <m:r>
              <m:rPr>
                <m:sty m:val="bi"/>
              </m:rPr>
              <w:rPr>
                <w:rFonts w:ascii="Cambria Math" w:hAnsi="Cambria Math" w:cs="Arial"/>
                <w:sz w:val="22"/>
                <w:szCs w:val="22"/>
              </w:rPr>
              <m:t>T</m:t>
            </m:r>
            <m:ctrlPr>
              <w:rPr>
                <w:rFonts w:ascii="Cambria Math" w:hAnsi="Cambria Math" w:cs="Arial"/>
                <w:b/>
                <w:bCs/>
                <w:i/>
                <w:sz w:val="22"/>
                <w:szCs w:val="22"/>
              </w:rPr>
            </m:ctrlPr>
          </m:sub>
        </m:sSub>
        <m:r>
          <m:rPr>
            <m:sty m:val="bi"/>
          </m:rPr>
          <w:rPr>
            <w:rFonts w:ascii="Cambria Math" w:hAnsi="Cambria Math" w:cs="Arial"/>
            <w:sz w:val="22"/>
            <w:szCs w:val="22"/>
            <w:lang w:val="en-US"/>
          </w:rPr>
          <m:t>)</m:t>
        </m:r>
      </m:oMath>
      <w:r>
        <w:rPr>
          <w:rFonts w:hint="eastAsia" w:eastAsia="MS Mincho"/>
          <w:b/>
          <w:sz w:val="22"/>
          <w:szCs w:val="22"/>
          <w:lang w:val="en-US"/>
        </w:rPr>
        <w:t xml:space="preserve"> for CSI computation.</w:t>
      </w:r>
    </w:p>
    <w:p w14:paraId="56A36A12">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ctrlPr>
              <w:rPr>
                <w:rFonts w:ascii="Cambria Math" w:hAnsi="Cambria Math"/>
                <w:b/>
              </w:rPr>
            </m:ctrlPr>
          </m:e>
          <m:sub>
            <m:r>
              <m:rPr>
                <m:sty m:val="bi"/>
              </m:rPr>
              <w:rPr>
                <w:rFonts w:ascii="Cambria Math" w:hAnsi="Cambria Math"/>
              </w:rPr>
              <m:t>T</m:t>
            </m:r>
            <m:ctrlPr>
              <w:rPr>
                <w:rFonts w:ascii="Cambria Math" w:hAnsi="Cambria Math"/>
                <w:b/>
              </w:rPr>
            </m:ctrlP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ctrlPr>
              <w:rPr>
                <w:rFonts w:ascii="Cambria Math" w:hAnsi="Cambria Math"/>
                <w:b/>
                <w:bCs/>
                <w:i/>
              </w:rPr>
            </m:ctrlP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ctrlPr>
              <w:rPr>
                <w:rFonts w:ascii="Cambria Math" w:hAnsi="Cambria Math"/>
                <w:b/>
                <w:bCs/>
                <w:i/>
              </w:rPr>
            </m:ctrlP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ctrlPr>
              <w:rPr>
                <w:rFonts w:ascii="Cambria Math" w:hAnsi="Cambria Math"/>
                <w:b/>
                <w:bCs/>
                <w:i/>
                <w:lang w:val="en-US"/>
              </w:rPr>
            </m:ctrlPr>
          </m:e>
          <m:sub>
            <m:r>
              <m:rPr>
                <m:sty m:val="bi"/>
              </m:rPr>
              <w:rPr>
                <w:rFonts w:ascii="Cambria Math" w:hAnsi="Cambria Math"/>
                <w:lang w:val="en-US"/>
              </w:rPr>
              <m:t>T</m:t>
            </m:r>
            <m:ctrlPr>
              <w:rPr>
                <w:rFonts w:ascii="Cambria Math" w:hAnsi="Cambria Math"/>
                <w:b/>
                <w:bCs/>
                <w:i/>
                <w:lang w:val="en-US"/>
              </w:rPr>
            </m:ctrlP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74F768F0">
      <w:pPr>
        <w:rPr>
          <w:b/>
          <w:bCs/>
          <w:sz w:val="22"/>
          <w:szCs w:val="22"/>
        </w:rPr>
      </w:pPr>
    </w:p>
    <w:p w14:paraId="37AB488F">
      <w:pPr>
        <w:rPr>
          <w:rFonts w:eastAsia="MS Mincho" w:cs="Batang"/>
          <w:sz w:val="22"/>
          <w:szCs w:val="22"/>
        </w:rPr>
      </w:pPr>
    </w:p>
    <w:p w14:paraId="2B969CFF">
      <w:pPr>
        <w:rPr>
          <w:rFonts w:eastAsia="MS Mincho" w:cs="Batang"/>
          <w:sz w:val="22"/>
          <w:szCs w:val="22"/>
        </w:rPr>
      </w:pPr>
      <w:r>
        <w:rPr>
          <w:rFonts w:hint="eastAsia" w:eastAsia="MS Mincho" w:cs="Batang"/>
          <w:sz w:val="22"/>
          <w:szCs w:val="22"/>
        </w:rPr>
        <w:t>T</w:t>
      </w:r>
      <w:r>
        <w:rPr>
          <w:rFonts w:eastAsia="MS Mincho" w:cs="Batang"/>
          <w:sz w:val="22"/>
          <w:szCs w:val="22"/>
        </w:rPr>
        <w:t>his proposal is already supported by Orange, ZTE, BT.</w:t>
      </w:r>
    </w:p>
    <w:p w14:paraId="0F415D33">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14:paraId="73C3C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14:paraId="614F643D">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14:paraId="24F1B583">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14:paraId="39A45C15">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14:paraId="1FA81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767387BC">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Apple</w:t>
            </w:r>
          </w:p>
        </w:tc>
        <w:tc>
          <w:tcPr>
            <w:tcW w:w="1023" w:type="dxa"/>
          </w:tcPr>
          <w:p w14:paraId="550F0FE0">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N</w:t>
            </w:r>
          </w:p>
        </w:tc>
        <w:tc>
          <w:tcPr>
            <w:tcW w:w="6912" w:type="dxa"/>
          </w:tcPr>
          <w:p w14:paraId="6B6034FB">
            <w:pPr>
              <w:overflowPunct w:val="0"/>
              <w:autoSpaceDE w:val="0"/>
              <w:autoSpaceDN w:val="0"/>
              <w:adjustRightInd w:val="0"/>
              <w:spacing w:after="180"/>
              <w:textAlignment w:val="baseline"/>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14:paraId="3D257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4B34CB91">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14:paraId="4490006C">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14:paraId="55F24569">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T</w:t>
            </w:r>
            <w:r>
              <w:rPr>
                <w:rFonts w:eastAsiaTheme="minorEastAsia"/>
                <w:sz w:val="22"/>
                <w:lang w:val="en-US" w:eastAsia="zh-CN"/>
              </w:rPr>
              <w:t>here are several issues regarding the proposal.</w:t>
            </w:r>
          </w:p>
          <w:p w14:paraId="35A63238">
            <w:pPr>
              <w:overflowPunct w:val="0"/>
              <w:autoSpaceDE w:val="0"/>
              <w:autoSpaceDN w:val="0"/>
              <w:adjustRightInd w:val="0"/>
              <w:spacing w:after="120" w:afterLines="50"/>
              <w:jc w:val="both"/>
              <w:textAlignment w:val="baseline"/>
              <w:rPr>
                <w:rFonts w:eastAsiaTheme="minorEastAsia"/>
                <w:bCs/>
                <w:sz w:val="22"/>
                <w:szCs w:val="22"/>
                <w:lang w:eastAsia="zh-CN"/>
              </w:rPr>
            </w:pPr>
            <w:r>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m:rPr/>
                    <w:rPr>
                      <w:rFonts w:ascii="Cambria Math" w:hAnsi="Cambria Math"/>
                      <w:sz w:val="22"/>
                      <w:szCs w:val="22"/>
                    </w:rPr>
                    <m:t>P</m:t>
                  </m:r>
                  <m:ctrlPr>
                    <w:rPr>
                      <w:rFonts w:ascii="Cambria Math" w:hAnsi="Cambria Math"/>
                      <w:bCs/>
                      <w:i/>
                      <w:sz w:val="22"/>
                      <w:szCs w:val="22"/>
                    </w:rPr>
                  </m:ctrlPr>
                </m:e>
                <m:sub>
                  <m:r>
                    <m:rPr/>
                    <w:rPr>
                      <w:rFonts w:ascii="Cambria Math" w:hAnsi="Cambria Math"/>
                      <w:sz w:val="22"/>
                      <w:szCs w:val="22"/>
                    </w:rPr>
                    <m:t>t</m:t>
                  </m:r>
                  <m:ctrlPr>
                    <w:rPr>
                      <w:rFonts w:ascii="Cambria Math" w:hAnsi="Cambria Math"/>
                      <w:bCs/>
                      <w:i/>
                      <w:sz w:val="22"/>
                      <w:szCs w:val="22"/>
                    </w:rPr>
                  </m:ctrlPr>
                </m:sub>
              </m:sSub>
            </m:oMath>
            <w:r>
              <w:rPr>
                <w:rFonts w:hint="eastAsia" w:eastAsiaTheme="minor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m:rPr/>
                    <w:rPr>
                      <w:rFonts w:ascii="Cambria Math" w:hAnsi="Cambria Math"/>
                      <w:sz w:val="22"/>
                      <w:szCs w:val="22"/>
                    </w:rPr>
                    <m:t>P</m:t>
                  </m:r>
                  <m:ctrlPr>
                    <w:rPr>
                      <w:rFonts w:ascii="Cambria Math" w:hAnsi="Cambria Math"/>
                      <w:bCs/>
                      <w:i/>
                      <w:sz w:val="22"/>
                      <w:szCs w:val="22"/>
                    </w:rPr>
                  </m:ctrlPr>
                </m:e>
                <m:sub>
                  <m:r>
                    <m:rPr/>
                    <w:rPr>
                      <w:rFonts w:ascii="Cambria Math" w:hAnsi="Cambria Math"/>
                      <w:sz w:val="22"/>
                      <w:szCs w:val="22"/>
                    </w:rPr>
                    <m:t>t</m:t>
                  </m:r>
                  <m:ctrlPr>
                    <w:rPr>
                      <w:rFonts w:ascii="Cambria Math" w:hAnsi="Cambria Math"/>
                      <w:bCs/>
                      <w:i/>
                      <w:sz w:val="22"/>
                      <w:szCs w:val="22"/>
                    </w:rPr>
                  </m:ctrlPr>
                </m:sub>
              </m:sSub>
            </m:oMath>
            <w:r>
              <w:rPr>
                <w:rFonts w:hint="eastAsia" w:eastAsiaTheme="minorEastAsia"/>
                <w:bCs/>
                <w:sz w:val="22"/>
                <w:szCs w:val="22"/>
                <w:lang w:eastAsia="zh-CN"/>
              </w:rPr>
              <w:t xml:space="preserve"> </w:t>
            </w:r>
            <w:r>
              <w:rPr>
                <w:rFonts w:eastAsiaTheme="minorEastAsia"/>
                <w:bCs/>
                <w:sz w:val="22"/>
                <w:szCs w:val="22"/>
                <w:lang w:eastAsia="zh-CN"/>
              </w:rPr>
              <w:t>due to power boosting of some channels (PDCCH, PDSCH for some particular UE etc.). This will make the UE calculation of power allocation is different from the real power allocation, resulting in performance loss.</w:t>
            </w:r>
          </w:p>
          <w:p w14:paraId="4E3BA5B6">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U</w:t>
            </w:r>
            <w:r>
              <w:rPr>
                <w:rFonts w:eastAsiaTheme="minorEastAsia"/>
                <w:sz w:val="22"/>
                <w:lang w:val="en-US" w:eastAsia="zh-CN"/>
              </w:rPr>
              <w:t xml:space="preserve">E complexity of CSI processing will be increased a lot if LPC is considered. </w:t>
            </w:r>
          </w:p>
        </w:tc>
      </w:tr>
      <w:tr w14:paraId="5119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07E72205">
            <w:pPr>
              <w:overflowPunct w:val="0"/>
              <w:autoSpaceDE w:val="0"/>
              <w:autoSpaceDN w:val="0"/>
              <w:adjustRightInd w:val="0"/>
              <w:spacing w:after="120" w:afterLines="50"/>
              <w:jc w:val="both"/>
              <w:textAlignment w:val="baseline"/>
              <w:rPr>
                <w:sz w:val="22"/>
                <w:lang w:val="en-US"/>
              </w:rPr>
            </w:pPr>
            <w:r>
              <w:rPr>
                <w:sz w:val="22"/>
                <w:lang w:val="en-US"/>
              </w:rPr>
              <w:t>Orange</w:t>
            </w:r>
          </w:p>
        </w:tc>
        <w:tc>
          <w:tcPr>
            <w:tcW w:w="1023" w:type="dxa"/>
          </w:tcPr>
          <w:p w14:paraId="3E223032">
            <w:pPr>
              <w:overflowPunct w:val="0"/>
              <w:autoSpaceDE w:val="0"/>
              <w:autoSpaceDN w:val="0"/>
              <w:adjustRightInd w:val="0"/>
              <w:spacing w:after="120" w:afterLines="50"/>
              <w:jc w:val="both"/>
              <w:textAlignment w:val="baseline"/>
              <w:rPr>
                <w:sz w:val="22"/>
                <w:lang w:val="en-US"/>
              </w:rPr>
            </w:pPr>
          </w:p>
        </w:tc>
        <w:tc>
          <w:tcPr>
            <w:tcW w:w="6912" w:type="dxa"/>
          </w:tcPr>
          <w:p w14:paraId="2FEC7CE7">
            <w:pPr>
              <w:overflowPunct w:val="0"/>
              <w:autoSpaceDE w:val="0"/>
              <w:autoSpaceDN w:val="0"/>
              <w:adjustRightInd w:val="0"/>
              <w:spacing w:after="120" w:afterLines="50"/>
              <w:jc w:val="both"/>
              <w:textAlignment w:val="baseline"/>
              <w:rPr>
                <w:sz w:val="22"/>
                <w:lang w:val="en-US"/>
              </w:rPr>
            </w:pPr>
            <w:r>
              <w:rPr>
                <w:sz w:val="22"/>
                <w:lang w:val="en-US"/>
              </w:rPr>
              <w:t xml:space="preserve">@HW, Apple </w:t>
            </w:r>
          </w:p>
          <w:p w14:paraId="657C9A49">
            <w:pPr>
              <w:overflowPunct/>
              <w:autoSpaceDE/>
              <w:autoSpaceDN/>
              <w:adjustRightInd/>
              <w:spacing w:after="0"/>
              <w:jc w:val="both"/>
              <w:textAlignment w:val="auto"/>
              <w:rPr>
                <w:lang w:val="en-US"/>
              </w:rPr>
            </w:pPr>
            <w:r>
              <w:rPr>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hAnsi="Cambria Math" w:cs="Calibri" w:eastAsiaTheme="minorHAnsi"/>
                      <w:sz w:val="22"/>
                      <w:szCs w:val="22"/>
                      <w:lang w:eastAsia="en-US"/>
                      <w14:ligatures w14:val="standardContextual"/>
                    </w:rPr>
                  </m:ctrlPr>
                </m:sSubPr>
                <m:e>
                  <m:r>
                    <m:rPr/>
                    <w:rPr>
                      <w:rFonts w:ascii="Cambria Math" w:hAnsi="Cambria Math"/>
                    </w:rPr>
                    <m:t>P</m:t>
                  </m:r>
                  <m:ctrlPr>
                    <w:rPr>
                      <w:rFonts w:ascii="Cambria Math" w:hAnsi="Cambria Math" w:cs="Calibri" w:eastAsiaTheme="minorHAnsi"/>
                      <w:sz w:val="22"/>
                      <w:szCs w:val="22"/>
                      <w:lang w:eastAsia="en-US"/>
                      <w14:ligatures w14:val="standardContextual"/>
                    </w:rPr>
                  </m:ctrlPr>
                </m:e>
                <m:sub>
                  <m:r>
                    <m:rPr/>
                    <w:rPr>
                      <w:rFonts w:ascii="Cambria Math" w:hAnsi="Cambria Math"/>
                    </w:rPr>
                    <m:t>LPC</m:t>
                  </m:r>
                  <m:r>
                    <m:rPr>
                      <m:sty m:val="p"/>
                    </m:rPr>
                    <w:rPr>
                      <w:rFonts w:ascii="Cambria Math" w:hAnsi="Cambria Math"/>
                      <w:lang w:val="en-US"/>
                    </w:rPr>
                    <m:t>+</m:t>
                  </m:r>
                  <m:r>
                    <m:rPr/>
                    <w:rPr>
                      <w:rFonts w:ascii="Cambria Math" w:hAnsi="Cambria Math"/>
                    </w:rPr>
                    <m:t>GPC</m:t>
                  </m:r>
                  <m:ctrlPr>
                    <w:rPr>
                      <w:rFonts w:ascii="Cambria Math" w:hAnsi="Cambria Math" w:cs="Calibri" w:eastAsiaTheme="minorHAnsi"/>
                      <w:sz w:val="22"/>
                      <w:szCs w:val="22"/>
                      <w:lang w:eastAsia="en-US"/>
                      <w14:ligatures w14:val="standardContextual"/>
                    </w:rPr>
                  </m:ctrlPr>
                </m:sub>
              </m:sSub>
              <m:r>
                <m:rPr>
                  <m:sty m:val="p"/>
                </m:rPr>
                <w:rPr>
                  <w:rFonts w:ascii="Cambria Math" w:hAnsi="Cambria Math"/>
                  <w:lang w:val="en-US"/>
                </w:rPr>
                <m:t>=</m:t>
              </m:r>
              <m:func>
                <m:funcPr>
                  <m:ctrlPr>
                    <w:rPr>
                      <w:rFonts w:ascii="Cambria Math" w:hAnsi="Cambria Math" w:cs="Calibri" w:eastAsiaTheme="minorHAnsi"/>
                      <w:sz w:val="22"/>
                      <w:szCs w:val="22"/>
                      <w:lang w:eastAsia="en-US"/>
                      <w14:ligatures w14:val="standardContextual"/>
                    </w:rPr>
                  </m:ctrlPr>
                </m:funcPr>
                <m:fName>
                  <m:r>
                    <m:rPr>
                      <m:sty m:val="p"/>
                    </m:rPr>
                    <w:rPr>
                      <w:rFonts w:ascii="Cambria Math" w:hAnsi="Cambria Math"/>
                      <w:lang w:val="en-US"/>
                    </w:rPr>
                    <m:t>min(</m:t>
                  </m:r>
                  <m:ctrlPr>
                    <w:rPr>
                      <w:rFonts w:ascii="Cambria Math" w:hAnsi="Cambria Math" w:cs="Calibri" w:eastAsiaTheme="minorHAnsi"/>
                      <w:sz w:val="22"/>
                      <w:szCs w:val="22"/>
                      <w:lang w:eastAsia="en-US"/>
                      <w14:ligatures w14:val="standardContextual"/>
                    </w:rPr>
                  </m:ctrlPr>
                </m:fName>
                <m:e>
                  <m:f>
                    <m:fPr>
                      <m:ctrlPr>
                        <w:rPr>
                          <w:rFonts w:ascii="Cambria Math" w:hAnsi="Cambria Math" w:cs="Calibri" w:eastAsiaTheme="minorHAnsi"/>
                          <w:sz w:val="22"/>
                          <w:szCs w:val="22"/>
                          <w:lang w:eastAsia="en-US"/>
                          <w14:ligatures w14:val="standardContextual"/>
                        </w:rPr>
                      </m:ctrlPr>
                    </m:fPr>
                    <m:num>
                      <m:sSub>
                        <m:sSubPr>
                          <m:ctrlPr>
                            <w:rPr>
                              <w:rFonts w:ascii="Cambria Math" w:hAnsi="Cambria Math" w:cs="Calibri" w:eastAsiaTheme="minorHAnsi"/>
                              <w:sz w:val="22"/>
                              <w:szCs w:val="22"/>
                              <w:lang w:eastAsia="en-US"/>
                              <w14:ligatures w14:val="standardContextual"/>
                            </w:rPr>
                          </m:ctrlPr>
                        </m:sSubPr>
                        <m:e>
                          <m:r>
                            <m:rPr/>
                            <w:rPr>
                              <w:rFonts w:ascii="Cambria Math" w:hAnsi="Cambria Math"/>
                            </w:rPr>
                            <m:t>P</m:t>
                          </m:r>
                          <m:ctrlPr>
                            <w:rPr>
                              <w:rFonts w:ascii="Cambria Math" w:hAnsi="Cambria Math" w:cs="Calibri" w:eastAsiaTheme="minorHAnsi"/>
                              <w:sz w:val="22"/>
                              <w:szCs w:val="22"/>
                              <w:lang w:eastAsia="en-US"/>
                              <w14:ligatures w14:val="standardContextual"/>
                            </w:rPr>
                          </m:ctrlPr>
                        </m:e>
                        <m:sub>
                          <m:r>
                            <m:rPr/>
                            <w:rPr>
                              <w:rFonts w:ascii="Cambria Math" w:hAnsi="Cambria Math"/>
                            </w:rPr>
                            <m:t>T</m:t>
                          </m:r>
                          <m:ctrlPr>
                            <w:rPr>
                              <w:rFonts w:ascii="Cambria Math" w:hAnsi="Cambria Math" w:cs="Calibri" w:eastAsiaTheme="minorHAnsi"/>
                              <w:sz w:val="22"/>
                              <w:szCs w:val="22"/>
                              <w:lang w:eastAsia="en-US"/>
                              <w14:ligatures w14:val="standardContextual"/>
                            </w:rPr>
                          </m:ctrlPr>
                        </m:sub>
                      </m:sSub>
                      <m:ctrlPr>
                        <w:rPr>
                          <w:rFonts w:ascii="Cambria Math" w:hAnsi="Cambria Math" w:cs="Calibri" w:eastAsiaTheme="minorHAnsi"/>
                          <w:sz w:val="22"/>
                          <w:szCs w:val="22"/>
                          <w:lang w:eastAsia="en-US"/>
                          <w14:ligatures w14:val="standardContextual"/>
                        </w:rPr>
                      </m:ctrlPr>
                    </m:num>
                    <m:den>
                      <m:sSub>
                        <m:sSubPr>
                          <m:ctrlPr>
                            <w:rPr>
                              <w:rFonts w:ascii="Cambria Math" w:hAnsi="Cambria Math" w:cs="Calibri" w:eastAsiaTheme="minorHAnsi"/>
                              <w:sz w:val="22"/>
                              <w:szCs w:val="22"/>
                              <w:lang w:eastAsia="en-US"/>
                              <w14:ligatures w14:val="standardContextual"/>
                            </w:rPr>
                          </m:ctrlPr>
                        </m:sSubPr>
                        <m:e>
                          <m:r>
                            <m:rPr/>
                            <w:rPr>
                              <w:rFonts w:ascii="Cambria Math" w:hAnsi="Cambria Math"/>
                            </w:rPr>
                            <m:t>N</m:t>
                          </m:r>
                          <m:ctrlPr>
                            <w:rPr>
                              <w:rFonts w:ascii="Cambria Math" w:hAnsi="Cambria Math" w:cs="Calibri" w:eastAsiaTheme="minorHAnsi"/>
                              <w:sz w:val="22"/>
                              <w:szCs w:val="22"/>
                              <w:lang w:eastAsia="en-US"/>
                              <w14:ligatures w14:val="standardContextual"/>
                            </w:rPr>
                          </m:ctrlPr>
                        </m:e>
                        <m:sub>
                          <m:r>
                            <m:rPr/>
                            <w:rPr>
                              <w:rFonts w:ascii="Cambria Math" w:hAnsi="Cambria Math"/>
                            </w:rPr>
                            <m:t>T</m:t>
                          </m:r>
                          <m:ctrlPr>
                            <w:rPr>
                              <w:rFonts w:ascii="Cambria Math" w:hAnsi="Cambria Math" w:cs="Calibri" w:eastAsiaTheme="minorHAnsi"/>
                              <w:sz w:val="22"/>
                              <w:szCs w:val="22"/>
                              <w:lang w:eastAsia="en-US"/>
                              <w14:ligatures w14:val="standardContextual"/>
                            </w:rPr>
                          </m:ctrlPr>
                        </m:sub>
                      </m:sSub>
                      <m:ctrlPr>
                        <w:rPr>
                          <w:rFonts w:ascii="Cambria Math" w:hAnsi="Cambria Math" w:cs="Calibri" w:eastAsiaTheme="minorHAnsi"/>
                          <w:sz w:val="22"/>
                          <w:szCs w:val="22"/>
                          <w:lang w:eastAsia="en-US"/>
                          <w14:ligatures w14:val="standardContextual"/>
                        </w:rPr>
                      </m:ctrlPr>
                    </m:den>
                  </m:f>
                  <m:func>
                    <m:funcPr>
                      <m:ctrlPr>
                        <w:rPr>
                          <w:rFonts w:ascii="Cambria Math" w:hAnsi="Cambria Math" w:cs="Calibri" w:eastAsiaTheme="minorHAnsi"/>
                          <w:sz w:val="22"/>
                          <w:szCs w:val="22"/>
                          <w:lang w:eastAsia="en-US"/>
                          <w14:ligatures w14:val="standardContextual"/>
                        </w:rPr>
                      </m:ctrlPr>
                    </m:funcPr>
                    <m:fName>
                      <m:limLow>
                        <m:limLowPr>
                          <m:ctrlPr>
                            <w:rPr>
                              <w:rFonts w:ascii="Cambria Math" w:hAnsi="Cambria Math" w:cs="Calibri" w:eastAsiaTheme="minorHAnsi"/>
                              <w:sz w:val="22"/>
                              <w:szCs w:val="22"/>
                              <w:lang w:eastAsia="en-US"/>
                              <w14:ligatures w14:val="standardContextual"/>
                            </w:rPr>
                          </m:ctrlPr>
                        </m:limLowPr>
                        <m:e>
                          <m:r>
                            <m:rPr>
                              <m:sty m:val="p"/>
                            </m:rPr>
                            <w:rPr>
                              <w:rFonts w:ascii="Cambria Math" w:hAnsi="Cambria Math"/>
                              <w:lang w:val="en-US"/>
                            </w:rPr>
                            <m:t>min</m:t>
                          </m:r>
                          <m:ctrlPr>
                            <w:rPr>
                              <w:rFonts w:ascii="Cambria Math" w:hAnsi="Cambria Math" w:cs="Calibri" w:eastAsiaTheme="minorHAnsi"/>
                              <w:sz w:val="22"/>
                              <w:szCs w:val="22"/>
                              <w:lang w:eastAsia="en-US"/>
                              <w14:ligatures w14:val="standardContextual"/>
                            </w:rPr>
                          </m:ctrlPr>
                        </m:e>
                        <m:lim>
                          <m:r>
                            <m:rPr/>
                            <w:rPr>
                              <w:rFonts w:ascii="Cambria Math" w:hAnsi="Cambria Math"/>
                            </w:rPr>
                            <m:t>t</m:t>
                          </m:r>
                          <m:ctrlPr>
                            <w:rPr>
                              <w:rFonts w:ascii="Cambria Math" w:hAnsi="Cambria Math" w:cs="Calibri" w:eastAsiaTheme="minorHAnsi"/>
                              <w:sz w:val="22"/>
                              <w:szCs w:val="22"/>
                              <w:lang w:eastAsia="en-US"/>
                              <w14:ligatures w14:val="standardContextual"/>
                            </w:rPr>
                          </m:ctrlPr>
                        </m:lim>
                      </m:limLow>
                      <m:ctrlPr>
                        <w:rPr>
                          <w:rFonts w:ascii="Cambria Math" w:hAnsi="Cambria Math" w:cs="Calibri" w:eastAsiaTheme="minorHAnsi"/>
                          <w:sz w:val="22"/>
                          <w:szCs w:val="22"/>
                          <w:lang w:eastAsia="en-US"/>
                          <w14:ligatures w14:val="standardContextual"/>
                        </w:rPr>
                      </m:ctrlPr>
                    </m:fName>
                    <m:e>
                      <m:d>
                        <m:dPr>
                          <m:ctrlPr>
                            <w:rPr>
                              <w:rFonts w:ascii="Cambria Math" w:hAnsi="Cambria Math" w:cs="Calibri" w:eastAsiaTheme="minorHAnsi"/>
                              <w:sz w:val="22"/>
                              <w:szCs w:val="22"/>
                              <w:lang w:eastAsia="en-US"/>
                              <w14:ligatures w14:val="standardContextual"/>
                            </w:rPr>
                          </m:ctrlPr>
                        </m:dPr>
                        <m:e>
                          <m:f>
                            <m:fPr>
                              <m:ctrlPr>
                                <w:rPr>
                                  <w:rFonts w:ascii="Cambria Math" w:hAnsi="Cambria Math" w:cs="Calibri" w:eastAsiaTheme="minorHAnsi"/>
                                  <w:sz w:val="22"/>
                                  <w:szCs w:val="22"/>
                                  <w:lang w:eastAsia="en-US"/>
                                  <w14:ligatures w14:val="standardContextual"/>
                                </w:rPr>
                              </m:ctrlPr>
                            </m:fPr>
                            <m:num>
                              <m:r>
                                <m:rPr>
                                  <m:sty m:val="p"/>
                                </m:rPr>
                                <w:rPr>
                                  <w:rFonts w:ascii="Cambria Math" w:hAnsi="Cambria Math"/>
                                </w:rPr>
                                <m:t>Δ</m:t>
                              </m:r>
                              <m:sSub>
                                <m:sSubPr>
                                  <m:ctrlPr>
                                    <w:rPr>
                                      <w:rFonts w:ascii="Cambria Math" w:hAnsi="Cambria Math" w:cs="Calibri" w:eastAsiaTheme="minorHAnsi"/>
                                      <w:sz w:val="22"/>
                                      <w:szCs w:val="22"/>
                                      <w:lang w:eastAsia="en-US"/>
                                      <w14:ligatures w14:val="standardContextual"/>
                                    </w:rPr>
                                  </m:ctrlPr>
                                </m:sSubPr>
                                <m:e>
                                  <m:r>
                                    <m:rPr/>
                                    <w:rPr>
                                      <w:rFonts w:ascii="Cambria Math" w:hAnsi="Cambria Math"/>
                                    </w:rPr>
                                    <m:t>P</m:t>
                                  </m:r>
                                  <m:ctrlPr>
                                    <w:rPr>
                                      <w:rFonts w:ascii="Cambria Math" w:hAnsi="Cambria Math" w:cs="Calibri" w:eastAsiaTheme="minorHAnsi"/>
                                      <w:sz w:val="22"/>
                                      <w:szCs w:val="22"/>
                                      <w:lang w:eastAsia="en-US"/>
                                      <w14:ligatures w14:val="standardContextual"/>
                                    </w:rPr>
                                  </m:ctrlPr>
                                </m:e>
                                <m:sub>
                                  <m:r>
                                    <m:rPr/>
                                    <w:rPr>
                                      <w:rFonts w:ascii="Cambria Math" w:hAnsi="Cambria Math"/>
                                    </w:rPr>
                                    <m:t>t</m:t>
                                  </m:r>
                                  <m:ctrlPr>
                                    <w:rPr>
                                      <w:rFonts w:ascii="Cambria Math" w:hAnsi="Cambria Math" w:cs="Calibri" w:eastAsiaTheme="minorHAnsi"/>
                                      <w:sz w:val="22"/>
                                      <w:szCs w:val="22"/>
                                      <w:lang w:eastAsia="en-US"/>
                                      <w14:ligatures w14:val="standardContextual"/>
                                    </w:rPr>
                                  </m:ctrlPr>
                                </m:sub>
                              </m:sSub>
                              <m:ctrlPr>
                                <w:rPr>
                                  <w:rFonts w:ascii="Cambria Math" w:hAnsi="Cambria Math" w:cs="Calibri" w:eastAsiaTheme="minorHAnsi"/>
                                  <w:sz w:val="22"/>
                                  <w:szCs w:val="22"/>
                                  <w:lang w:eastAsia="en-US"/>
                                  <w14:ligatures w14:val="standardContextual"/>
                                </w:rPr>
                              </m:ctrlPr>
                            </m:num>
                            <m:den>
                              <m:nary>
                                <m:naryPr>
                                  <m:chr m:val="∑"/>
                                  <m:limLoc m:val="undOvr"/>
                                  <m:ctrlPr>
                                    <w:rPr>
                                      <w:rFonts w:ascii="Cambria Math" w:hAnsi="Cambria Math" w:cs="Calibri" w:eastAsiaTheme="minorHAnsi"/>
                                      <w:sz w:val="22"/>
                                      <w:szCs w:val="22"/>
                                      <w:lang w:eastAsia="en-US"/>
                                      <w14:ligatures w14:val="standardContextual"/>
                                    </w:rPr>
                                  </m:ctrlPr>
                                </m:naryPr>
                                <m:sub>
                                  <m:r>
                                    <m:rPr/>
                                    <w:rPr>
                                      <w:rFonts w:ascii="Cambria Math" w:hAnsi="Cambria Math"/>
                                    </w:rPr>
                                    <m:t>l</m:t>
                                  </m:r>
                                  <m:r>
                                    <m:rPr>
                                      <m:sty m:val="p"/>
                                    </m:rPr>
                                    <w:rPr>
                                      <w:rFonts w:ascii="Cambria Math" w:hAnsi="Cambria Math"/>
                                      <w:lang w:val="en-US"/>
                                    </w:rPr>
                                    <m:t>=1</m:t>
                                  </m:r>
                                  <m:ctrlPr>
                                    <w:rPr>
                                      <w:rFonts w:ascii="Cambria Math" w:hAnsi="Cambria Math" w:cs="Calibri" w:eastAsiaTheme="minorHAnsi"/>
                                      <w:sz w:val="22"/>
                                      <w:szCs w:val="22"/>
                                      <w:lang w:eastAsia="en-US"/>
                                      <w14:ligatures w14:val="standardContextual"/>
                                    </w:rPr>
                                  </m:ctrlPr>
                                </m:sub>
                                <m:sup>
                                  <m:r>
                                    <m:rPr/>
                                    <w:rPr>
                                      <w:rFonts w:ascii="Cambria Math" w:hAnsi="Cambria Math"/>
                                    </w:rPr>
                                    <m:t>ν</m:t>
                                  </m:r>
                                  <m:ctrlPr>
                                    <w:rPr>
                                      <w:rFonts w:ascii="Cambria Math" w:hAnsi="Cambria Math" w:cs="Calibri" w:eastAsiaTheme="minorHAnsi"/>
                                      <w:sz w:val="22"/>
                                      <w:szCs w:val="22"/>
                                      <w:lang w:eastAsia="en-US"/>
                                      <w14:ligatures w14:val="standardContextual"/>
                                    </w:rPr>
                                  </m:ctrlPr>
                                </m:sup>
                                <m:e>
                                  <m:sSup>
                                    <m:sSupPr>
                                      <m:ctrlPr>
                                        <w:rPr>
                                          <w:rFonts w:ascii="Cambria Math" w:hAnsi="Cambria Math" w:cs="Calibri" w:eastAsiaTheme="minorHAnsi"/>
                                          <w:sz w:val="22"/>
                                          <w:szCs w:val="22"/>
                                          <w:lang w:eastAsia="en-US"/>
                                          <w14:ligatures w14:val="standardContextual"/>
                                        </w:rPr>
                                      </m:ctrlPr>
                                    </m:sSupPr>
                                    <m:e>
                                      <m:d>
                                        <m:dPr>
                                          <m:begChr m:val="|"/>
                                          <m:endChr m:val="|"/>
                                          <m:ctrlPr>
                                            <w:rPr>
                                              <w:rFonts w:ascii="Cambria Math" w:hAnsi="Cambria Math" w:cs="Calibri" w:eastAsiaTheme="minorHAnsi"/>
                                              <w:sz w:val="22"/>
                                              <w:szCs w:val="22"/>
                                              <w:lang w:eastAsia="en-US"/>
                                              <w14:ligatures w14:val="standardContextual"/>
                                            </w:rPr>
                                          </m:ctrlPr>
                                        </m:dPr>
                                        <m:e>
                                          <m:sSub>
                                            <m:sSubPr>
                                              <m:ctrlPr>
                                                <w:rPr>
                                                  <w:rFonts w:ascii="Cambria Math" w:hAnsi="Cambria Math" w:cs="Calibri" w:eastAsiaTheme="minorHAnsi"/>
                                                  <w:sz w:val="22"/>
                                                  <w:szCs w:val="22"/>
                                                  <w:lang w:eastAsia="en-US"/>
                                                  <w14:ligatures w14:val="standardContextual"/>
                                                </w:rPr>
                                              </m:ctrlPr>
                                            </m:sSubPr>
                                            <m:e>
                                              <m:r>
                                                <m:rPr/>
                                                <w:rPr>
                                                  <w:rFonts w:ascii="Cambria Math" w:hAnsi="Cambria Math"/>
                                                </w:rPr>
                                                <m:t>w</m:t>
                                              </m:r>
                                              <m:ctrlPr>
                                                <w:rPr>
                                                  <w:rFonts w:ascii="Cambria Math" w:hAnsi="Cambria Math" w:cs="Calibri" w:eastAsiaTheme="minorHAnsi"/>
                                                  <w:sz w:val="22"/>
                                                  <w:szCs w:val="22"/>
                                                  <w:lang w:eastAsia="en-US"/>
                                                  <w14:ligatures w14:val="standardContextual"/>
                                                </w:rPr>
                                              </m:ctrlPr>
                                            </m:e>
                                            <m:sub>
                                              <m:r>
                                                <m:rPr/>
                                                <w:rPr>
                                                  <w:rFonts w:ascii="Cambria Math" w:hAnsi="Cambria Math"/>
                                                </w:rPr>
                                                <m:t>t</m:t>
                                              </m:r>
                                              <m:r>
                                                <m:rPr>
                                                  <m:sty m:val="p"/>
                                                </m:rPr>
                                                <w:rPr>
                                                  <w:rFonts w:ascii="Cambria Math" w:hAnsi="Cambria Math"/>
                                                  <w:lang w:val="en-US"/>
                                                </w:rPr>
                                                <m:t>,</m:t>
                                              </m:r>
                                              <m:r>
                                                <m:rPr/>
                                                <w:rPr>
                                                  <w:rFonts w:ascii="Cambria Math" w:hAnsi="Cambria Math"/>
                                                </w:rPr>
                                                <m:t>l</m:t>
                                              </m:r>
                                              <m:ctrlPr>
                                                <w:rPr>
                                                  <w:rFonts w:ascii="Cambria Math" w:hAnsi="Cambria Math" w:cs="Calibri" w:eastAsiaTheme="minorHAnsi"/>
                                                  <w:sz w:val="22"/>
                                                  <w:szCs w:val="22"/>
                                                  <w:lang w:eastAsia="en-US"/>
                                                  <w14:ligatures w14:val="standardContextual"/>
                                                </w:rPr>
                                              </m:ctrlPr>
                                            </m:sub>
                                          </m:sSub>
                                          <m:ctrlPr>
                                            <w:rPr>
                                              <w:rFonts w:ascii="Cambria Math" w:hAnsi="Cambria Math" w:cs="Calibri" w:eastAsiaTheme="minorHAnsi"/>
                                              <w:sz w:val="22"/>
                                              <w:szCs w:val="22"/>
                                              <w:lang w:eastAsia="en-US"/>
                                              <w14:ligatures w14:val="standardContextual"/>
                                            </w:rPr>
                                          </m:ctrlPr>
                                        </m:e>
                                      </m:d>
                                      <m:ctrlPr>
                                        <w:rPr>
                                          <w:rFonts w:ascii="Cambria Math" w:hAnsi="Cambria Math" w:cs="Calibri" w:eastAsiaTheme="minorHAnsi"/>
                                          <w:sz w:val="22"/>
                                          <w:szCs w:val="22"/>
                                          <w:lang w:eastAsia="en-US"/>
                                          <w14:ligatures w14:val="standardContextual"/>
                                        </w:rPr>
                                      </m:ctrlPr>
                                    </m:e>
                                    <m:sup>
                                      <m:r>
                                        <m:rPr>
                                          <m:sty m:val="p"/>
                                        </m:rPr>
                                        <w:rPr>
                                          <w:rFonts w:ascii="Cambria Math" w:hAnsi="Cambria Math"/>
                                          <w:lang w:val="en-US"/>
                                        </w:rPr>
                                        <m:t>2</m:t>
                                      </m:r>
                                      <m:ctrlPr>
                                        <w:rPr>
                                          <w:rFonts w:ascii="Cambria Math" w:hAnsi="Cambria Math" w:cs="Calibri" w:eastAsiaTheme="minorHAnsi"/>
                                          <w:sz w:val="22"/>
                                          <w:szCs w:val="22"/>
                                          <w:lang w:eastAsia="en-US"/>
                                          <w14:ligatures w14:val="standardContextual"/>
                                        </w:rPr>
                                      </m:ctrlPr>
                                    </m:sup>
                                  </m:sSup>
                                  <m:ctrlPr>
                                    <w:rPr>
                                      <w:rFonts w:ascii="Cambria Math" w:hAnsi="Cambria Math" w:cs="Calibri" w:eastAsiaTheme="minorHAnsi"/>
                                      <w:sz w:val="22"/>
                                      <w:szCs w:val="22"/>
                                      <w:lang w:eastAsia="en-US"/>
                                      <w14:ligatures w14:val="standardContextual"/>
                                    </w:rPr>
                                  </m:ctrlPr>
                                </m:e>
                              </m:nary>
                              <m:ctrlPr>
                                <w:rPr>
                                  <w:rFonts w:ascii="Cambria Math" w:hAnsi="Cambria Math" w:cs="Calibri" w:eastAsiaTheme="minorHAnsi"/>
                                  <w:sz w:val="22"/>
                                  <w:szCs w:val="22"/>
                                  <w:lang w:eastAsia="en-US"/>
                                  <w14:ligatures w14:val="standardContextual"/>
                                </w:rPr>
                              </m:ctrlPr>
                            </m:den>
                          </m:f>
                          <m:ctrlPr>
                            <w:rPr>
                              <w:rFonts w:ascii="Cambria Math" w:hAnsi="Cambria Math" w:cs="Calibri" w:eastAsiaTheme="minorHAnsi"/>
                              <w:sz w:val="22"/>
                              <w:szCs w:val="22"/>
                              <w:lang w:eastAsia="en-US"/>
                              <w14:ligatures w14:val="standardContextual"/>
                            </w:rPr>
                          </m:ctrlPr>
                        </m:e>
                      </m:d>
                      <m:ctrlPr>
                        <w:rPr>
                          <w:rFonts w:ascii="Cambria Math" w:hAnsi="Cambria Math" w:cs="Calibri" w:eastAsiaTheme="minorHAnsi"/>
                          <w:sz w:val="22"/>
                          <w:szCs w:val="22"/>
                          <w:lang w:eastAsia="en-US"/>
                          <w14:ligatures w14:val="standardContextual"/>
                        </w:rPr>
                      </m:ctrlPr>
                    </m:e>
                  </m:func>
                  <m:ctrlPr>
                    <w:rPr>
                      <w:rFonts w:ascii="Cambria Math" w:hAnsi="Cambria Math" w:cs="Calibri" w:eastAsiaTheme="minorHAnsi"/>
                      <w:sz w:val="22"/>
                      <w:szCs w:val="22"/>
                      <w:lang w:eastAsia="en-US"/>
                      <w14:ligatures w14:val="standardContextual"/>
                    </w:rPr>
                  </m:ctrlPr>
                </m:e>
              </m:func>
              <m:r>
                <m:rPr>
                  <m:sty m:val="p"/>
                </m:rPr>
                <w:rPr>
                  <w:rFonts w:ascii="Cambria Math" w:hAnsi="Cambria Math"/>
                  <w:lang w:val="en-US"/>
                </w:rPr>
                <m:t xml:space="preserve">, </m:t>
              </m:r>
              <m:sSub>
                <m:sSubPr>
                  <m:ctrlPr>
                    <w:rPr>
                      <w:rFonts w:ascii="Cambria Math" w:hAnsi="Cambria Math" w:cs="Calibri" w:eastAsiaTheme="minorHAnsi"/>
                      <w:sz w:val="22"/>
                      <w:szCs w:val="22"/>
                      <w:lang w:eastAsia="en-US"/>
                      <w14:ligatures w14:val="standardContextual"/>
                    </w:rPr>
                  </m:ctrlPr>
                </m:sSubPr>
                <m:e>
                  <m:r>
                    <m:rPr/>
                    <w:rPr>
                      <w:rFonts w:ascii="Cambria Math" w:hAnsi="Cambria Math"/>
                    </w:rPr>
                    <m:t>P</m:t>
                  </m:r>
                  <m:ctrlPr>
                    <w:rPr>
                      <w:rFonts w:ascii="Cambria Math" w:hAnsi="Cambria Math" w:cs="Calibri" w:eastAsiaTheme="minorHAnsi"/>
                      <w:sz w:val="22"/>
                      <w:szCs w:val="22"/>
                      <w:lang w:eastAsia="en-US"/>
                      <w14:ligatures w14:val="standardContextual"/>
                    </w:rPr>
                  </m:ctrlPr>
                </m:e>
                <m:sub>
                  <m:r>
                    <m:rPr/>
                    <w:rPr>
                      <w:rFonts w:ascii="Cambria Math" w:hAnsi="Cambria Math"/>
                    </w:rPr>
                    <m:t>T</m:t>
                  </m:r>
                  <m:ctrlPr>
                    <w:rPr>
                      <w:rFonts w:ascii="Cambria Math" w:hAnsi="Cambria Math" w:cs="Calibri" w:eastAsiaTheme="minorHAnsi"/>
                      <w:sz w:val="22"/>
                      <w:szCs w:val="22"/>
                      <w:lang w:eastAsia="en-US"/>
                      <w14:ligatures w14:val="standardContextual"/>
                    </w:rPr>
                  </m:ctrlPr>
                </m:sub>
              </m:sSub>
              <m:r>
                <m:rPr>
                  <m:sty m:val="p"/>
                </m:rPr>
                <w:rPr>
                  <w:rFonts w:ascii="Cambria Math" w:hAnsi="Cambria Math"/>
                  <w:lang w:val="en-US"/>
                </w:rPr>
                <m:t xml:space="preserve">) </m:t>
              </m:r>
            </m:oMath>
            <w:r>
              <w:rPr>
                <w:lang w:val="en-US"/>
              </w:rPr>
              <w:t>and</w:t>
            </w:r>
            <m:oMath>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rPr>
                    <m:t xml:space="preserve"> P</m:t>
                  </m:r>
                  <m:ctrlPr>
                    <w:rPr>
                      <w:rFonts w:ascii="Cambria Math" w:hAnsi="Cambria Math" w:cs="Calibri" w:eastAsiaTheme="minorHAnsi"/>
                      <w:i/>
                      <w:iCs/>
                      <w:sz w:val="22"/>
                      <w:szCs w:val="22"/>
                      <w:lang w:eastAsia="en-US"/>
                      <w14:ligatures w14:val="standardContextual"/>
                    </w:rPr>
                  </m:ctrlPr>
                </m:e>
                <m:sub>
                  <m:r>
                    <m:rPr/>
                    <w:rPr>
                      <w:rFonts w:ascii="Cambria Math" w:hAnsi="Cambria Math"/>
                    </w:rPr>
                    <m:t>LPC</m:t>
                  </m:r>
                  <m:r>
                    <m:rPr/>
                    <w:rPr>
                      <w:rFonts w:ascii="Cambria Math" w:hAnsi="Cambria Math"/>
                      <w:lang w:val="en-US"/>
                    </w:rPr>
                    <m:t>+</m:t>
                  </m:r>
                  <m:r>
                    <m:rPr/>
                    <w:rPr>
                      <w:rFonts w:ascii="Cambria Math" w:hAnsi="Cambria Math"/>
                    </w:rPr>
                    <m:t>GPC</m:t>
                  </m:r>
                  <m:ctrlPr>
                    <w:rPr>
                      <w:rFonts w:ascii="Cambria Math" w:hAnsi="Cambria Math" w:cs="Calibri" w:eastAsiaTheme="minorHAnsi"/>
                      <w:i/>
                      <w:iCs/>
                      <w:sz w:val="22"/>
                      <w:szCs w:val="22"/>
                      <w:lang w:eastAsia="en-US"/>
                      <w14:ligatures w14:val="standardContextual"/>
                    </w:rPr>
                  </m:ctrlPr>
                </m:sub>
              </m:sSub>
              <m:r>
                <m:rPr/>
                <w:rPr>
                  <w:rFonts w:ascii="Cambria Math" w:hAnsi="Cambria Math"/>
                  <w:lang w:val="en-US"/>
                </w:rPr>
                <m:t>=</m:t>
              </m:r>
              <m:func>
                <m:funcPr>
                  <m:ctrlPr>
                    <w:rPr>
                      <w:rFonts w:ascii="Cambria Math" w:hAnsi="Cambria Math" w:cs="Calibri" w:eastAsiaTheme="minorHAnsi"/>
                      <w:i/>
                      <w:iCs/>
                      <w:sz w:val="22"/>
                      <w:szCs w:val="22"/>
                      <w:lang w:eastAsia="en-US"/>
                      <w14:ligatures w14:val="standardContextual"/>
                    </w:rPr>
                  </m:ctrlPr>
                </m:funcPr>
                <m:fName>
                  <m:r>
                    <m:rPr>
                      <m:sty m:val="p"/>
                    </m:rPr>
                    <w:rPr>
                      <w:rFonts w:ascii="Cambria Math" w:hAnsi="Cambria Math"/>
                      <w:lang w:val="en-US"/>
                    </w:rPr>
                    <m:t>min(</m:t>
                  </m:r>
                  <m:ctrlPr>
                    <w:rPr>
                      <w:rFonts w:ascii="Cambria Math" w:hAnsi="Cambria Math" w:cs="Calibri" w:eastAsiaTheme="minorHAnsi"/>
                      <w:i/>
                      <w:iCs/>
                      <w:sz w:val="22"/>
                      <w:szCs w:val="22"/>
                      <w:lang w:eastAsia="en-US"/>
                      <w14:ligatures w14:val="standardContextual"/>
                    </w:rPr>
                  </m:ctrlPr>
                </m:fName>
                <m:e>
                  <m:f>
                    <m:fPr>
                      <m:ctrlPr>
                        <w:rPr>
                          <w:rFonts w:ascii="Cambria Math" w:hAnsi="Cambria Math" w:cs="Calibri" w:eastAsiaTheme="minorHAnsi"/>
                          <w:i/>
                          <w:iCs/>
                          <w:sz w:val="22"/>
                          <w:szCs w:val="22"/>
                          <w:lang w:eastAsia="en-US"/>
                          <w14:ligatures w14:val="standardContextual"/>
                        </w:rPr>
                      </m:ctrlPr>
                    </m:fPr>
                    <m:num>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rPr>
                            <m:t>P</m:t>
                          </m:r>
                          <m:ctrlPr>
                            <w:rPr>
                              <w:rFonts w:ascii="Cambria Math" w:hAnsi="Cambria Math" w:cs="Calibri" w:eastAsiaTheme="minorHAnsi"/>
                              <w:i/>
                              <w:iCs/>
                              <w:sz w:val="22"/>
                              <w:szCs w:val="22"/>
                              <w:lang w:eastAsia="en-US"/>
                              <w14:ligatures w14:val="standardContextual"/>
                            </w:rPr>
                          </m:ctrlPr>
                        </m:e>
                        <m:sub>
                          <m:r>
                            <m:rPr/>
                            <w:rPr>
                              <w:rFonts w:ascii="Cambria Math" w:hAnsi="Cambria Math"/>
                            </w:rPr>
                            <m:t>T</m:t>
                          </m:r>
                          <m:ctrlPr>
                            <w:rPr>
                              <w:rFonts w:ascii="Cambria Math" w:hAnsi="Cambria Math" w:cs="Calibri" w:eastAsiaTheme="minorHAnsi"/>
                              <w:i/>
                              <w:iCs/>
                              <w:sz w:val="22"/>
                              <w:szCs w:val="22"/>
                              <w:lang w:eastAsia="en-US"/>
                              <w14:ligatures w14:val="standardContextual"/>
                            </w:rPr>
                          </m:ctrlPr>
                        </m:sub>
                      </m:sSub>
                      <m:r>
                        <m:rPr/>
                        <w:rPr>
                          <w:rFonts w:ascii="Cambria Math" w:hAnsi="Cambria Math"/>
                          <w:lang w:val="en-US"/>
                        </w:rPr>
                        <m:t>.</m:t>
                      </m:r>
                      <m:r>
                        <m:rPr/>
                        <w:rPr>
                          <w:rFonts w:ascii="Cambria Math" w:hAnsi="Cambria Math"/>
                        </w:rPr>
                        <m:t>Δ</m:t>
                      </m:r>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rPr>
                            <m:t>P</m:t>
                          </m:r>
                          <m:ctrlPr>
                            <w:rPr>
                              <w:rFonts w:ascii="Cambria Math" w:hAnsi="Cambria Math" w:cs="Calibri" w:eastAsiaTheme="minorHAnsi"/>
                              <w:i/>
                              <w:iCs/>
                              <w:sz w:val="22"/>
                              <w:szCs w:val="22"/>
                              <w:lang w:eastAsia="en-US"/>
                              <w14:ligatures w14:val="standardContextual"/>
                            </w:rPr>
                          </m:ctrlPr>
                        </m:e>
                        <m:sub>
                          <m:r>
                            <m:rPr/>
                            <w:rPr>
                              <w:rFonts w:ascii="Cambria Math" w:hAnsi="Cambria Math"/>
                              <w:lang w:val="en-US"/>
                            </w:rPr>
                            <m:t>0</m:t>
                          </m:r>
                          <m:ctrlPr>
                            <w:rPr>
                              <w:rFonts w:ascii="Cambria Math" w:hAnsi="Cambria Math" w:cs="Calibri" w:eastAsiaTheme="minorHAnsi"/>
                              <w:i/>
                              <w:iCs/>
                              <w:sz w:val="22"/>
                              <w:szCs w:val="22"/>
                              <w:lang w:eastAsia="en-US"/>
                              <w14:ligatures w14:val="standardContextual"/>
                            </w:rPr>
                          </m:ctrlPr>
                        </m:sub>
                      </m:sSub>
                      <m:ctrlPr>
                        <w:rPr>
                          <w:rFonts w:ascii="Cambria Math" w:hAnsi="Cambria Math" w:cs="Calibri" w:eastAsiaTheme="minorHAnsi"/>
                          <w:i/>
                          <w:iCs/>
                          <w:sz w:val="22"/>
                          <w:szCs w:val="22"/>
                          <w:lang w:eastAsia="en-US"/>
                          <w14:ligatures w14:val="standardContextual"/>
                        </w:rPr>
                      </m:ctrlPr>
                    </m:num>
                    <m:den>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rPr>
                            <m:t>N</m:t>
                          </m:r>
                          <m:ctrlPr>
                            <w:rPr>
                              <w:rFonts w:ascii="Cambria Math" w:hAnsi="Cambria Math" w:cs="Calibri" w:eastAsiaTheme="minorHAnsi"/>
                              <w:i/>
                              <w:iCs/>
                              <w:sz w:val="22"/>
                              <w:szCs w:val="22"/>
                              <w:lang w:eastAsia="en-US"/>
                              <w14:ligatures w14:val="standardContextual"/>
                            </w:rPr>
                          </m:ctrlPr>
                        </m:e>
                        <m:sub>
                          <m:r>
                            <m:rPr/>
                            <w:rPr>
                              <w:rFonts w:ascii="Cambria Math" w:hAnsi="Cambria Math"/>
                            </w:rPr>
                            <m:t>T</m:t>
                          </m:r>
                          <m:ctrlPr>
                            <w:rPr>
                              <w:rFonts w:ascii="Cambria Math" w:hAnsi="Cambria Math" w:cs="Calibri" w:eastAsiaTheme="minorHAnsi"/>
                              <w:i/>
                              <w:iCs/>
                              <w:sz w:val="22"/>
                              <w:szCs w:val="22"/>
                              <w:lang w:eastAsia="en-US"/>
                              <w14:ligatures w14:val="standardContextual"/>
                            </w:rPr>
                          </m:ctrlPr>
                        </m:sub>
                      </m:sSub>
                      <m:func>
                        <m:funcPr>
                          <m:ctrlPr>
                            <w:rPr>
                              <w:rFonts w:ascii="Cambria Math" w:hAnsi="Cambria Math" w:cs="Calibri" w:eastAsiaTheme="minorHAnsi"/>
                              <w:i/>
                              <w:iCs/>
                              <w:sz w:val="22"/>
                              <w:szCs w:val="22"/>
                              <w:lang w:eastAsia="en-US"/>
                              <w14:ligatures w14:val="standardContextual"/>
                            </w:rPr>
                          </m:ctrlPr>
                        </m:funcPr>
                        <m:fName>
                          <m:limLow>
                            <m:limLowPr>
                              <m:ctrlPr>
                                <w:rPr>
                                  <w:rFonts w:ascii="Cambria Math" w:hAnsi="Cambria Math" w:cs="Calibri" w:eastAsiaTheme="minorHAnsi"/>
                                  <w:i/>
                                  <w:iCs/>
                                  <w:sz w:val="22"/>
                                  <w:szCs w:val="22"/>
                                  <w:lang w:eastAsia="en-US"/>
                                  <w14:ligatures w14:val="standardContextual"/>
                                </w:rPr>
                              </m:ctrlPr>
                            </m:limLowPr>
                            <m:e>
                              <m:r>
                                <m:rPr/>
                                <w:rPr>
                                  <w:rFonts w:ascii="Cambria Math" w:hAnsi="Cambria Math"/>
                                </w:rPr>
                                <m:t>max</m:t>
                              </m:r>
                              <m:ctrlPr>
                                <w:rPr>
                                  <w:rFonts w:ascii="Cambria Math" w:hAnsi="Cambria Math" w:cs="Calibri" w:eastAsiaTheme="minorHAnsi"/>
                                  <w:i/>
                                  <w:iCs/>
                                  <w:sz w:val="22"/>
                                  <w:szCs w:val="22"/>
                                  <w:lang w:eastAsia="en-US"/>
                                  <w14:ligatures w14:val="standardContextual"/>
                                </w:rPr>
                              </m:ctrlPr>
                            </m:e>
                            <m:lim>
                              <m:r>
                                <m:rPr/>
                                <w:rPr>
                                  <w:rFonts w:ascii="Cambria Math" w:hAnsi="Cambria Math"/>
                                </w:rPr>
                                <m:t>t</m:t>
                              </m:r>
                              <m:ctrlPr>
                                <w:rPr>
                                  <w:rFonts w:ascii="Cambria Math" w:hAnsi="Cambria Math" w:cs="Calibri" w:eastAsiaTheme="minorHAnsi"/>
                                  <w:i/>
                                  <w:iCs/>
                                  <w:sz w:val="22"/>
                                  <w:szCs w:val="22"/>
                                  <w:lang w:eastAsia="en-US"/>
                                  <w14:ligatures w14:val="standardContextual"/>
                                </w:rPr>
                              </m:ctrlPr>
                            </m:lim>
                          </m:limLow>
                          <m:ctrlPr>
                            <w:rPr>
                              <w:rFonts w:ascii="Cambria Math" w:hAnsi="Cambria Math" w:cs="Calibri" w:eastAsiaTheme="minorHAnsi"/>
                              <w:i/>
                              <w:iCs/>
                              <w:sz w:val="22"/>
                              <w:szCs w:val="22"/>
                              <w:lang w:eastAsia="en-US"/>
                              <w14:ligatures w14:val="standardContextual"/>
                            </w:rPr>
                          </m:ctrlPr>
                        </m:fName>
                        <m:e>
                          <m:d>
                            <m:dPr>
                              <m:ctrlPr>
                                <w:rPr>
                                  <w:rFonts w:ascii="Cambria Math" w:hAnsi="Cambria Math" w:cs="Calibri" w:eastAsiaTheme="minorHAnsi"/>
                                  <w:i/>
                                  <w:iCs/>
                                  <w:sz w:val="22"/>
                                  <w:szCs w:val="22"/>
                                  <w:lang w:eastAsia="en-US"/>
                                  <w14:ligatures w14:val="standardContextual"/>
                                </w:rPr>
                              </m:ctrlPr>
                            </m:dPr>
                            <m:e>
                              <m:nary>
                                <m:naryPr>
                                  <m:chr m:val="∑"/>
                                  <m:limLoc m:val="undOvr"/>
                                  <m:ctrlPr>
                                    <w:rPr>
                                      <w:rFonts w:ascii="Cambria Math" w:hAnsi="Cambria Math" w:cs="Calibri" w:eastAsiaTheme="minorHAnsi"/>
                                      <w:i/>
                                      <w:iCs/>
                                      <w:sz w:val="22"/>
                                      <w:szCs w:val="22"/>
                                      <w:lang w:eastAsia="en-US"/>
                                      <w14:ligatures w14:val="standardContextual"/>
                                    </w:rPr>
                                  </m:ctrlPr>
                                </m:naryPr>
                                <m:sub>
                                  <m:r>
                                    <m:rPr/>
                                    <w:rPr>
                                      <w:rFonts w:ascii="Cambria Math" w:hAnsi="Cambria Math"/>
                                    </w:rPr>
                                    <m:t>l</m:t>
                                  </m:r>
                                  <m:r>
                                    <m:rPr/>
                                    <w:rPr>
                                      <w:rFonts w:ascii="Cambria Math" w:hAnsi="Cambria Math"/>
                                      <w:lang w:val="en-US"/>
                                    </w:rPr>
                                    <m:t>=1</m:t>
                                  </m:r>
                                  <m:ctrlPr>
                                    <w:rPr>
                                      <w:rFonts w:ascii="Cambria Math" w:hAnsi="Cambria Math" w:cs="Calibri" w:eastAsiaTheme="minorHAnsi"/>
                                      <w:i/>
                                      <w:iCs/>
                                      <w:sz w:val="22"/>
                                      <w:szCs w:val="22"/>
                                      <w:lang w:eastAsia="en-US"/>
                                      <w14:ligatures w14:val="standardContextual"/>
                                    </w:rPr>
                                  </m:ctrlPr>
                                </m:sub>
                                <m:sup>
                                  <m:r>
                                    <m:rPr/>
                                    <w:rPr>
                                      <w:rFonts w:ascii="Cambria Math" w:hAnsi="Cambria Math"/>
                                    </w:rPr>
                                    <m:t>ν</m:t>
                                  </m:r>
                                  <m:ctrlPr>
                                    <w:rPr>
                                      <w:rFonts w:ascii="Cambria Math" w:hAnsi="Cambria Math" w:cs="Calibri" w:eastAsiaTheme="minorHAnsi"/>
                                      <w:i/>
                                      <w:iCs/>
                                      <w:sz w:val="22"/>
                                      <w:szCs w:val="22"/>
                                      <w:lang w:eastAsia="en-US"/>
                                      <w14:ligatures w14:val="standardContextual"/>
                                    </w:rPr>
                                  </m:ctrlPr>
                                </m:sup>
                                <m:e>
                                  <m:sSup>
                                    <m:sSupPr>
                                      <m:ctrlPr>
                                        <w:rPr>
                                          <w:rFonts w:ascii="Cambria Math" w:hAnsi="Cambria Math" w:cs="Calibri" w:eastAsiaTheme="minorHAnsi"/>
                                          <w:i/>
                                          <w:iCs/>
                                          <w:sz w:val="22"/>
                                          <w:szCs w:val="22"/>
                                          <w:lang w:eastAsia="en-US"/>
                                          <w14:ligatures w14:val="standardContextual"/>
                                        </w:rPr>
                                      </m:ctrlPr>
                                    </m:sSupPr>
                                    <m:e>
                                      <m:d>
                                        <m:dPr>
                                          <m:begChr m:val="|"/>
                                          <m:endChr m:val="|"/>
                                          <m:ctrlPr>
                                            <w:rPr>
                                              <w:rFonts w:ascii="Cambria Math" w:hAnsi="Cambria Math" w:cs="Calibri" w:eastAsiaTheme="minorHAnsi"/>
                                              <w:i/>
                                              <w:iCs/>
                                              <w:sz w:val="22"/>
                                              <w:szCs w:val="22"/>
                                              <w:lang w:eastAsia="en-US"/>
                                              <w14:ligatures w14:val="standardContextual"/>
                                            </w:rPr>
                                          </m:ctrlPr>
                                        </m:dPr>
                                        <m:e>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rPr>
                                                <m:t>w</m:t>
                                              </m:r>
                                              <m:ctrlPr>
                                                <w:rPr>
                                                  <w:rFonts w:ascii="Cambria Math" w:hAnsi="Cambria Math" w:cs="Calibri" w:eastAsiaTheme="minorHAnsi"/>
                                                  <w:i/>
                                                  <w:iCs/>
                                                  <w:sz w:val="22"/>
                                                  <w:szCs w:val="22"/>
                                                  <w:lang w:eastAsia="en-US"/>
                                                  <w14:ligatures w14:val="standardContextual"/>
                                                </w:rPr>
                                              </m:ctrlPr>
                                            </m:e>
                                            <m:sub>
                                              <m:r>
                                                <m:rPr/>
                                                <w:rPr>
                                                  <w:rFonts w:ascii="Cambria Math" w:hAnsi="Cambria Math"/>
                                                </w:rPr>
                                                <m:t>t</m:t>
                                              </m:r>
                                              <m:r>
                                                <m:rPr/>
                                                <w:rPr>
                                                  <w:rFonts w:ascii="Cambria Math" w:hAnsi="Cambria Math"/>
                                                  <w:lang w:val="en-US"/>
                                                </w:rPr>
                                                <m:t>,</m:t>
                                              </m:r>
                                              <m:r>
                                                <m:rPr/>
                                                <w:rPr>
                                                  <w:rFonts w:ascii="Cambria Math" w:hAnsi="Cambria Math"/>
                                                </w:rPr>
                                                <m:t>l</m:t>
                                              </m:r>
                                              <m:ctrlPr>
                                                <w:rPr>
                                                  <w:rFonts w:ascii="Cambria Math" w:hAnsi="Cambria Math" w:cs="Calibri" w:eastAsiaTheme="minorHAnsi"/>
                                                  <w:i/>
                                                  <w:iCs/>
                                                  <w:sz w:val="22"/>
                                                  <w:szCs w:val="22"/>
                                                  <w:lang w:eastAsia="en-US"/>
                                                  <w14:ligatures w14:val="standardContextual"/>
                                                </w:rPr>
                                              </m:ctrlPr>
                                            </m:sub>
                                          </m:sSub>
                                          <m:ctrlPr>
                                            <w:rPr>
                                              <w:rFonts w:ascii="Cambria Math" w:hAnsi="Cambria Math" w:cs="Calibri" w:eastAsiaTheme="minorHAnsi"/>
                                              <w:i/>
                                              <w:iCs/>
                                              <w:sz w:val="22"/>
                                              <w:szCs w:val="22"/>
                                              <w:lang w:eastAsia="en-US"/>
                                              <w14:ligatures w14:val="standardContextual"/>
                                            </w:rPr>
                                          </m:ctrlPr>
                                        </m:e>
                                      </m:d>
                                      <m:ctrlPr>
                                        <w:rPr>
                                          <w:rFonts w:ascii="Cambria Math" w:hAnsi="Cambria Math" w:cs="Calibri" w:eastAsiaTheme="minorHAnsi"/>
                                          <w:i/>
                                          <w:iCs/>
                                          <w:sz w:val="22"/>
                                          <w:szCs w:val="22"/>
                                          <w:lang w:eastAsia="en-US"/>
                                          <w14:ligatures w14:val="standardContextual"/>
                                        </w:rPr>
                                      </m:ctrlPr>
                                    </m:e>
                                    <m:sup>
                                      <m:r>
                                        <m:rPr/>
                                        <w:rPr>
                                          <w:rFonts w:ascii="Cambria Math" w:hAnsi="Cambria Math"/>
                                          <w:lang w:val="en-US"/>
                                        </w:rPr>
                                        <m:t>2</m:t>
                                      </m:r>
                                      <m:ctrlPr>
                                        <w:rPr>
                                          <w:rFonts w:ascii="Cambria Math" w:hAnsi="Cambria Math" w:cs="Calibri" w:eastAsiaTheme="minorHAnsi"/>
                                          <w:i/>
                                          <w:iCs/>
                                          <w:sz w:val="22"/>
                                          <w:szCs w:val="22"/>
                                          <w:lang w:eastAsia="en-US"/>
                                          <w14:ligatures w14:val="standardContextual"/>
                                        </w:rPr>
                                      </m:ctrlPr>
                                    </m:sup>
                                  </m:sSup>
                                  <m:ctrlPr>
                                    <w:rPr>
                                      <w:rFonts w:ascii="Cambria Math" w:hAnsi="Cambria Math" w:cs="Calibri" w:eastAsiaTheme="minorHAnsi"/>
                                      <w:i/>
                                      <w:iCs/>
                                      <w:sz w:val="22"/>
                                      <w:szCs w:val="22"/>
                                      <w:lang w:eastAsia="en-US"/>
                                      <w14:ligatures w14:val="standardContextual"/>
                                    </w:rPr>
                                  </m:ctrlPr>
                                </m:e>
                              </m:nary>
                              <m:ctrlPr>
                                <w:rPr>
                                  <w:rFonts w:ascii="Cambria Math" w:hAnsi="Cambria Math" w:cs="Calibri" w:eastAsiaTheme="minorHAnsi"/>
                                  <w:i/>
                                  <w:iCs/>
                                  <w:sz w:val="22"/>
                                  <w:szCs w:val="22"/>
                                  <w:lang w:eastAsia="en-US"/>
                                  <w14:ligatures w14:val="standardContextual"/>
                                </w:rPr>
                              </m:ctrlPr>
                            </m:e>
                          </m:d>
                          <m:ctrlPr>
                            <w:rPr>
                              <w:rFonts w:ascii="Cambria Math" w:hAnsi="Cambria Math" w:cs="Calibri" w:eastAsiaTheme="minorHAnsi"/>
                              <w:i/>
                              <w:iCs/>
                              <w:sz w:val="22"/>
                              <w:szCs w:val="22"/>
                              <w:lang w:eastAsia="en-US"/>
                              <w14:ligatures w14:val="standardContextual"/>
                            </w:rPr>
                          </m:ctrlPr>
                        </m:e>
                      </m:func>
                      <m:ctrlPr>
                        <w:rPr>
                          <w:rFonts w:ascii="Cambria Math" w:hAnsi="Cambria Math" w:cs="Calibri" w:eastAsiaTheme="minorHAnsi"/>
                          <w:i/>
                          <w:iCs/>
                          <w:sz w:val="22"/>
                          <w:szCs w:val="22"/>
                          <w:lang w:eastAsia="en-US"/>
                          <w14:ligatures w14:val="standardContextual"/>
                        </w:rPr>
                      </m:ctrlPr>
                    </m:den>
                  </m:f>
                  <m:ctrlPr>
                    <w:rPr>
                      <w:rFonts w:ascii="Cambria Math" w:hAnsi="Cambria Math" w:cs="Calibri" w:eastAsiaTheme="minorHAnsi"/>
                      <w:i/>
                      <w:iCs/>
                      <w:sz w:val="22"/>
                      <w:szCs w:val="22"/>
                      <w:lang w:eastAsia="en-US"/>
                      <w14:ligatures w14:val="standardContextual"/>
                    </w:rPr>
                  </m:ctrlPr>
                </m:e>
              </m:func>
              <m:r>
                <m:rPr/>
                <w:rPr>
                  <w:rFonts w:ascii="Cambria Math" w:hAnsi="Cambria Math"/>
                  <w:lang w:val="en-US"/>
                </w:rPr>
                <m:t xml:space="preserve">, </m:t>
              </m:r>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rPr>
                    <m:t>P</m:t>
                  </m:r>
                  <m:ctrlPr>
                    <w:rPr>
                      <w:rFonts w:ascii="Cambria Math" w:hAnsi="Cambria Math" w:cs="Calibri" w:eastAsiaTheme="minorHAnsi"/>
                      <w:i/>
                      <w:iCs/>
                      <w:sz w:val="22"/>
                      <w:szCs w:val="22"/>
                      <w:lang w:eastAsia="en-US"/>
                      <w14:ligatures w14:val="standardContextual"/>
                    </w:rPr>
                  </m:ctrlPr>
                </m:e>
                <m:sub>
                  <m:r>
                    <m:rPr/>
                    <w:rPr>
                      <w:rFonts w:ascii="Cambria Math" w:hAnsi="Cambria Math"/>
                    </w:rPr>
                    <m:t>T</m:t>
                  </m:r>
                  <m:ctrlPr>
                    <w:rPr>
                      <w:rFonts w:ascii="Cambria Math" w:hAnsi="Cambria Math" w:cs="Calibri" w:eastAsiaTheme="minorHAnsi"/>
                      <w:i/>
                      <w:iCs/>
                      <w:sz w:val="22"/>
                      <w:szCs w:val="22"/>
                      <w:lang w:eastAsia="en-US"/>
                      <w14:ligatures w14:val="standardContextual"/>
                    </w:rPr>
                  </m:ctrlPr>
                </m:sub>
              </m:sSub>
              <m:r>
                <m:rPr/>
                <w:rPr>
                  <w:rFonts w:ascii="Cambria Math" w:hAnsi="Cambria Math"/>
                  <w:lang w:val="en-US"/>
                </w:rPr>
                <m:t>)</m:t>
              </m:r>
            </m:oMath>
            <w:r>
              <w:rPr>
                <w:lang w:val="en-US"/>
              </w:rPr>
              <w:t xml:space="preserve"> for proposal 1 and 2, respectively. This power backoff is then used to optimize the MCS and the rank in order to maximize the throughput @BLER_target 10%. Note that the PMI selection where lies most of the complexity is NOT impacted.</w:t>
            </w:r>
          </w:p>
          <w:p w14:paraId="7A5A0CCF">
            <w:pPr>
              <w:overflowPunct/>
              <w:autoSpaceDE/>
              <w:autoSpaceDN/>
              <w:adjustRightInd/>
              <w:spacing w:after="0"/>
              <w:jc w:val="both"/>
              <w:textAlignment w:val="auto"/>
              <w:rPr>
                <w:lang w:val="en-US"/>
              </w:rPr>
            </w:pPr>
          </w:p>
          <w:p w14:paraId="2E19C4C0">
            <w:pPr>
              <w:overflowPunct/>
              <w:autoSpaceDE/>
              <w:autoSpaceDN/>
              <w:adjustRightInd/>
              <w:spacing w:after="0"/>
              <w:jc w:val="both"/>
              <w:textAlignment w:val="auto"/>
              <w:rPr>
                <w:lang w:val="en-US"/>
              </w:rPr>
            </w:pPr>
            <w:r>
              <w:rPr>
                <w:lang w:val="en-US"/>
              </w:rPr>
              <w:t>@HW</w:t>
            </w:r>
          </w:p>
          <w:p w14:paraId="3C6DA68F">
            <w:pPr>
              <w:overflowPunct/>
              <w:autoSpaceDE/>
              <w:autoSpaceDN/>
              <w:adjustRightInd/>
              <w:spacing w:after="0"/>
              <w:jc w:val="both"/>
              <w:textAlignment w:val="auto"/>
              <w:rPr>
                <w:lang w:val="en-US"/>
              </w:rPr>
            </w:pPr>
            <w:r>
              <w:rPr>
                <w:lang w:val="en-US"/>
              </w:rPr>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14:paraId="349F5DEC">
            <w:pPr>
              <w:overflowPunct/>
              <w:autoSpaceDE/>
              <w:autoSpaceDN/>
              <w:adjustRightInd/>
              <w:spacing w:after="0"/>
              <w:jc w:val="both"/>
              <w:textAlignment w:val="auto"/>
              <w:rPr>
                <w:lang w:val="en-US"/>
              </w:rPr>
            </w:pPr>
          </w:p>
          <w:p w14:paraId="0E0824AE">
            <w:pPr>
              <w:overflowPunct/>
              <w:autoSpaceDE/>
              <w:autoSpaceDN/>
              <w:adjustRightInd/>
              <w:spacing w:after="0"/>
              <w:jc w:val="both"/>
              <w:textAlignment w:val="auto"/>
              <w:rPr>
                <w:lang w:val="en-US"/>
              </w:rPr>
            </w:pPr>
            <w:r>
              <w:rPr>
                <w:lang w:val="en-US"/>
              </w:rPr>
              <w:t xml:space="preserve">“GPC@UE + backoff @BS ΔP_0=x dB” corresponds to a CSI computation at the UE which considers the GPC only, the gNodeB applies directly the feedback CSI but needs to correct the transmission power such that the transmit power per antenna port do not exceed </w:t>
            </w:r>
            <m:oMath>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T</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N</m:t>
                  </m:r>
                  <m:ctrlPr>
                    <w:rPr>
                      <w:rFonts w:ascii="Cambria Math" w:hAnsi="Cambria Math"/>
                      <w:i/>
                      <w:lang w:val="en-US"/>
                    </w:rPr>
                  </m:ctrlPr>
                </m:e>
                <m:sub>
                  <m:r>
                    <m:rPr/>
                    <w:rPr>
                      <w:rFonts w:ascii="Cambria Math" w:hAnsi="Cambria Math"/>
                      <w:lang w:val="en-US"/>
                    </w:rPr>
                    <m:t>T</m:t>
                  </m:r>
                  <m:ctrlPr>
                    <w:rPr>
                      <w:rFonts w:ascii="Cambria Math" w:hAnsi="Cambria Math"/>
                      <w:i/>
                      <w:lang w:val="en-US"/>
                    </w:rPr>
                  </m:ctrlPr>
                </m:sub>
              </m:sSub>
              <m:r>
                <m:rPr/>
                <w:rPr>
                  <w:rFonts w:ascii="Cambria Math" w:hAnsi="Cambria Math"/>
                  <w:lang w:val="en-US"/>
                </w:rPr>
                <m:t xml:space="preserve"> +x</m:t>
              </m:r>
            </m:oMath>
            <w:r>
              <w:rPr>
                <w:lang w:val="en-US"/>
              </w:rPr>
              <w:t xml:space="preserve"> with x=0, 1, 1.5, 2, 3 dB.</w:t>
            </w:r>
          </w:p>
          <w:p w14:paraId="3BB7A175">
            <w:pPr>
              <w:overflowPunct/>
              <w:autoSpaceDE/>
              <w:autoSpaceDN/>
              <w:adjustRightInd/>
              <w:spacing w:after="0"/>
              <w:jc w:val="both"/>
              <w:textAlignment w:val="auto"/>
              <w:rPr>
                <w:lang w:val="en-US"/>
              </w:rPr>
            </w:pPr>
          </w:p>
          <w:p w14:paraId="682C7C46">
            <w:pPr>
              <w:overflowPunct/>
              <w:autoSpaceDE/>
              <w:autoSpaceDN/>
              <w:adjustRightInd/>
              <w:spacing w:after="0"/>
              <w:jc w:val="both"/>
              <w:textAlignment w:val="auto"/>
              <w:rPr>
                <w:lang w:val="en-US"/>
              </w:rPr>
            </w:pPr>
          </w:p>
          <w:p w14:paraId="32EA33B9">
            <w:pPr>
              <w:overflowPunct/>
              <w:autoSpaceDE/>
              <w:autoSpaceDN/>
              <w:adjustRightInd/>
              <w:spacing w:after="0"/>
              <w:jc w:val="both"/>
              <w:textAlignment w:val="auto"/>
              <w:rPr>
                <w:lang w:val="en-US"/>
              </w:rPr>
            </w:pPr>
            <w:r>
              <w:rPr>
                <w:lang w:val="en-US" w:eastAsia="zh-CN"/>
              </w:rPr>
              <w:drawing>
                <wp:inline distT="0" distB="0" distL="0" distR="0">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6B562416">
            <w:pPr>
              <w:overflowPunct/>
              <w:autoSpaceDE/>
              <w:autoSpaceDN/>
              <w:adjustRightInd/>
              <w:spacing w:after="0"/>
              <w:jc w:val="both"/>
              <w:textAlignment w:val="auto"/>
              <w:rPr>
                <w:sz w:val="22"/>
                <w:lang w:val="en-US"/>
              </w:rPr>
            </w:pPr>
          </w:p>
          <w:p w14:paraId="79533BD1">
            <w:pPr>
              <w:overflowPunct w:val="0"/>
              <w:autoSpaceDE w:val="0"/>
              <w:autoSpaceDN w:val="0"/>
              <w:adjustRightInd w:val="0"/>
              <w:spacing w:after="180"/>
              <w:jc w:val="both"/>
              <w:textAlignment w:val="baseline"/>
              <w:rPr>
                <w:sz w:val="22"/>
              </w:rPr>
            </w:pPr>
            <w:r>
              <w:rPr>
                <w:sz w:val="22"/>
              </w:rPr>
              <w:t>If the feedback CSI is mismatched from a power perspective, the gNodeB needs to over-dimension more its PAs compared to the matched case.</w:t>
            </w:r>
          </w:p>
          <w:p w14:paraId="3DBFC1A2">
            <w:pPr>
              <w:overflowPunct w:val="0"/>
              <w:autoSpaceDE w:val="0"/>
              <w:autoSpaceDN w:val="0"/>
              <w:adjustRightInd w:val="0"/>
              <w:spacing w:after="180"/>
              <w:jc w:val="both"/>
              <w:textAlignment w:val="baseline"/>
              <w:rPr>
                <w:sz w:val="22"/>
              </w:rPr>
            </w:pPr>
          </w:p>
        </w:tc>
      </w:tr>
      <w:tr w14:paraId="3370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51EF92B4">
            <w:pPr>
              <w:overflowPunct w:val="0"/>
              <w:autoSpaceDE w:val="0"/>
              <w:autoSpaceDN w:val="0"/>
              <w:adjustRightInd w:val="0"/>
              <w:spacing w:after="120" w:afterLines="50"/>
              <w:jc w:val="both"/>
              <w:textAlignment w:val="baseline"/>
              <w:rPr>
                <w:sz w:val="22"/>
                <w:lang w:val="en-US"/>
              </w:rPr>
            </w:pPr>
            <w:r>
              <w:rPr>
                <w:sz w:val="22"/>
                <w:lang w:val="en-US"/>
              </w:rPr>
              <w:t>Lenovo/ MotM</w:t>
            </w:r>
          </w:p>
        </w:tc>
        <w:tc>
          <w:tcPr>
            <w:tcW w:w="1023" w:type="dxa"/>
          </w:tcPr>
          <w:p w14:paraId="1328BF87">
            <w:pPr>
              <w:overflowPunct w:val="0"/>
              <w:autoSpaceDE w:val="0"/>
              <w:autoSpaceDN w:val="0"/>
              <w:adjustRightInd w:val="0"/>
              <w:spacing w:after="120" w:afterLines="50"/>
              <w:jc w:val="both"/>
              <w:textAlignment w:val="baseline"/>
              <w:rPr>
                <w:sz w:val="22"/>
                <w:lang w:val="en-US"/>
              </w:rPr>
            </w:pPr>
          </w:p>
        </w:tc>
        <w:tc>
          <w:tcPr>
            <w:tcW w:w="6912" w:type="dxa"/>
          </w:tcPr>
          <w:p w14:paraId="210A57E1">
            <w:pPr>
              <w:overflowPunct w:val="0"/>
              <w:autoSpaceDE w:val="0"/>
              <w:autoSpaceDN w:val="0"/>
              <w:adjustRightInd w:val="0"/>
              <w:spacing w:after="120" w:afterLines="50"/>
              <w:jc w:val="both"/>
              <w:textAlignment w:val="baseline"/>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14:paraId="2D8EA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01F6E885">
            <w:pPr>
              <w:overflowPunct w:val="0"/>
              <w:autoSpaceDE w:val="0"/>
              <w:autoSpaceDN w:val="0"/>
              <w:adjustRightInd w:val="0"/>
              <w:spacing w:after="120" w:afterLines="50"/>
              <w:jc w:val="both"/>
              <w:textAlignment w:val="baseline"/>
              <w:rPr>
                <w:sz w:val="22"/>
                <w:lang w:val="en-US"/>
              </w:rPr>
            </w:pPr>
            <w:r>
              <w:rPr>
                <w:sz w:val="22"/>
                <w:lang w:val="en-US"/>
              </w:rPr>
              <w:t>ZTE</w:t>
            </w:r>
          </w:p>
        </w:tc>
        <w:tc>
          <w:tcPr>
            <w:tcW w:w="1023" w:type="dxa"/>
          </w:tcPr>
          <w:p w14:paraId="2D8DDD0A">
            <w:pPr>
              <w:overflowPunct w:val="0"/>
              <w:autoSpaceDE w:val="0"/>
              <w:autoSpaceDN w:val="0"/>
              <w:adjustRightInd w:val="0"/>
              <w:spacing w:after="120" w:afterLines="50"/>
              <w:jc w:val="both"/>
              <w:textAlignment w:val="baseline"/>
              <w:rPr>
                <w:sz w:val="22"/>
                <w:lang w:val="en-US"/>
              </w:rPr>
            </w:pPr>
            <w:r>
              <w:rPr>
                <w:sz w:val="22"/>
                <w:lang w:val="en-US"/>
              </w:rPr>
              <w:t>Y</w:t>
            </w:r>
          </w:p>
        </w:tc>
        <w:tc>
          <w:tcPr>
            <w:tcW w:w="6912" w:type="dxa"/>
          </w:tcPr>
          <w:p w14:paraId="6F1B3876">
            <w:pPr>
              <w:overflowPunct w:val="0"/>
              <w:autoSpaceDE w:val="0"/>
              <w:autoSpaceDN w:val="0"/>
              <w:adjustRightInd w:val="0"/>
              <w:spacing w:after="120" w:afterLines="50"/>
              <w:jc w:val="both"/>
              <w:textAlignment w:val="baseline"/>
              <w:rPr>
                <w:sz w:val="22"/>
                <w:lang w:val="en-US"/>
              </w:rPr>
            </w:pPr>
            <w:r>
              <w:rPr>
                <w:sz w:val="22"/>
                <w:lang w:val="en-US"/>
              </w:rPr>
              <w:t xml:space="preserve">We identify the benefit for DL CSI, while considering the margin of TX power for gNB antenna port. Regarding UE complexity, it may be much relevant to final CQI calculation and can be well handled. </w:t>
            </w:r>
          </w:p>
        </w:tc>
      </w:tr>
      <w:tr w14:paraId="2BF2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05610A81">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14:paraId="13053163">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14:paraId="4587F992">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w:t>
            </w:r>
            <w:r>
              <w:rPr>
                <w:rFonts w:hint="eastAsia" w:eastAsiaTheme="minor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14:paraId="4748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0E3B0B2A">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asciiTheme="minorEastAsia" w:hAnsiTheme="minorEastAsia" w:eastAsiaTheme="minorEastAsia"/>
                <w:sz w:val="22"/>
                <w:lang w:eastAsia="zh-CN"/>
              </w:rPr>
              <w:t>Qual</w:t>
            </w:r>
            <w:r>
              <w:rPr>
                <w:rFonts w:hint="eastAsia" w:eastAsiaTheme="minorEastAsia"/>
                <w:sz w:val="22"/>
                <w:lang w:eastAsia="zh-CN"/>
              </w:rPr>
              <w:t>comm</w:t>
            </w:r>
          </w:p>
        </w:tc>
        <w:tc>
          <w:tcPr>
            <w:tcW w:w="1023" w:type="dxa"/>
          </w:tcPr>
          <w:p w14:paraId="2361294D">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14:paraId="45B46EDF">
            <w:pPr>
              <w:overflowPunct w:val="0"/>
              <w:autoSpaceDE w:val="0"/>
              <w:autoSpaceDN w:val="0"/>
              <w:adjustRightInd w:val="0"/>
              <w:spacing w:after="120" w:afterLines="50"/>
              <w:jc w:val="both"/>
              <w:textAlignment w:val="baseline"/>
              <w:rPr>
                <w:rFonts w:eastAsiaTheme="minorEastAsia"/>
                <w:sz w:val="22"/>
                <w:szCs w:val="22"/>
                <w:lang w:eastAsia="zh-CN"/>
                <w14:ligatures w14:val="standardContextual"/>
              </w:rPr>
            </w:pPr>
            <w:r>
              <w:rPr>
                <w:rFonts w:hint="eastAsia" w:eastAsiaTheme="minor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hAnsi="Cambria Math" w:cs="Calibri" w:eastAsiaTheme="minorHAnsi"/>
                      <w:sz w:val="22"/>
                      <w:szCs w:val="22"/>
                      <w:lang w:eastAsia="en-US"/>
                      <w14:ligatures w14:val="standardContextual"/>
                    </w:rPr>
                  </m:ctrlPr>
                </m:sSubPr>
                <m:e>
                  <m:r>
                    <m:rPr/>
                    <w:rPr>
                      <w:rFonts w:ascii="Cambria Math" w:hAnsi="Cambria Math"/>
                    </w:rPr>
                    <m:t>P</m:t>
                  </m:r>
                  <m:ctrlPr>
                    <w:rPr>
                      <w:rFonts w:ascii="Cambria Math" w:hAnsi="Cambria Math" w:cs="Calibri" w:eastAsiaTheme="minorHAnsi"/>
                      <w:sz w:val="22"/>
                      <w:szCs w:val="22"/>
                      <w:lang w:eastAsia="en-US"/>
                      <w14:ligatures w14:val="standardContextual"/>
                    </w:rPr>
                  </m:ctrlPr>
                </m:e>
                <m:sub>
                  <m:r>
                    <m:rPr/>
                    <w:rPr>
                      <w:rFonts w:ascii="Cambria Math" w:hAnsi="Cambria Math"/>
                    </w:rPr>
                    <m:t>t</m:t>
                  </m:r>
                  <m:ctrlPr>
                    <w:rPr>
                      <w:rFonts w:ascii="Cambria Math" w:hAnsi="Cambria Math" w:cs="Calibri" w:eastAsiaTheme="minorHAnsi"/>
                      <w:sz w:val="22"/>
                      <w:szCs w:val="22"/>
                      <w:lang w:eastAsia="en-US"/>
                      <w14:ligatures w14:val="standardContextual"/>
                    </w:rPr>
                  </m:ctrlPr>
                </m:sub>
              </m:sSub>
            </m:oMath>
            <w:r>
              <w:rPr>
                <w:rFonts w:hint="eastAsia" w:eastAsiaTheme="minorEastAsia"/>
                <w:sz w:val="22"/>
                <w:szCs w:val="22"/>
                <w:lang w:eastAsia="zh-CN"/>
                <w14:ligatures w14:val="standardContextual"/>
              </w:rPr>
              <w:t xml:space="preserve"> of each port, for the proposed config.</w:t>
            </w:r>
          </w:p>
          <w:p w14:paraId="065F116E">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eastAsia="zh-CN"/>
              </w:rPr>
              <w:t>We have two understandings:</w:t>
            </w:r>
          </w:p>
          <w:p w14:paraId="3E7B5D03">
            <w:pPr>
              <w:pStyle w:val="108"/>
              <w:numPr>
                <w:ilvl w:val="0"/>
                <w:numId w:val="37"/>
              </w:numPr>
              <w:overflowPunct w:val="0"/>
              <w:autoSpaceDE w:val="0"/>
              <w:autoSpaceDN w:val="0"/>
              <w:adjustRightInd w:val="0"/>
              <w:spacing w:after="120" w:afterLines="50"/>
              <w:ind w:leftChars="0"/>
              <w:jc w:val="both"/>
              <w:textAlignment w:val="baseline"/>
              <w:rPr>
                <w:rFonts w:eastAsiaTheme="minorEastAsia"/>
                <w:sz w:val="22"/>
                <w:lang w:eastAsia="zh-CN"/>
              </w:rPr>
            </w:pPr>
            <w:r>
              <w:rPr>
                <w:rFonts w:hint="eastAsia" w:eastAsiaTheme="minorEastAsia"/>
                <w:sz w:val="22"/>
                <w:lang w:eastAsia="zh-CN"/>
              </w:rPr>
              <w:t>Restrictions on PMI coefficient when UE does SVD.</w:t>
            </w:r>
          </w:p>
          <w:p w14:paraId="0C9D1B57">
            <w:pPr>
              <w:pStyle w:val="108"/>
              <w:numPr>
                <w:ilvl w:val="0"/>
                <w:numId w:val="37"/>
              </w:numPr>
              <w:overflowPunct w:val="0"/>
              <w:autoSpaceDE w:val="0"/>
              <w:autoSpaceDN w:val="0"/>
              <w:adjustRightInd w:val="0"/>
              <w:spacing w:after="120" w:afterLines="50"/>
              <w:ind w:leftChars="0"/>
              <w:jc w:val="both"/>
              <w:textAlignment w:val="baseline"/>
              <w:rPr>
                <w:rFonts w:eastAsiaTheme="minorEastAsia"/>
                <w:sz w:val="22"/>
                <w:lang w:eastAsia="zh-CN"/>
              </w:rPr>
            </w:pPr>
            <w:r>
              <w:rPr>
                <w:rFonts w:hint="eastAsia" w:eastAsiaTheme="minorEastAsia"/>
                <w:sz w:val="22"/>
                <w:lang w:eastAsia="zh-CN"/>
              </w:rPr>
              <w:t>Mainly impact CQI report, and improve link adaptation convergency faster with more accurate CQI/MCS.</w:t>
            </w:r>
          </w:p>
          <w:p w14:paraId="393A5710">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eastAsia="zh-CN"/>
              </w:rPr>
              <w:t>If it is 1), we think UE complexity is very high, and would like the proponent companies to elaborate more;</w:t>
            </w:r>
          </w:p>
          <w:p w14:paraId="75A99EF1">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eastAsia="zh-CN"/>
              </w:rPr>
              <w:t>If it is 2), we have questions for the performance curve: How to understand SE v.s. SNR curve for link adaptation simulation?</w:t>
            </w:r>
          </w:p>
        </w:tc>
      </w:tr>
      <w:tr w14:paraId="43B3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2B37433E">
            <w:pPr>
              <w:overflowPunct w:val="0"/>
              <w:autoSpaceDE w:val="0"/>
              <w:autoSpaceDN w:val="0"/>
              <w:adjustRightInd w:val="0"/>
              <w:spacing w:after="120" w:afterLines="50"/>
              <w:jc w:val="both"/>
              <w:textAlignment w:val="baseline"/>
              <w:rPr>
                <w:rFonts w:asciiTheme="minorEastAsia" w:hAnsiTheme="minorEastAsia" w:eastAsiaTheme="minorEastAsia"/>
                <w:sz w:val="22"/>
                <w:lang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14:paraId="5CDFD5AB">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14:paraId="0C3D76D7">
            <w:pPr>
              <w:pStyle w:val="24"/>
              <w:overflowPunct w:val="0"/>
              <w:autoSpaceDE w:val="0"/>
              <w:autoSpaceDN w:val="0"/>
              <w:adjustRightInd w:val="0"/>
              <w:spacing w:after="180"/>
              <w:textAlignment w:val="baseline"/>
              <w:rPr>
                <w:rFonts w:eastAsiaTheme="minorEastAsia"/>
                <w:bCs/>
                <w:lang w:eastAsia="zh-CN"/>
              </w:rPr>
            </w:pPr>
            <w:r>
              <w:rPr>
                <w:rFonts w:eastAsiaTheme="minorEastAsia"/>
                <w:lang w:eastAsia="zh-CN"/>
              </w:rPr>
              <w:t xml:space="preserve">First, </w:t>
            </w:r>
            <w:r>
              <w:rPr>
                <w:rFonts w:eastAsia="Calibri"/>
                <w:i/>
              </w:rPr>
              <w:t xml:space="preserve">powerControlOffset </w:t>
            </w:r>
            <w:r>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r w14:paraId="7D9F5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5BA78F01">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023" w:type="dxa"/>
          </w:tcPr>
          <w:p w14:paraId="521118EE">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14:paraId="1EB1A4BE">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hint="eastAsia" w:eastAsiaTheme="minorEastAsia"/>
                <w:sz w:val="22"/>
                <w:lang w:val="en-US" w:eastAsia="zh-CN"/>
              </w:rPr>
              <w:t>/</w:t>
            </w:r>
            <w:r>
              <w:rPr>
                <w:rFonts w:eastAsiaTheme="minorEastAsia"/>
                <w:sz w:val="22"/>
                <w:lang w:val="en-US" w:eastAsia="zh-CN"/>
              </w:rPr>
              <w:t xml:space="preserve">How it has impact on PMI selection and CQI calculation. </w:t>
            </w:r>
          </w:p>
          <w:p w14:paraId="260147B8">
            <w:pPr>
              <w:pStyle w:val="108"/>
              <w:numPr>
                <w:ilvl w:val="0"/>
                <w:numId w:val="38"/>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7D2A4E65">
            <w:pPr>
              <w:pStyle w:val="24"/>
              <w:overflowPunct w:val="0"/>
              <w:autoSpaceDE w:val="0"/>
              <w:autoSpaceDN w:val="0"/>
              <w:adjustRightInd w:val="0"/>
              <w:spacing w:after="180"/>
              <w:textAlignment w:val="baseline"/>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14:paraId="0498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6FE3DB64">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14:paraId="3A909A4F">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14:paraId="369DE3F8">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14:paraId="0282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110FF2A6">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14:paraId="3E663285">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14:paraId="5385B7F3">
            <w:pPr>
              <w:overflowPunct w:val="0"/>
              <w:autoSpaceDE w:val="0"/>
              <w:autoSpaceDN w:val="0"/>
              <w:adjustRightInd w:val="0"/>
              <w:spacing w:after="120" w:afterLines="50"/>
              <w:jc w:val="both"/>
              <w:textAlignment w:val="baseline"/>
              <w:rPr>
                <w:sz w:val="22"/>
                <w:lang w:val="en-US"/>
              </w:rPr>
            </w:pPr>
            <w:r>
              <w:rPr>
                <w:sz w:val="22"/>
                <w:lang w:val="en-US"/>
              </w:rPr>
              <w:t xml:space="preserve">It is our understanding that </w:t>
            </w:r>
          </w:p>
          <w:p w14:paraId="1D46BA58">
            <w:pPr>
              <w:pStyle w:val="108"/>
              <w:numPr>
                <w:ilvl w:val="0"/>
                <w:numId w:val="39"/>
              </w:numPr>
              <w:overflowPunct w:val="0"/>
              <w:autoSpaceDE w:val="0"/>
              <w:autoSpaceDN w:val="0"/>
              <w:adjustRightInd w:val="0"/>
              <w:spacing w:after="120" w:afterLines="50"/>
              <w:ind w:leftChars="0"/>
              <w:jc w:val="both"/>
              <w:textAlignment w:val="baseline"/>
              <w:rPr>
                <w:sz w:val="22"/>
                <w:lang w:val="en-US"/>
              </w:rPr>
            </w:pPr>
            <w:r>
              <w:rPr>
                <w:sz w:val="22"/>
                <w:lang w:val="en-US"/>
              </w:rPr>
              <w:t xml:space="preserve">the main target use case of eType-II is for MU-MIMO where gNB will recalculate precoder, MCS, and rank based on their scheduler algorithm, hence design philosophy seems different from the considered use case (SU-MIMO) in this TEI.     </w:t>
            </w:r>
          </w:p>
          <w:p w14:paraId="205DC611">
            <w:pPr>
              <w:pStyle w:val="108"/>
              <w:numPr>
                <w:ilvl w:val="0"/>
                <w:numId w:val="39"/>
              </w:numPr>
              <w:overflowPunct w:val="0"/>
              <w:autoSpaceDE w:val="0"/>
              <w:autoSpaceDN w:val="0"/>
              <w:adjustRightInd w:val="0"/>
              <w:spacing w:after="120" w:afterLines="50"/>
              <w:ind w:leftChars="0"/>
              <w:jc w:val="both"/>
              <w:textAlignment w:val="baseline"/>
              <w:rPr>
                <w:sz w:val="22"/>
                <w:lang w:val="en-US"/>
              </w:rPr>
            </w:pPr>
            <w:r>
              <w:rPr>
                <w:sz w:val="22"/>
                <w:lang w:val="en-US"/>
              </w:rPr>
              <w:t>LPC constraint is not a problem in gNB implementation as long as the power per antenna port does not exceed a certain maximum value (which is sufficiently large), so finding precoders under the LPC constraints are not applicable to most of the scenarios.</w:t>
            </w:r>
          </w:p>
          <w:p w14:paraId="6B6A0692">
            <w:pPr>
              <w:pStyle w:val="108"/>
              <w:numPr>
                <w:ilvl w:val="0"/>
                <w:numId w:val="39"/>
              </w:numPr>
              <w:overflowPunct w:val="0"/>
              <w:autoSpaceDE w:val="0"/>
              <w:autoSpaceDN w:val="0"/>
              <w:adjustRightInd w:val="0"/>
              <w:spacing w:after="120" w:afterLines="50"/>
              <w:ind w:leftChars="0"/>
              <w:jc w:val="both"/>
              <w:textAlignment w:val="baseline"/>
              <w:rPr>
                <w:sz w:val="22"/>
                <w:lang w:val="en-US"/>
              </w:rPr>
            </w:pPr>
            <w:r>
              <w:rPr>
                <w:sz w:val="22"/>
                <w:lang w:val="en-US"/>
              </w:rPr>
              <w:t xml:space="preserve">For some reason, if LPC is critical to gNB implementation and gNB wants to schedule SU-MIMO, gNB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4FCCB220">
            <w:pPr>
              <w:pStyle w:val="108"/>
              <w:numPr>
                <w:ilvl w:val="0"/>
                <w:numId w:val="39"/>
              </w:numPr>
              <w:overflowPunct w:val="0"/>
              <w:autoSpaceDE w:val="0"/>
              <w:autoSpaceDN w:val="0"/>
              <w:adjustRightInd w:val="0"/>
              <w:spacing w:after="120" w:afterLines="50"/>
              <w:ind w:leftChars="0"/>
              <w:jc w:val="both"/>
              <w:textAlignment w:val="baseline"/>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689FCF6D">
            <w:pPr>
              <w:overflowPunct w:val="0"/>
              <w:autoSpaceDE w:val="0"/>
              <w:autoSpaceDN w:val="0"/>
              <w:adjustRightInd w:val="0"/>
              <w:spacing w:after="120" w:afterLines="50"/>
              <w:jc w:val="both"/>
              <w:textAlignment w:val="baseline"/>
              <w:rPr>
                <w:sz w:val="22"/>
                <w:lang w:val="en-US"/>
              </w:rPr>
            </w:pPr>
            <w:r>
              <w:rPr>
                <w:sz w:val="22"/>
                <w:lang w:val="en-US"/>
              </w:rPr>
              <w:t xml:space="preserve">This feature seems forcing UE implementation in a restricted manner and making UE computational complexity high, which is not favorable.   </w:t>
            </w:r>
          </w:p>
        </w:tc>
      </w:tr>
      <w:tr w14:paraId="61EB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772B21DD">
            <w:pPr>
              <w:overflowPunct w:val="0"/>
              <w:autoSpaceDE w:val="0"/>
              <w:autoSpaceDN w:val="0"/>
              <w:adjustRightInd w:val="0"/>
              <w:spacing w:after="120" w:afterLines="50"/>
              <w:jc w:val="both"/>
              <w:textAlignment w:val="baseline"/>
              <w:rPr>
                <w:rFonts w:eastAsia="Malgun Gothic"/>
                <w:sz w:val="22"/>
                <w:lang w:val="en-US" w:eastAsia="ko-KR"/>
              </w:rPr>
            </w:pPr>
            <w:r>
              <w:rPr>
                <w:rFonts w:asciiTheme="minorEastAsia" w:hAnsiTheme="minorEastAsia" w:eastAsiaTheme="minorEastAsia"/>
                <w:sz w:val="22"/>
                <w:lang w:eastAsia="zh-CN"/>
              </w:rPr>
              <w:t xml:space="preserve">Ericsson </w:t>
            </w:r>
          </w:p>
        </w:tc>
        <w:tc>
          <w:tcPr>
            <w:tcW w:w="1023" w:type="dxa"/>
          </w:tcPr>
          <w:p w14:paraId="568F082A">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N </w:t>
            </w:r>
          </w:p>
        </w:tc>
        <w:tc>
          <w:tcPr>
            <w:tcW w:w="6912" w:type="dxa"/>
          </w:tcPr>
          <w:p w14:paraId="4A5B7D84">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eg ZF or any other algorithm to derive DL precoder). </w:t>
            </w:r>
          </w:p>
        </w:tc>
      </w:tr>
      <w:tr w14:paraId="4A3C1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1ED84D03">
            <w:pPr>
              <w:overflowPunct w:val="0"/>
              <w:autoSpaceDE w:val="0"/>
              <w:autoSpaceDN w:val="0"/>
              <w:adjustRightInd w:val="0"/>
              <w:spacing w:after="120" w:afterLines="50"/>
              <w:jc w:val="both"/>
              <w:textAlignment w:val="baseline"/>
              <w:rPr>
                <w:rFonts w:asciiTheme="minorEastAsia" w:hAnsiTheme="minorEastAsia" w:eastAsiaTheme="minorEastAsia"/>
                <w:sz w:val="22"/>
                <w:lang w:eastAsia="zh-CN"/>
              </w:rPr>
            </w:pPr>
            <w:r>
              <w:rPr>
                <w:rFonts w:eastAsiaTheme="minorEastAsia"/>
                <w:sz w:val="22"/>
                <w:lang w:val="en-US" w:eastAsia="zh-CN"/>
              </w:rPr>
              <w:t>Nokia</w:t>
            </w:r>
          </w:p>
        </w:tc>
        <w:tc>
          <w:tcPr>
            <w:tcW w:w="1023" w:type="dxa"/>
          </w:tcPr>
          <w:p w14:paraId="4ADFB3D9">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TBD</w:t>
            </w:r>
          </w:p>
        </w:tc>
        <w:tc>
          <w:tcPr>
            <w:tcW w:w="6912" w:type="dxa"/>
          </w:tcPr>
          <w:p w14:paraId="1DF4808C">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We are open to discuss this proposal further to understand the merits and how the solution could be applied.</w:t>
            </w:r>
          </w:p>
        </w:tc>
      </w:tr>
    </w:tbl>
    <w:p w14:paraId="51152341">
      <w:pPr>
        <w:rPr>
          <w:b/>
        </w:rPr>
      </w:pPr>
    </w:p>
    <w:p w14:paraId="6A63BD3E">
      <w:pPr>
        <w:rPr>
          <w:b/>
        </w:rPr>
      </w:pPr>
    </w:p>
    <w:p w14:paraId="1253FFDD">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SR triggered SSSG fallback</w:t>
      </w:r>
    </w:p>
    <w:p w14:paraId="6F6B985A">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14:paraId="02B9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tcPr>
          <w:p w14:paraId="18643AE8">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[7</w:t>
            </w:r>
            <w:r>
              <w:rPr>
                <w:rFonts w:ascii="Arial" w:hAnsi="Arial" w:eastAsia="MS Mincho"/>
                <w:sz w:val="22"/>
                <w:szCs w:val="22"/>
                <w:lang w:val="en-US"/>
              </w:rPr>
              <w:t>]</w:t>
            </w:r>
          </w:p>
        </w:tc>
        <w:tc>
          <w:tcPr>
            <w:tcW w:w="9066" w:type="dxa"/>
          </w:tcPr>
          <w:p w14:paraId="153819BE">
            <w:pPr>
              <w:overflowPunct w:val="0"/>
              <w:autoSpaceDE w:val="0"/>
              <w:autoSpaceDN w:val="0"/>
              <w:adjustRightInd w:val="0"/>
              <w:spacing w:after="180"/>
              <w:textAlignment w:val="baseline"/>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11846BCE">
            <w:pPr>
              <w:overflowPunct w:val="0"/>
              <w:autoSpaceDE w:val="0"/>
              <w:autoSpaceDN w:val="0"/>
              <w:adjustRightInd w:val="0"/>
              <w:spacing w:after="180"/>
              <w:textAlignment w:val="baseline"/>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3218E088">
            <w:pPr>
              <w:overflowPunct w:val="0"/>
              <w:autoSpaceDE w:val="0"/>
              <w:autoSpaceDN w:val="0"/>
              <w:adjustRightInd w:val="0"/>
              <w:spacing w:after="180"/>
              <w:textAlignment w:val="baseline"/>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651509BB">
            <w:pPr>
              <w:overflowPunct w:val="0"/>
              <w:autoSpaceDE w:val="0"/>
              <w:autoSpaceDN w:val="0"/>
              <w:adjustRightInd w:val="0"/>
              <w:spacing w:after="180"/>
              <w:textAlignment w:val="baseline"/>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1717FE9F">
            <w:pPr>
              <w:overflowPunct w:val="0"/>
              <w:autoSpaceDE w:val="0"/>
              <w:autoSpaceDN w:val="0"/>
              <w:adjustRightInd w:val="0"/>
              <w:spacing w:after="0"/>
              <w:jc w:val="center"/>
              <w:textAlignment w:val="baseline"/>
              <w:rPr>
                <w:sz w:val="18"/>
                <w:szCs w:val="18"/>
              </w:rPr>
            </w:pPr>
            <w:r>
              <w:rPr>
                <w:sz w:val="18"/>
                <w:szCs w:val="18"/>
                <w:lang w:val="en-US" w:eastAsia="zh-CN"/>
              </w:rPr>
              <w:drawing>
                <wp:inline distT="0" distB="0" distL="0" distR="0">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BED61C">
            <w:pPr>
              <w:overflowPunct w:val="0"/>
              <w:autoSpaceDE w:val="0"/>
              <w:autoSpaceDN w:val="0"/>
              <w:adjustRightInd w:val="0"/>
              <w:spacing w:after="0"/>
              <w:jc w:val="center"/>
              <w:textAlignment w:val="baseline"/>
              <w:rPr>
                <w:sz w:val="18"/>
                <w:szCs w:val="18"/>
              </w:rPr>
            </w:pPr>
            <w:r>
              <w:rPr>
                <w:rFonts w:hint="eastAsia"/>
                <w:sz w:val="18"/>
                <w:szCs w:val="18"/>
              </w:rPr>
              <w:t>(a)</w:t>
            </w:r>
          </w:p>
          <w:p w14:paraId="6FB071A3">
            <w:pPr>
              <w:overflowPunct w:val="0"/>
              <w:autoSpaceDE w:val="0"/>
              <w:autoSpaceDN w:val="0"/>
              <w:adjustRightInd w:val="0"/>
              <w:spacing w:after="0"/>
              <w:jc w:val="center"/>
              <w:textAlignment w:val="baseline"/>
              <w:rPr>
                <w:sz w:val="18"/>
                <w:szCs w:val="18"/>
              </w:rPr>
            </w:pPr>
            <w:r>
              <w:rPr>
                <w:sz w:val="18"/>
                <w:szCs w:val="18"/>
                <w:lang w:val="en-US" w:eastAsia="zh-CN"/>
              </w:rPr>
              <w:drawing>
                <wp:inline distT="0" distB="0" distL="0" distR="0">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E0EDC8">
            <w:pPr>
              <w:overflowPunct w:val="0"/>
              <w:autoSpaceDE w:val="0"/>
              <w:autoSpaceDN w:val="0"/>
              <w:adjustRightInd w:val="0"/>
              <w:spacing w:after="0"/>
              <w:jc w:val="center"/>
              <w:textAlignment w:val="baseline"/>
              <w:rPr>
                <w:sz w:val="18"/>
                <w:szCs w:val="18"/>
              </w:rPr>
            </w:pPr>
            <w:r>
              <w:rPr>
                <w:rFonts w:hint="eastAsia"/>
                <w:sz w:val="18"/>
                <w:szCs w:val="18"/>
              </w:rPr>
              <w:t>(b)</w:t>
            </w:r>
          </w:p>
          <w:p w14:paraId="6CDA2836">
            <w:pPr>
              <w:pStyle w:val="21"/>
              <w:overflowPunct w:val="0"/>
              <w:autoSpaceDE w:val="0"/>
              <w:autoSpaceDN w:val="0"/>
              <w:adjustRightInd w:val="0"/>
              <w:jc w:val="center"/>
              <w:textAlignment w:val="baseline"/>
              <w:rPr>
                <w:rFonts w:eastAsia="等线"/>
                <w:sz w:val="18"/>
                <w:szCs w:val="18"/>
                <w:lang w:eastAsia="zh-CN"/>
              </w:rPr>
            </w:pPr>
            <w:bookmarkStart w:id="22"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2"/>
            <w:r>
              <w:rPr>
                <w:sz w:val="18"/>
                <w:szCs w:val="18"/>
              </w:rPr>
              <w:t>: Power saving gain vs. latency: (a) uplink latency, (b) downlink latency.</w:t>
            </w:r>
          </w:p>
          <w:p w14:paraId="222004BE">
            <w:pPr>
              <w:pStyle w:val="21"/>
              <w:overflowPunct w:val="0"/>
              <w:autoSpaceDE w:val="0"/>
              <w:autoSpaceDN w:val="0"/>
              <w:adjustRightInd w:val="0"/>
              <w:textAlignment w:val="baseline"/>
              <w:rPr>
                <w:sz w:val="18"/>
                <w:szCs w:val="18"/>
              </w:rPr>
            </w:pPr>
            <w:bookmarkStart w:id="23" w:name="Pro3"/>
            <w:r>
              <w:rPr>
                <w:sz w:val="18"/>
                <w:szCs w:val="18"/>
                <w:u w:val="single"/>
              </w:rPr>
              <w:t>Proposal 1</w:t>
            </w:r>
            <w:r>
              <w:rPr>
                <w:sz w:val="18"/>
                <w:szCs w:val="18"/>
              </w:rPr>
              <w:t>: If a UE is in</w:t>
            </w:r>
            <w:r>
              <w:rPr>
                <w:rFonts w:hint="eastAsia" w:eastAsia="Malgun Gothic"/>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ctrlPr>
                    <w:rPr>
                      <w:rFonts w:ascii="Cambria Math" w:hAnsi="Cambria Math"/>
                      <w:i/>
                      <w:sz w:val="18"/>
                      <w:szCs w:val="18"/>
                    </w:rPr>
                  </m:ctrlPr>
                </m:e>
                <m:sub>
                  <m:r>
                    <m:rPr>
                      <m:sty m:val="bi"/>
                    </m:rPr>
                    <w:rPr>
                      <w:rFonts w:ascii="Cambria Math" w:hAnsi="Cambria Math"/>
                      <w:sz w:val="18"/>
                      <w:szCs w:val="18"/>
                    </w:rPr>
                    <m:t>switch</m:t>
                  </m:r>
                  <m:ctrlPr>
                    <w:rPr>
                      <w:rFonts w:ascii="Cambria Math" w:hAnsi="Cambria Math"/>
                      <w:i/>
                      <w:sz w:val="18"/>
                      <w:szCs w:val="18"/>
                    </w:rPr>
                  </m:ctrlPr>
                </m:sub>
              </m:sSub>
            </m:oMath>
            <w:r>
              <w:rPr>
                <w:sz w:val="18"/>
                <w:szCs w:val="18"/>
              </w:rPr>
              <w:t xml:space="preserve"> symbols after the last symbol of a PUCCH carrying an SR.</w:t>
            </w:r>
            <w:bookmarkEnd w:id="23"/>
          </w:p>
          <w:p w14:paraId="6B2F3F3C">
            <w:pPr>
              <w:overflowPunct w:val="0"/>
              <w:autoSpaceDE w:val="0"/>
              <w:autoSpaceDN w:val="0"/>
              <w:adjustRightInd w:val="0"/>
              <w:spacing w:before="120" w:after="120"/>
              <w:jc w:val="both"/>
              <w:textAlignment w:val="baseline"/>
              <w:rPr>
                <w:rFonts w:ascii="Arial" w:hAnsi="Arial" w:eastAsia="Calibri" w:cs="Arial"/>
                <w:b/>
                <w:bCs/>
                <w:sz w:val="20"/>
                <w:szCs w:val="22"/>
                <w:lang w:val="en-US"/>
              </w:rPr>
            </w:pPr>
          </w:p>
        </w:tc>
      </w:tr>
    </w:tbl>
    <w:p w14:paraId="2FB5938E">
      <w:pPr>
        <w:rPr>
          <w:b/>
        </w:rPr>
      </w:pPr>
    </w:p>
    <w:p w14:paraId="6F8004CA">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14:paraId="0C2BAB35">
      <w:pPr>
        <w:rPr>
          <w:rFonts w:ascii="Arial" w:hAnsi="Arial" w:eastAsia="MS Mincho"/>
          <w:sz w:val="32"/>
          <w:szCs w:val="32"/>
        </w:rPr>
      </w:pPr>
    </w:p>
    <w:p w14:paraId="355600A9">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10</w:t>
      </w:r>
    </w:p>
    <w:p w14:paraId="79B7C059">
      <w:pPr>
        <w:pStyle w:val="108"/>
        <w:numPr>
          <w:ilvl w:val="0"/>
          <w:numId w:val="20"/>
        </w:numPr>
        <w:ind w:leftChars="0"/>
        <w:jc w:val="both"/>
        <w:rPr>
          <w:b/>
        </w:rPr>
      </w:pPr>
      <w:r>
        <w:rPr>
          <w:rFonts w:hint="eastAsia"/>
          <w:b/>
        </w:rPr>
        <w:t>Support the following search space set group switching.</w:t>
      </w:r>
    </w:p>
    <w:p w14:paraId="332B4E73">
      <w:pPr>
        <w:pStyle w:val="108"/>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ctrlPr>
              <w:rPr>
                <w:rFonts w:ascii="Cambria Math" w:hAnsi="Cambria Math"/>
                <w:b/>
                <w:i/>
              </w:rPr>
            </m:ctrlPr>
          </m:e>
          <m:sub>
            <m:r>
              <m:rPr>
                <m:sty m:val="bi"/>
              </m:rPr>
              <w:rPr>
                <w:rFonts w:ascii="Cambria Math" w:hAnsi="Cambria Math"/>
              </w:rPr>
              <m:t>switch</m:t>
            </m:r>
            <m:ctrlPr>
              <w:rPr>
                <w:rFonts w:ascii="Cambria Math" w:hAnsi="Cambria Math"/>
                <w:b/>
                <w:i/>
              </w:rPr>
            </m:ctrlPr>
          </m:sub>
        </m:sSub>
      </m:oMath>
      <w:r>
        <w:rPr>
          <w:b/>
        </w:rPr>
        <w:t xml:space="preserve"> symbols after the last symbol of a PUCCH carrying an SR.</w:t>
      </w:r>
    </w:p>
    <w:p w14:paraId="2A2B33E0">
      <w:pPr>
        <w:rPr>
          <w:rFonts w:eastAsia="MS Mincho" w:cs="Batang"/>
          <w:sz w:val="22"/>
          <w:szCs w:val="22"/>
        </w:rPr>
      </w:pPr>
    </w:p>
    <w:p w14:paraId="667DA3F9">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Qualcomm</w:t>
      </w:r>
      <w:r>
        <w:rPr>
          <w:rFonts w:eastAsia="MS Mincho" w:cs="Batang"/>
          <w:sz w:val="22"/>
          <w:szCs w:val="22"/>
        </w:rPr>
        <w:t>.</w:t>
      </w:r>
    </w:p>
    <w:p w14:paraId="0730561B">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14:paraId="7CB2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14:paraId="7F18775C">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14:paraId="1B2E9FCD">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14:paraId="375DA320">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14:paraId="6E271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6D424A59">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14:paraId="2962102C">
            <w:pPr>
              <w:overflowPunct w:val="0"/>
              <w:autoSpaceDE w:val="0"/>
              <w:autoSpaceDN w:val="0"/>
              <w:adjustRightInd w:val="0"/>
              <w:spacing w:after="120" w:afterLines="50"/>
              <w:jc w:val="both"/>
              <w:textAlignment w:val="baseline"/>
              <w:rPr>
                <w:rFonts w:eastAsia="Malgun Gothic"/>
                <w:sz w:val="22"/>
                <w:lang w:val="en-US" w:eastAsia="ko-KR"/>
              </w:rPr>
            </w:pPr>
          </w:p>
        </w:tc>
        <w:tc>
          <w:tcPr>
            <w:tcW w:w="6912" w:type="dxa"/>
          </w:tcPr>
          <w:p w14:paraId="225F36BF">
            <w:pPr>
              <w:pStyle w:val="108"/>
              <w:numPr>
                <w:ilvl w:val="6"/>
                <w:numId w:val="26"/>
              </w:numPr>
              <w:overflowPunct w:val="0"/>
              <w:autoSpaceDE w:val="0"/>
              <w:autoSpaceDN w:val="0"/>
              <w:adjustRightInd w:val="0"/>
              <w:spacing w:after="120" w:afterLines="50"/>
              <w:ind w:left="289" w:leftChars="0"/>
              <w:jc w:val="both"/>
              <w:textAlignment w:val="baseline"/>
              <w:rPr>
                <w:rFonts w:eastAsiaTheme="minorEastAsia"/>
                <w:sz w:val="22"/>
                <w:lang w:val="en-US" w:eastAsia="zh-CN"/>
              </w:rPr>
            </w:pPr>
            <w:r>
              <w:rPr>
                <w:rFonts w:eastAsiaTheme="minorEastAsia"/>
                <w:sz w:val="22"/>
                <w:lang w:val="en-US" w:eastAsia="zh-CN"/>
              </w:rPr>
              <w:t xml:space="preserve">There are proposals in Rel-17/18 CR discussion </w:t>
            </w:r>
            <w:r>
              <w:rPr>
                <w:rFonts w:hint="eastAsia" w:eastAsiaTheme="minor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69307A54">
            <w:pPr>
              <w:pStyle w:val="108"/>
              <w:numPr>
                <w:ilvl w:val="6"/>
                <w:numId w:val="26"/>
              </w:numPr>
              <w:overflowPunct w:val="0"/>
              <w:autoSpaceDE w:val="0"/>
              <w:autoSpaceDN w:val="0"/>
              <w:adjustRightInd w:val="0"/>
              <w:spacing w:after="120" w:afterLines="50"/>
              <w:ind w:left="289" w:leftChars="0"/>
              <w:jc w:val="both"/>
              <w:textAlignment w:val="baseline"/>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Pr>
                <w:rFonts w:hint="eastAsia" w:eastAsiaTheme="minorEastAsia"/>
                <w:sz w:val="22"/>
                <w:lang w:val="en-US" w:eastAsia="zh-CN"/>
              </w:rPr>
              <w:t>(</w:t>
            </w:r>
            <w:r>
              <w:rPr>
                <w:rFonts w:eastAsiaTheme="minorEastAsia"/>
                <w:sz w:val="22"/>
                <w:lang w:val="en-US" w:eastAsia="zh-CN"/>
              </w:rPr>
              <w:t>the densely monitored SSSG).</w:t>
            </w:r>
          </w:p>
        </w:tc>
      </w:tr>
      <w:tr w14:paraId="7D37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58C7EB55">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14:paraId="79026F6B">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912" w:type="dxa"/>
          </w:tcPr>
          <w:p w14:paraId="5AD250E5">
            <w:pPr>
              <w:pStyle w:val="24"/>
              <w:overflowPunct w:val="0"/>
              <w:autoSpaceDE w:val="0"/>
              <w:autoSpaceDN w:val="0"/>
              <w:adjustRightInd w:val="0"/>
              <w:spacing w:after="180"/>
              <w:textAlignment w:val="baseline"/>
            </w:pPr>
            <w:r>
              <w:t>Reasons:</w:t>
            </w:r>
          </w:p>
          <w:p w14:paraId="6D893CBF">
            <w:pPr>
              <w:pStyle w:val="24"/>
              <w:numPr>
                <w:ilvl w:val="0"/>
                <w:numId w:val="40"/>
              </w:numPr>
              <w:overflowPunct w:val="0"/>
              <w:autoSpaceDE w:val="0"/>
              <w:autoSpaceDN w:val="0"/>
              <w:adjustRightInd w:val="0"/>
              <w:spacing w:after="180"/>
              <w:textAlignment w:val="baseline"/>
            </w:pPr>
            <w:r>
              <w:t>SSSG switching or PDCCH skipping can be used for power saving. Existing method like PDCCH skipping can achieve low UL latency and UE power saving.</w:t>
            </w:r>
          </w:p>
          <w:p w14:paraId="5D13EF54">
            <w:pPr>
              <w:pStyle w:val="24"/>
              <w:numPr>
                <w:ilvl w:val="0"/>
                <w:numId w:val="40"/>
              </w:numPr>
              <w:overflowPunct w:val="0"/>
              <w:autoSpaceDE w:val="0"/>
              <w:autoSpaceDN w:val="0"/>
              <w:adjustRightInd w:val="0"/>
              <w:spacing w:after="180"/>
              <w:textAlignment w:val="baseline"/>
            </w:pPr>
            <w:r>
              <w:t>UL latency reduction for SSSG is not necessary.</w:t>
            </w:r>
          </w:p>
          <w:p w14:paraId="20FA478F">
            <w:pPr>
              <w:pStyle w:val="24"/>
              <w:overflowPunct w:val="0"/>
              <w:autoSpaceDE w:val="0"/>
              <w:autoSpaceDN w:val="0"/>
              <w:adjustRightInd w:val="0"/>
              <w:spacing w:after="180"/>
              <w:textAlignment w:val="baseline"/>
            </w:pPr>
            <w:r>
              <w:t>This issue is similar to PDCCH skipping termination by SR. But there is difference from PDCCH skipping.</w:t>
            </w:r>
          </w:p>
          <w:p w14:paraId="3FE61978">
            <w:pPr>
              <w:pStyle w:val="24"/>
              <w:overflowPunct w:val="0"/>
              <w:autoSpaceDE w:val="0"/>
              <w:autoSpaceDN w:val="0"/>
              <w:adjustRightInd w:val="0"/>
              <w:spacing w:after="180"/>
              <w:textAlignment w:val="baseline"/>
            </w:pPr>
            <w:r>
              <w:t>In case of SSSG switching to a sparse SSSG, UE monitors PDCCH with a sparse pattern, for power saving. However, in case of PDCCH skipping, UE stops PDCCH monitoring until the PDCCH skipping duration ends.</w:t>
            </w:r>
          </w:p>
          <w:p w14:paraId="3FF6CB95">
            <w:pPr>
              <w:pStyle w:val="24"/>
              <w:overflowPunct w:val="0"/>
              <w:autoSpaceDE w:val="0"/>
              <w:autoSpaceDN w:val="0"/>
              <w:adjustRightInd w:val="0"/>
              <w:spacing w:after="180"/>
              <w:textAlignment w:val="baseline"/>
            </w:pPr>
            <w:r>
              <w:t xml:space="preserve">When SR is triggered, UE with SSSG switching can still monitor PDCCH, while UE with PDCCH skipping cannot monitor PDCCH. </w:t>
            </w:r>
          </w:p>
          <w:p w14:paraId="71EBACCB">
            <w:pPr>
              <w:overflowPunct w:val="0"/>
              <w:autoSpaceDE w:val="0"/>
              <w:autoSpaceDN w:val="0"/>
              <w:adjustRightInd w:val="0"/>
              <w:spacing w:after="120" w:afterLines="50"/>
              <w:jc w:val="both"/>
              <w:textAlignment w:val="baseline"/>
              <w:rPr>
                <w:sz w:val="22"/>
              </w:rPr>
            </w:pPr>
          </w:p>
        </w:tc>
      </w:tr>
      <w:tr w14:paraId="1708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348466DE">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X</w:t>
            </w:r>
            <w:r>
              <w:rPr>
                <w:rFonts w:eastAsiaTheme="minorEastAsia"/>
                <w:sz w:val="22"/>
                <w:lang w:val="en-US" w:eastAsia="zh-CN"/>
              </w:rPr>
              <w:t>iaomi</w:t>
            </w:r>
          </w:p>
        </w:tc>
        <w:tc>
          <w:tcPr>
            <w:tcW w:w="1023" w:type="dxa"/>
          </w:tcPr>
          <w:p w14:paraId="0EAEA8A7">
            <w:pPr>
              <w:overflowPunct w:val="0"/>
              <w:autoSpaceDE w:val="0"/>
              <w:autoSpaceDN w:val="0"/>
              <w:adjustRightInd w:val="0"/>
              <w:spacing w:after="120" w:afterLines="50"/>
              <w:jc w:val="both"/>
              <w:textAlignment w:val="baseline"/>
              <w:rPr>
                <w:sz w:val="22"/>
                <w:lang w:val="en-US"/>
              </w:rPr>
            </w:pPr>
            <w:r>
              <w:rPr>
                <w:sz w:val="22"/>
                <w:lang w:val="en-US"/>
              </w:rPr>
              <w:t>Y</w:t>
            </w:r>
          </w:p>
        </w:tc>
        <w:tc>
          <w:tcPr>
            <w:tcW w:w="6912" w:type="dxa"/>
          </w:tcPr>
          <w:p w14:paraId="23025127">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1</w:t>
            </w:r>
            <w:r>
              <w:rPr>
                <w:rFonts w:eastAsiaTheme="minorEastAsia"/>
                <w:sz w:val="22"/>
                <w:lang w:val="en-US" w:eastAsia="zh-CN"/>
              </w:rPr>
              <w:t>, We are open to discuss it since SR trigger SSSG switching can reduce latency.</w:t>
            </w:r>
          </w:p>
          <w:p w14:paraId="53D6618B">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2</w:t>
            </w:r>
            <w:r>
              <w:rPr>
                <w:rFonts w:eastAsiaTheme="minorEastAsia"/>
                <w:sz w:val="22"/>
                <w:lang w:val="en-US" w:eastAsia="zh-CN"/>
              </w:rPr>
              <w:t xml:space="preserve">, </w:t>
            </w:r>
            <w:r>
              <w:rPr>
                <w:rFonts w:hint="eastAsia" w:eastAsiaTheme="minorEastAsia"/>
                <w:sz w:val="22"/>
                <w:lang w:val="en-US" w:eastAsia="zh-CN"/>
              </w:rPr>
              <w:t>F</w:t>
            </w:r>
            <w:r>
              <w:rPr>
                <w:rFonts w:eastAsiaTheme="minorEastAsia"/>
                <w:sz w:val="22"/>
                <w:lang w:val="en-US" w:eastAsia="zh-CN"/>
              </w:rPr>
              <w:t xml:space="preserve">or the issue that SR </w:t>
            </w:r>
            <w:r>
              <w:rPr>
                <w:rFonts w:hint="eastAsia" w:eastAsiaTheme="minorEastAsia"/>
                <w:sz w:val="22"/>
                <w:lang w:val="en-US" w:eastAsia="zh-CN"/>
              </w:rPr>
              <w:t>is</w:t>
            </w:r>
            <w:r>
              <w:rPr>
                <w:rFonts w:eastAsiaTheme="minorEastAsia"/>
                <w:sz w:val="22"/>
                <w:lang w:val="en-US" w:eastAsia="zh-CN"/>
              </w:rPr>
              <w:t xml:space="preserve"> </w:t>
            </w:r>
            <w:r>
              <w:rPr>
                <w:rFonts w:hint="eastAsia" w:eastAsiaTheme="minorEastAsia"/>
                <w:sz w:val="22"/>
                <w:lang w:val="en-US" w:eastAsia="zh-CN"/>
              </w:rPr>
              <w:t>missed</w:t>
            </w:r>
            <w:r>
              <w:rPr>
                <w:rFonts w:eastAsiaTheme="minorEastAsia"/>
                <w:sz w:val="22"/>
                <w:lang w:val="en-US" w:eastAsia="zh-CN"/>
              </w:rPr>
              <w:t xml:space="preserve"> </w:t>
            </w:r>
            <w:r>
              <w:rPr>
                <w:rFonts w:hint="eastAsia" w:eastAsiaTheme="minorEastAsia"/>
                <w:sz w:val="22"/>
                <w:lang w:val="en-US" w:eastAsia="zh-CN"/>
              </w:rPr>
              <w:t>by</w:t>
            </w:r>
            <w:r>
              <w:rPr>
                <w:rFonts w:eastAsiaTheme="minorEastAsia"/>
                <w:sz w:val="22"/>
                <w:lang w:val="en-US" w:eastAsia="zh-CN"/>
              </w:rPr>
              <w:t xml:space="preserve"> the gNB,  </w:t>
            </w:r>
            <w:r>
              <w:rPr>
                <w:rFonts w:hint="eastAsia" w:eastAsiaTheme="minorEastAsia"/>
                <w:sz w:val="22"/>
                <w:lang w:val="en-US" w:eastAsia="zh-CN"/>
              </w:rPr>
              <w:t>g</w:t>
            </w:r>
            <w:r>
              <w:rPr>
                <w:rFonts w:eastAsiaTheme="minorEastAsia"/>
                <w:sz w:val="22"/>
                <w:lang w:val="en-US" w:eastAsia="zh-CN"/>
              </w:rPr>
              <w:t xml:space="preserve">NB does </w:t>
            </w:r>
            <w:r>
              <w:rPr>
                <w:rFonts w:hint="eastAsia" w:eastAsiaTheme="minorEastAsia"/>
                <w:sz w:val="22"/>
                <w:lang w:val="en-US" w:eastAsia="zh-CN"/>
              </w:rPr>
              <w:t>not</w:t>
            </w:r>
            <w:r>
              <w:rPr>
                <w:rFonts w:eastAsiaTheme="minorEastAsia"/>
                <w:sz w:val="22"/>
                <w:lang w:val="en-US" w:eastAsia="zh-CN"/>
              </w:rPr>
              <w:t xml:space="preserve"> </w:t>
            </w:r>
            <w:r>
              <w:rPr>
                <w:rFonts w:hint="eastAsia" w:eastAsiaTheme="minorEastAsia"/>
                <w:sz w:val="22"/>
                <w:lang w:val="en-US" w:eastAsia="zh-CN"/>
              </w:rPr>
              <w:t>transmit</w:t>
            </w:r>
            <w:r>
              <w:rPr>
                <w:rFonts w:eastAsiaTheme="minorEastAsia"/>
                <w:sz w:val="22"/>
                <w:lang w:val="en-US" w:eastAsia="zh-CN"/>
              </w:rPr>
              <w:t xml:space="preserve"> PDCCH and UE will detect nothing in the switched SSSG</w:t>
            </w:r>
            <w:r>
              <w:rPr>
                <w:rFonts w:hint="eastAsia" w:eastAsiaTheme="minorEastAsia"/>
                <w:sz w:val="22"/>
                <w:lang w:val="en-US" w:eastAsia="zh-CN"/>
              </w:rPr>
              <w:t>.</w:t>
            </w:r>
            <w:r>
              <w:rPr>
                <w:rFonts w:eastAsiaTheme="minorEastAsia"/>
                <w:sz w:val="22"/>
                <w:lang w:val="en-US" w:eastAsia="zh-CN"/>
              </w:rPr>
              <w:t xml:space="preserve"> In this case, UE will resend SR until gNB successfully receive the SR, </w:t>
            </w:r>
            <w:r>
              <w:rPr>
                <w:rFonts w:hint="eastAsia" w:eastAsiaTheme="minor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hint="eastAsia" w:eastAsiaTheme="minorEastAsia"/>
                <w:sz w:val="22"/>
                <w:lang w:val="en-US" w:eastAsia="zh-CN"/>
              </w:rPr>
              <w:t>There</w:t>
            </w:r>
            <w:r>
              <w:rPr>
                <w:rFonts w:eastAsiaTheme="minorEastAsia"/>
                <w:sz w:val="22"/>
                <w:lang w:val="en-US" w:eastAsia="zh-CN"/>
              </w:rPr>
              <w:t xml:space="preserve"> </w:t>
            </w:r>
            <w:r>
              <w:rPr>
                <w:rFonts w:hint="eastAsia" w:eastAsiaTheme="minorEastAsia"/>
                <w:sz w:val="22"/>
                <w:lang w:val="en-US" w:eastAsia="zh-CN"/>
              </w:rPr>
              <w:t>is</w:t>
            </w:r>
            <w:r>
              <w:rPr>
                <w:rFonts w:eastAsiaTheme="minorEastAsia"/>
                <w:sz w:val="22"/>
                <w:lang w:val="en-US" w:eastAsia="zh-CN"/>
              </w:rPr>
              <w:t xml:space="preserve"> </w:t>
            </w:r>
            <w:r>
              <w:rPr>
                <w:rFonts w:hint="eastAsia" w:eastAsiaTheme="minorEastAsia"/>
                <w:sz w:val="22"/>
                <w:lang w:val="en-US" w:eastAsia="zh-CN"/>
              </w:rPr>
              <w:t>no</w:t>
            </w:r>
            <w:r>
              <w:rPr>
                <w:rFonts w:eastAsiaTheme="minorEastAsia"/>
                <w:sz w:val="22"/>
                <w:lang w:val="en-US" w:eastAsia="zh-CN"/>
              </w:rPr>
              <w:t xml:space="preserve"> </w:t>
            </w:r>
            <w:r>
              <w:rPr>
                <w:rFonts w:hint="eastAsia" w:eastAsiaTheme="minorEastAsia"/>
                <w:sz w:val="22"/>
                <w:lang w:val="en-US" w:eastAsia="zh-CN"/>
              </w:rPr>
              <w:t>mis</w:t>
            </w:r>
            <w:r>
              <w:rPr>
                <w:rFonts w:eastAsiaTheme="minorEastAsia"/>
                <w:sz w:val="22"/>
                <w:lang w:val="en-US" w:eastAsia="zh-CN"/>
              </w:rPr>
              <w:t xml:space="preserve">-alignment between gNB and UE about the SSSG. </w:t>
            </w:r>
          </w:p>
        </w:tc>
      </w:tr>
      <w:tr w14:paraId="7F51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08D9C879">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MediaTek</w:t>
            </w:r>
          </w:p>
        </w:tc>
        <w:tc>
          <w:tcPr>
            <w:tcW w:w="1023" w:type="dxa"/>
          </w:tcPr>
          <w:p w14:paraId="04B92B1B">
            <w:pPr>
              <w:overflowPunct w:val="0"/>
              <w:autoSpaceDE w:val="0"/>
              <w:autoSpaceDN w:val="0"/>
              <w:adjustRightInd w:val="0"/>
              <w:spacing w:after="120" w:afterLines="50"/>
              <w:jc w:val="both"/>
              <w:textAlignment w:val="baseline"/>
              <w:rPr>
                <w:sz w:val="22"/>
                <w:lang w:val="en-US"/>
              </w:rPr>
            </w:pPr>
            <w:r>
              <w:rPr>
                <w:sz w:val="22"/>
                <w:lang w:val="en-US"/>
              </w:rPr>
              <w:t>Y</w:t>
            </w:r>
          </w:p>
        </w:tc>
        <w:tc>
          <w:tcPr>
            <w:tcW w:w="6912" w:type="dxa"/>
          </w:tcPr>
          <w:p w14:paraId="3C329D9D">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14:paraId="1952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706A5E87">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Samsung</w:t>
            </w:r>
          </w:p>
        </w:tc>
        <w:tc>
          <w:tcPr>
            <w:tcW w:w="1023" w:type="dxa"/>
          </w:tcPr>
          <w:p w14:paraId="386EC93D">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N</w:t>
            </w:r>
          </w:p>
        </w:tc>
        <w:tc>
          <w:tcPr>
            <w:tcW w:w="6912" w:type="dxa"/>
          </w:tcPr>
          <w:p w14:paraId="37342789">
            <w:pPr>
              <w:overflowPunct w:val="0"/>
              <w:autoSpaceDE w:val="0"/>
              <w:autoSpaceDN w:val="0"/>
              <w:adjustRightInd w:val="0"/>
              <w:spacing w:after="120" w:afterLines="50"/>
              <w:jc w:val="both"/>
              <w:textAlignment w:val="baseline"/>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14:paraId="6A9C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5F4CC5C2">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Ericsson</w:t>
            </w:r>
          </w:p>
        </w:tc>
        <w:tc>
          <w:tcPr>
            <w:tcW w:w="1023" w:type="dxa"/>
          </w:tcPr>
          <w:p w14:paraId="1DD407D9">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14:paraId="7D433C9C">
            <w:pPr>
              <w:overflowPunct w:val="0"/>
              <w:autoSpaceDE w:val="0"/>
              <w:autoSpaceDN w:val="0"/>
              <w:adjustRightInd w:val="0"/>
              <w:spacing w:after="120" w:afterLines="50"/>
              <w:jc w:val="both"/>
              <w:textAlignment w:val="baseline"/>
              <w:rPr>
                <w:sz w:val="22"/>
                <w:lang w:val="en-US"/>
              </w:rPr>
            </w:pPr>
            <w:r>
              <w:rPr>
                <w:sz w:val="22"/>
                <w:lang w:val="en-US"/>
              </w:rPr>
              <w:t xml:space="preserve">Open to discuss the proposal. This overlaps with the Rel-17 maintenance issue (raised in R1-2408709). </w:t>
            </w:r>
          </w:p>
          <w:p w14:paraId="4BC5D86D">
            <w:pPr>
              <w:overflowPunct w:val="0"/>
              <w:autoSpaceDE w:val="0"/>
              <w:autoSpaceDN w:val="0"/>
              <w:adjustRightInd w:val="0"/>
              <w:spacing w:after="120" w:afterLines="50"/>
              <w:jc w:val="both"/>
              <w:textAlignment w:val="baseline"/>
              <w:rPr>
                <w:sz w:val="22"/>
                <w:lang w:val="en-US"/>
              </w:rPr>
            </w:pPr>
            <w:r>
              <w:rPr>
                <w:sz w:val="22"/>
                <w:lang w:val="en-US"/>
              </w:rPr>
              <w:t xml:space="preserve">This proposal should not impact legacy UE operation, i.e. the designated index should be up to gNB configuration via a new RRC parameter. </w:t>
            </w:r>
          </w:p>
        </w:tc>
      </w:tr>
      <w:tr w14:paraId="67F1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7DF4CE6C">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Verizon</w:t>
            </w:r>
          </w:p>
        </w:tc>
        <w:tc>
          <w:tcPr>
            <w:tcW w:w="1023" w:type="dxa"/>
          </w:tcPr>
          <w:p w14:paraId="081FD492">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Y</w:t>
            </w:r>
          </w:p>
        </w:tc>
        <w:tc>
          <w:tcPr>
            <w:tcW w:w="6912" w:type="dxa"/>
          </w:tcPr>
          <w:p w14:paraId="73B20812">
            <w:pPr>
              <w:overflowPunct w:val="0"/>
              <w:autoSpaceDE w:val="0"/>
              <w:autoSpaceDN w:val="0"/>
              <w:adjustRightInd w:val="0"/>
              <w:spacing w:after="120" w:afterLines="50"/>
              <w:jc w:val="both"/>
              <w:textAlignment w:val="baseline"/>
              <w:rPr>
                <w:sz w:val="22"/>
                <w:lang w:val="en-US"/>
              </w:rPr>
            </w:pPr>
            <w:r>
              <w:rPr>
                <w:sz w:val="22"/>
                <w:lang w:val="en-US"/>
              </w:rPr>
              <w:t>We are interested in this as a potentially useful latency reduction feature.</w:t>
            </w:r>
          </w:p>
        </w:tc>
      </w:tr>
      <w:tr w14:paraId="5FC88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153B4B4B">
            <w:pPr>
              <w:overflowPunct w:val="0"/>
              <w:autoSpaceDE w:val="0"/>
              <w:autoSpaceDN w:val="0"/>
              <w:adjustRightInd w:val="0"/>
              <w:spacing w:after="120" w:afterLines="50"/>
              <w:jc w:val="both"/>
              <w:textAlignment w:val="baseline"/>
              <w:rPr>
                <w:sz w:val="22"/>
                <w:lang w:val="en-US"/>
              </w:rPr>
            </w:pPr>
            <w:r>
              <w:rPr>
                <w:sz w:val="22"/>
                <w:lang w:val="en-US"/>
              </w:rPr>
              <w:t>Nokia</w:t>
            </w:r>
          </w:p>
        </w:tc>
        <w:tc>
          <w:tcPr>
            <w:tcW w:w="1023" w:type="dxa"/>
          </w:tcPr>
          <w:p w14:paraId="74F45C45">
            <w:pPr>
              <w:overflowPunct w:val="0"/>
              <w:autoSpaceDE w:val="0"/>
              <w:autoSpaceDN w:val="0"/>
              <w:adjustRightInd w:val="0"/>
              <w:spacing w:after="120" w:afterLines="50"/>
              <w:jc w:val="both"/>
              <w:textAlignment w:val="baseline"/>
              <w:rPr>
                <w:sz w:val="22"/>
                <w:lang w:val="en-US"/>
              </w:rPr>
            </w:pPr>
            <w:r>
              <w:rPr>
                <w:sz w:val="22"/>
                <w:lang w:val="en-US"/>
              </w:rPr>
              <w:t>TBD</w:t>
            </w:r>
          </w:p>
        </w:tc>
        <w:tc>
          <w:tcPr>
            <w:tcW w:w="6912" w:type="dxa"/>
          </w:tcPr>
          <w:p w14:paraId="41C7CC2C">
            <w:pPr>
              <w:overflowPunct w:val="0"/>
              <w:autoSpaceDE w:val="0"/>
              <w:autoSpaceDN w:val="0"/>
              <w:adjustRightInd w:val="0"/>
              <w:spacing w:after="120" w:afterLines="50"/>
              <w:jc w:val="both"/>
              <w:textAlignment w:val="baseline"/>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14:paraId="44543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7E4297B6">
            <w:pPr>
              <w:overflowPunct w:val="0"/>
              <w:autoSpaceDE w:val="0"/>
              <w:autoSpaceDN w:val="0"/>
              <w:adjustRightInd w:val="0"/>
              <w:spacing w:after="120" w:afterLines="50"/>
              <w:jc w:val="both"/>
              <w:textAlignment w:val="baseline"/>
              <w:rPr>
                <w:rFonts w:hint="default" w:eastAsia="宋体"/>
                <w:sz w:val="22"/>
                <w:lang w:val="en-US" w:eastAsia="zh-CN"/>
              </w:rPr>
            </w:pPr>
            <w:r>
              <w:rPr>
                <w:rFonts w:hint="eastAsia" w:eastAsia="宋体"/>
                <w:sz w:val="22"/>
                <w:lang w:val="en-US" w:eastAsia="zh-CN"/>
              </w:rPr>
              <w:t>China Unicom</w:t>
            </w:r>
          </w:p>
        </w:tc>
        <w:tc>
          <w:tcPr>
            <w:tcW w:w="1023" w:type="dxa"/>
          </w:tcPr>
          <w:p w14:paraId="03BAFC59">
            <w:pPr>
              <w:overflowPunct w:val="0"/>
              <w:autoSpaceDE w:val="0"/>
              <w:autoSpaceDN w:val="0"/>
              <w:adjustRightInd w:val="0"/>
              <w:spacing w:after="120" w:afterLines="50"/>
              <w:jc w:val="both"/>
              <w:textAlignment w:val="baseline"/>
              <w:rPr>
                <w:rFonts w:hint="eastAsia" w:eastAsia="宋体"/>
                <w:sz w:val="22"/>
                <w:lang w:val="en-US" w:eastAsia="zh-CN"/>
              </w:rPr>
            </w:pPr>
            <w:r>
              <w:rPr>
                <w:rFonts w:hint="eastAsia" w:eastAsia="宋体"/>
                <w:sz w:val="22"/>
                <w:lang w:val="en-US" w:eastAsia="zh-CN"/>
              </w:rPr>
              <w:t>Y</w:t>
            </w:r>
          </w:p>
        </w:tc>
        <w:tc>
          <w:tcPr>
            <w:tcW w:w="6912" w:type="dxa"/>
          </w:tcPr>
          <w:p w14:paraId="29B72A10">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The SR overriding is currently enabled in PDCCH skipping, which also helps decrease UL latency in SSSG switching. There is no ambiguity and no extra information is needed in SR. Therefore, implementing SR overriding in SSSG switching is a sensible approach aligning to PDCCH skipping.</w:t>
            </w:r>
          </w:p>
        </w:tc>
      </w:tr>
    </w:tbl>
    <w:p w14:paraId="20E06120">
      <w:pPr>
        <w:rPr>
          <w:b/>
        </w:rPr>
      </w:pPr>
    </w:p>
    <w:p w14:paraId="32C51DD4">
      <w:pPr>
        <w:rPr>
          <w:b/>
        </w:rPr>
      </w:pPr>
    </w:p>
    <w:p w14:paraId="00591DB1">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PTRS rate matching for multi-DCI based multi-TRP</w:t>
      </w:r>
    </w:p>
    <w:p w14:paraId="3095BA93">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14:paraId="423E7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0CD63B4F">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[7</w:t>
            </w:r>
            <w:r>
              <w:rPr>
                <w:rFonts w:ascii="Arial" w:hAnsi="Arial" w:eastAsia="MS Mincho"/>
                <w:sz w:val="22"/>
                <w:szCs w:val="22"/>
                <w:lang w:val="en-US"/>
              </w:rPr>
              <w:t>]</w:t>
            </w:r>
          </w:p>
        </w:tc>
        <w:tc>
          <w:tcPr>
            <w:tcW w:w="9066" w:type="dxa"/>
          </w:tcPr>
          <w:p w14:paraId="6E3A4A9B">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 xml:space="preserve">For two overlapping PDSCHs in Rel-16 mDCI based mTRP, it is already ensured that there is no collision among DMRS-DMRS, DMRS-data, and data-DMRS. In addition, network needs to ensure DMRS symbol alignment. </w:t>
            </w:r>
          </w:p>
          <w:p w14:paraId="5488BDA5">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322F5934">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5F2B145C">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08AAB152">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2E4241A8">
            <w:pPr>
              <w:overflowPunct w:val="0"/>
              <w:autoSpaceDE w:val="0"/>
              <w:autoSpaceDN w:val="0"/>
              <w:adjustRightInd w:val="0"/>
              <w:spacing w:after="180"/>
              <w:textAlignment w:val="baseline"/>
              <w:rPr>
                <w:rFonts w:eastAsia="等线"/>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447F9553">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3C2F4439">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 xml:space="preserve">Such indication (rate matching pattern for PTRS of the other TRP) comes at the cost of signaling overhead (DCI overhead). Hence, a proper trade-off between the flexibility of such indication and DCI overhead would be needed to efficiently address the issue for practical scenarios. </w:t>
            </w:r>
          </w:p>
          <w:p w14:paraId="13D7257B">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232B72B1">
            <w:pPr>
              <w:pStyle w:val="108"/>
              <w:numPr>
                <w:ilvl w:val="0"/>
                <w:numId w:val="41"/>
              </w:numPr>
              <w:overflowPunct w:val="0"/>
              <w:autoSpaceDE w:val="0"/>
              <w:autoSpaceDN w:val="0"/>
              <w:adjustRightInd w:val="0"/>
              <w:spacing w:after="180"/>
              <w:ind w:leftChars="0"/>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33F7AEB5">
            <w:pPr>
              <w:pStyle w:val="108"/>
              <w:numPr>
                <w:ilvl w:val="0"/>
                <w:numId w:val="41"/>
              </w:numPr>
              <w:overflowPunct w:val="0"/>
              <w:autoSpaceDE w:val="0"/>
              <w:autoSpaceDN w:val="0"/>
              <w:adjustRightInd w:val="0"/>
              <w:spacing w:after="180"/>
              <w:ind w:leftChars="0"/>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 xml:space="preserve">The PTRS </w:t>
            </w:r>
            <w:r>
              <w:rPr>
                <w:rFonts w:eastAsia="宋体" w:cs="Arial"/>
                <w:color w:val="000000"/>
                <w:kern w:val="2"/>
                <w:sz w:val="18"/>
                <w:szCs w:val="18"/>
                <w:lang w:eastAsia="zh-CN"/>
              </w:rPr>
              <w:t>time density (</w:t>
            </w:r>
            <m:oMath>
              <m:sSub>
                <m:sSubPr>
                  <m:ctrlPr>
                    <w:rPr>
                      <w:rFonts w:ascii="Cambria Math" w:hAnsi="Cambria Math" w:eastAsia="宋体"/>
                      <w:i/>
                      <w:color w:val="000000"/>
                      <w:sz w:val="18"/>
                      <w:szCs w:val="18"/>
                    </w:rPr>
                  </m:ctrlPr>
                </m:sSubPr>
                <m:e>
                  <m:r>
                    <m:rPr/>
                    <w:rPr>
                      <w:rFonts w:ascii="Cambria Math" w:eastAsia="宋体"/>
                      <w:color w:val="000000"/>
                      <w:sz w:val="18"/>
                      <w:szCs w:val="18"/>
                    </w:rPr>
                    <m:t>L</m:t>
                  </m:r>
                  <m:ctrlPr>
                    <w:rPr>
                      <w:rFonts w:ascii="Cambria Math" w:hAnsi="Cambria Math" w:eastAsia="宋体"/>
                      <w:i/>
                      <w:color w:val="000000"/>
                      <w:sz w:val="18"/>
                      <w:szCs w:val="18"/>
                    </w:rPr>
                  </m:ctrlPr>
                </m:e>
                <m:sub>
                  <m:r>
                    <m:rPr/>
                    <w:rPr>
                      <w:rFonts w:ascii="Cambria Math" w:eastAsia="宋体"/>
                      <w:color w:val="000000"/>
                      <w:sz w:val="18"/>
                      <w:szCs w:val="18"/>
                    </w:rPr>
                    <m:t>PT−RS</m:t>
                  </m:r>
                  <m:ctrlPr>
                    <w:rPr>
                      <w:rFonts w:ascii="Cambria Math" w:hAnsi="Cambria Math" w:eastAsia="宋体"/>
                      <w:i/>
                      <w:color w:val="000000"/>
                      <w:sz w:val="18"/>
                      <w:szCs w:val="18"/>
                    </w:rPr>
                  </m:ctrlPr>
                </m:sub>
              </m:sSub>
            </m:oMath>
            <w:r>
              <w:rPr>
                <w:rFonts w:eastAsia="宋体" w:cs="Arial"/>
                <w:color w:val="000000"/>
                <w:kern w:val="2"/>
                <w:sz w:val="18"/>
                <w:szCs w:val="18"/>
                <w:lang w:eastAsia="zh-CN"/>
              </w:rPr>
              <w:t>) of</w:t>
            </w:r>
            <w:r>
              <w:rPr>
                <w:rFonts w:eastAsia="等线" w:asciiTheme="majorBidi"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2115A767">
            <w:pPr>
              <w:overflowPunct w:val="0"/>
              <w:autoSpaceDE w:val="0"/>
              <w:autoSpaceDN w:val="0"/>
              <w:adjustRightInd w:val="0"/>
              <w:spacing w:after="180"/>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62C04E5F">
            <w:pPr>
              <w:pStyle w:val="21"/>
              <w:keepNext/>
              <w:overflowPunct w:val="0"/>
              <w:autoSpaceDE w:val="0"/>
              <w:autoSpaceDN w:val="0"/>
              <w:adjustRightInd w:val="0"/>
              <w:jc w:val="center"/>
              <w:textAlignment w:val="baseline"/>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eastAsia="等线" w:asciiTheme="majorBidi" w:hAnsiTheme="majorBidi" w:cstheme="majorBidi"/>
                <w:sz w:val="18"/>
                <w:szCs w:val="18"/>
                <w:lang w:eastAsia="zh-CN"/>
              </w:rPr>
              <w:t>Rate matching indicator for interfering PTRS</w:t>
            </w:r>
            <w:r>
              <w:rPr>
                <w:sz w:val="18"/>
                <w:szCs w:val="18"/>
              </w:rPr>
              <w: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1"/>
              <w:gridCol w:w="3246"/>
            </w:tblGrid>
            <w:tr w14:paraId="1D83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3151" w:type="dxa"/>
                </w:tcPr>
                <w:p w14:paraId="0EA62C9F">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Value of the fields “Rate matching indicator for interfering PTRS”</w:t>
                  </w:r>
                </w:p>
              </w:tc>
              <w:tc>
                <w:tcPr>
                  <w:tcW w:w="3246" w:type="dxa"/>
                </w:tcPr>
                <w:p w14:paraId="23130A5A">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 xml:space="preserve">RE offset relative to </w:t>
                  </w:r>
                  <w:r>
                    <w:rPr>
                      <w:position w:val="-10"/>
                      <w:sz w:val="18"/>
                      <w:szCs w:val="18"/>
                      <w:lang w:val="en-US" w:eastAsia="zh-CN"/>
                    </w:rPr>
                    <w:drawing>
                      <wp:inline distT="0" distB="0" distL="0" distR="0">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eastAsia="等线" w:asciiTheme="majorBidi" w:hAnsiTheme="majorBidi" w:cstheme="majorBidi"/>
                      <w:sz w:val="18"/>
                      <w:szCs w:val="18"/>
                      <w:lang w:eastAsia="zh-CN"/>
                    </w:rPr>
                    <w:t>in 38.211 Section 7.4.1.2.2</w:t>
                  </w:r>
                </w:p>
              </w:tc>
            </w:tr>
            <w:tr w14:paraId="361D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3151" w:type="dxa"/>
                </w:tcPr>
                <w:p w14:paraId="26C2036A">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0</w:t>
                  </w:r>
                </w:p>
              </w:tc>
              <w:tc>
                <w:tcPr>
                  <w:tcW w:w="3246" w:type="dxa"/>
                </w:tcPr>
                <w:p w14:paraId="5563FF9C">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This value indicates no rate matching (i.e., interfering PTRS is absent)</w:t>
                  </w:r>
                </w:p>
              </w:tc>
            </w:tr>
            <w:tr w14:paraId="6B9A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14:paraId="51A01EF8">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w:t>
                  </w:r>
                </w:p>
              </w:tc>
              <w:tc>
                <w:tcPr>
                  <w:tcW w:w="3246" w:type="dxa"/>
                </w:tcPr>
                <w:p w14:paraId="39ED9E92">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w:t>
                  </w:r>
                </w:p>
              </w:tc>
            </w:tr>
            <w:tr w14:paraId="3D697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14:paraId="32B2788B">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2</w:t>
                  </w:r>
                </w:p>
              </w:tc>
              <w:tc>
                <w:tcPr>
                  <w:tcW w:w="3246" w:type="dxa"/>
                </w:tcPr>
                <w:p w14:paraId="2A447B72">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2</w:t>
                  </w:r>
                </w:p>
              </w:tc>
            </w:tr>
            <w:tr w14:paraId="4685A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3151" w:type="dxa"/>
                </w:tcPr>
                <w:p w14:paraId="0814E171">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c>
                <w:tcPr>
                  <w:tcW w:w="3246" w:type="dxa"/>
                </w:tcPr>
                <w:p w14:paraId="00DADB2D">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r>
            <w:tr w14:paraId="6A368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14:paraId="3E0EAD5D">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11</w:t>
                  </w:r>
                </w:p>
              </w:tc>
              <w:tc>
                <w:tcPr>
                  <w:tcW w:w="3246" w:type="dxa"/>
                </w:tcPr>
                <w:p w14:paraId="4091ADA1">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11</w:t>
                  </w:r>
                </w:p>
              </w:tc>
            </w:tr>
            <w:tr w14:paraId="055DE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14:paraId="2D2F9F90">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12</w:t>
                  </w:r>
                </w:p>
              </w:tc>
              <w:tc>
                <w:tcPr>
                  <w:tcW w:w="3246" w:type="dxa"/>
                </w:tcPr>
                <w:p w14:paraId="10BF8B8F">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reserved</w:t>
                  </w:r>
                </w:p>
              </w:tc>
            </w:tr>
            <w:tr w14:paraId="4B81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14:paraId="28DB3602">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c>
                <w:tcPr>
                  <w:tcW w:w="3246" w:type="dxa"/>
                </w:tcPr>
                <w:p w14:paraId="42FC813E">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r>
            <w:tr w14:paraId="10240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 w:hRule="atLeast"/>
                <w:jc w:val="center"/>
              </w:trPr>
              <w:tc>
                <w:tcPr>
                  <w:tcW w:w="3151" w:type="dxa"/>
                </w:tcPr>
                <w:p w14:paraId="5D3C20A6">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15</w:t>
                  </w:r>
                </w:p>
              </w:tc>
              <w:tc>
                <w:tcPr>
                  <w:tcW w:w="3246" w:type="dxa"/>
                </w:tcPr>
                <w:p w14:paraId="3B664A18">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reserved</w:t>
                  </w:r>
                </w:p>
              </w:tc>
            </w:tr>
          </w:tbl>
          <w:p w14:paraId="7A420127">
            <w:pPr>
              <w:overflowPunct w:val="0"/>
              <w:autoSpaceDE w:val="0"/>
              <w:autoSpaceDN w:val="0"/>
              <w:adjustRightInd w:val="0"/>
              <w:spacing w:after="180"/>
              <w:textAlignment w:val="baseline"/>
              <w:rPr>
                <w:rFonts w:eastAsia="等线" w:asciiTheme="majorBidi" w:hAnsiTheme="majorBidi" w:cstheme="majorBidi"/>
                <w:sz w:val="18"/>
                <w:szCs w:val="18"/>
                <w:lang w:eastAsia="zh-CN"/>
              </w:rPr>
            </w:pPr>
          </w:p>
          <w:p w14:paraId="46ED348C">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Hence, we have the following proposal for this issue:</w:t>
            </w:r>
          </w:p>
          <w:p w14:paraId="60408131">
            <w:pPr>
              <w:overflowPunct w:val="0"/>
              <w:autoSpaceDE w:val="0"/>
              <w:autoSpaceDN w:val="0"/>
              <w:adjustRightInd w:val="0"/>
              <w:spacing w:after="0"/>
              <w:textAlignment w:val="baseline"/>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4" w:name="_Hlk179209570"/>
            <w:r>
              <w:rPr>
                <w:b/>
                <w:bCs/>
                <w:sz w:val="18"/>
                <w:szCs w:val="18"/>
              </w:rPr>
              <w:t>Support DCI format 1_1 that schedules a PDSCH to indicate a set of REs for rate matching through a new DCI field “Rate matching indicator for interfering PTRS”.</w:t>
            </w:r>
          </w:p>
          <w:p w14:paraId="65777FEF">
            <w:pPr>
              <w:pStyle w:val="108"/>
              <w:numPr>
                <w:ilvl w:val="0"/>
                <w:numId w:val="42"/>
              </w:numPr>
              <w:overflowPunct w:val="0"/>
              <w:autoSpaceDE w:val="0"/>
              <w:autoSpaceDN w:val="0"/>
              <w:adjustRightInd w:val="0"/>
              <w:spacing w:after="180"/>
              <w:ind w:leftChars="0"/>
              <w:textAlignment w:val="baseline"/>
              <w:rPr>
                <w:sz w:val="18"/>
                <w:szCs w:val="18"/>
              </w:rPr>
            </w:pPr>
            <w:r>
              <w:rPr>
                <w:rFonts w:asciiTheme="majorBidi" w:hAnsiTheme="majorBidi" w:cstheme="majorBidi"/>
                <w:b/>
                <w:bCs/>
                <w:sz w:val="18"/>
                <w:szCs w:val="18"/>
              </w:rPr>
              <w:t>This feature is enabled by a new RRC configuration and is subject to a new UE capability.</w:t>
            </w:r>
          </w:p>
          <w:p w14:paraId="612E157B">
            <w:pPr>
              <w:pStyle w:val="108"/>
              <w:numPr>
                <w:ilvl w:val="1"/>
                <w:numId w:val="42"/>
              </w:numPr>
              <w:overflowPunct w:val="0"/>
              <w:autoSpaceDE w:val="0"/>
              <w:autoSpaceDN w:val="0"/>
              <w:adjustRightInd w:val="0"/>
              <w:spacing w:after="180"/>
              <w:ind w:leftChars="0"/>
              <w:textAlignment w:val="baseline"/>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r>
              <w:rPr>
                <w:rFonts w:asciiTheme="majorBidi" w:hAnsiTheme="majorBidi" w:cstheme="majorBidi"/>
                <w:b/>
                <w:bCs/>
                <w:i/>
                <w:iCs/>
                <w:sz w:val="18"/>
                <w:szCs w:val="18"/>
              </w:rPr>
              <w:t>coresetPoolIndex</w:t>
            </w:r>
            <w:r>
              <w:rPr>
                <w:rFonts w:asciiTheme="majorBidi" w:hAnsiTheme="majorBidi" w:cstheme="majorBidi"/>
                <w:b/>
                <w:bCs/>
                <w:sz w:val="18"/>
                <w:szCs w:val="18"/>
              </w:rPr>
              <w:t xml:space="preserve"> in </w:t>
            </w:r>
            <w:r>
              <w:rPr>
                <w:rFonts w:asciiTheme="majorBidi" w:hAnsiTheme="majorBidi" w:cstheme="majorBidi"/>
                <w:b/>
                <w:bCs/>
                <w:i/>
                <w:iCs/>
                <w:sz w:val="18"/>
                <w:szCs w:val="18"/>
              </w:rPr>
              <w:t>ControlResourceSet</w:t>
            </w:r>
            <w:r>
              <w:rPr>
                <w:rFonts w:asciiTheme="majorBidi" w:hAnsiTheme="majorBidi" w:cstheme="majorBidi"/>
                <w:b/>
                <w:bCs/>
                <w:sz w:val="18"/>
                <w:szCs w:val="18"/>
              </w:rPr>
              <w:t>.</w:t>
            </w:r>
          </w:p>
          <w:p w14:paraId="186D8F24">
            <w:pPr>
              <w:pStyle w:val="108"/>
              <w:numPr>
                <w:ilvl w:val="1"/>
                <w:numId w:val="42"/>
              </w:numPr>
              <w:overflowPunct w:val="0"/>
              <w:autoSpaceDE w:val="0"/>
              <w:autoSpaceDN w:val="0"/>
              <w:adjustRightInd w:val="0"/>
              <w:spacing w:after="180"/>
              <w:ind w:leftChars="0"/>
              <w:textAlignment w:val="baseline"/>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10A7CBF5">
            <w:pPr>
              <w:pStyle w:val="108"/>
              <w:numPr>
                <w:ilvl w:val="0"/>
                <w:numId w:val="42"/>
              </w:numPr>
              <w:overflowPunct w:val="0"/>
              <w:autoSpaceDE w:val="0"/>
              <w:autoSpaceDN w:val="0"/>
              <w:adjustRightInd w:val="0"/>
              <w:spacing w:after="180"/>
              <w:ind w:leftChars="0"/>
              <w:textAlignment w:val="baseline"/>
              <w:rPr>
                <w:sz w:val="18"/>
                <w:szCs w:val="18"/>
              </w:rPr>
            </w:pPr>
            <w:r>
              <w:rPr>
                <w:rFonts w:asciiTheme="majorBidi" w:hAnsiTheme="majorBidi" w:cstheme="majorBidi"/>
                <w:b/>
                <w:bCs/>
                <w:sz w:val="18"/>
                <w:szCs w:val="18"/>
              </w:rPr>
              <w:t>The set of REs for rate matching is determined as follows:</w:t>
            </w:r>
          </w:p>
          <w:p w14:paraId="64003EF8">
            <w:pPr>
              <w:pStyle w:val="108"/>
              <w:numPr>
                <w:ilvl w:val="1"/>
                <w:numId w:val="42"/>
              </w:numPr>
              <w:overflowPunct w:val="0"/>
              <w:autoSpaceDE w:val="0"/>
              <w:autoSpaceDN w:val="0"/>
              <w:adjustRightInd w:val="0"/>
              <w:spacing w:after="180"/>
              <w:ind w:leftChars="0"/>
              <w:textAlignment w:val="baseline"/>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ctrlPr>
                    <w:rPr>
                      <w:rFonts w:ascii="Cambria Math" w:hAnsi="Cambria Math" w:cstheme="majorBidi"/>
                      <w:b/>
                      <w:bCs/>
                      <w:i/>
                      <w:sz w:val="18"/>
                      <w:szCs w:val="18"/>
                    </w:rPr>
                  </m:ctrlPr>
                </m:e>
                <m:sub>
                  <m:r>
                    <m:rPr>
                      <m:sty m:val="bi"/>
                    </m:rPr>
                    <w:rPr>
                      <w:rFonts w:ascii="Cambria Math" w:hAnsi="Cambria Math" w:cstheme="majorBidi"/>
                      <w:sz w:val="18"/>
                      <w:szCs w:val="18"/>
                    </w:rPr>
                    <m:t>PT−RS</m:t>
                  </m:r>
                  <m:ctrlPr>
                    <w:rPr>
                      <w:rFonts w:ascii="Cambria Math" w:hAnsi="Cambria Math" w:cstheme="majorBidi"/>
                      <w:b/>
                      <w:bCs/>
                      <w:i/>
                      <w:sz w:val="18"/>
                      <w:szCs w:val="18"/>
                    </w:rPr>
                  </m:ctrlPr>
                </m:sub>
              </m:sSub>
            </m:oMath>
            <w:r>
              <w:rPr>
                <w:rFonts w:asciiTheme="majorBidi" w:hAnsiTheme="majorBidi" w:cstheme="majorBidi"/>
                <w:b/>
                <w:bCs/>
                <w:sz w:val="18"/>
                <w:szCs w:val="18"/>
              </w:rPr>
              <w:t xml:space="preserve"> with a new RRC parameter that configures one value among {1,2,4}.</w:t>
            </w:r>
          </w:p>
          <w:p w14:paraId="2B0E414D">
            <w:pPr>
              <w:pStyle w:val="108"/>
              <w:numPr>
                <w:ilvl w:val="1"/>
                <w:numId w:val="42"/>
              </w:numPr>
              <w:overflowPunct w:val="0"/>
              <w:autoSpaceDE w:val="0"/>
              <w:autoSpaceDN w:val="0"/>
              <w:adjustRightInd w:val="0"/>
              <w:spacing w:after="180"/>
              <w:ind w:leftChars="0"/>
              <w:textAlignment w:val="baseline"/>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ctrlPr>
                    <w:rPr>
                      <w:rFonts w:ascii="Cambria Math" w:hAnsi="Cambria Math" w:cstheme="majorBidi"/>
                      <w:b/>
                      <w:bCs/>
                      <w:i/>
                      <w:sz w:val="18"/>
                      <w:szCs w:val="18"/>
                    </w:rPr>
                  </m:ctrlPr>
                </m:e>
                <m:sup>
                  <m:r>
                    <m:rPr>
                      <m:sty m:val="bi"/>
                    </m:rPr>
                    <w:rPr>
                      <w:rFonts w:ascii="Cambria Math" w:hAnsi="Cambria Math" w:cstheme="majorBidi"/>
                      <w:sz w:val="18"/>
                      <w:szCs w:val="18"/>
                    </w:rPr>
                    <m:t>'</m:t>
                  </m:r>
                  <m:ctrlPr>
                    <w:rPr>
                      <w:rFonts w:ascii="Cambria Math" w:hAnsi="Cambria Math" w:cstheme="majorBidi"/>
                      <w:b/>
                      <w:bCs/>
                      <w:i/>
                      <w:sz w:val="18"/>
                      <w:szCs w:val="18"/>
                    </w:rPr>
                  </m:ctrlP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ctrlPr>
                            <w:rPr>
                              <w:rFonts w:ascii="Cambria Math" w:hAnsi="Cambria Math" w:cstheme="majorBidi"/>
                              <w:b/>
                              <w:bCs/>
                              <w:i/>
                              <w:sz w:val="18"/>
                              <w:szCs w:val="18"/>
                            </w:rPr>
                          </m:ctrlPr>
                        </m:e>
                        <m:sub>
                          <m:r>
                            <m:rPr>
                              <m:sty m:val="bi"/>
                            </m:rPr>
                            <w:rPr>
                              <w:rFonts w:ascii="Cambria Math" w:hAnsi="Cambria Math" w:cstheme="majorBidi"/>
                              <w:sz w:val="18"/>
                              <w:szCs w:val="18"/>
                            </w:rPr>
                            <m:t>ref</m:t>
                          </m:r>
                          <m:ctrlPr>
                            <w:rPr>
                              <w:rFonts w:ascii="Cambria Math" w:hAnsi="Cambria Math" w:cstheme="majorBidi"/>
                              <w:b/>
                              <w:bCs/>
                              <w:i/>
                              <w:sz w:val="18"/>
                              <w:szCs w:val="18"/>
                            </w:rPr>
                          </m:ctrlPr>
                        </m:sub>
                        <m:sup>
                          <m:r>
                            <m:rPr>
                              <m:sty m:val="bi"/>
                            </m:rPr>
                            <w:rPr>
                              <w:rFonts w:ascii="Cambria Math" w:hAnsi="Cambria Math" w:cstheme="majorBidi"/>
                              <w:sz w:val="18"/>
                              <w:szCs w:val="18"/>
                            </w:rPr>
                            <m:t>RE</m:t>
                          </m:r>
                          <m:ctrlPr>
                            <w:rPr>
                              <w:rFonts w:ascii="Cambria Math" w:hAnsi="Cambria Math" w:cstheme="majorBidi"/>
                              <w:b/>
                              <w:bCs/>
                              <w:i/>
                              <w:sz w:val="18"/>
                              <w:szCs w:val="18"/>
                            </w:rPr>
                          </m:ctrlP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ctrlPr>
                            <w:rPr>
                              <w:rFonts w:ascii="Cambria Math" w:hAnsi="Cambria Math" w:cstheme="majorBidi"/>
                              <w:b/>
                              <w:bCs/>
                              <w:i/>
                              <w:sz w:val="18"/>
                              <w:szCs w:val="18"/>
                            </w:rPr>
                          </m:ctrlPr>
                        </m:e>
                        <m:sub>
                          <m:r>
                            <m:rPr>
                              <m:sty m:val="bi"/>
                            </m:rPr>
                            <w:rPr>
                              <w:rFonts w:ascii="Cambria Math" w:hAnsi="Cambria Math" w:cstheme="majorBidi"/>
                              <w:sz w:val="18"/>
                              <w:szCs w:val="18"/>
                            </w:rPr>
                            <m:t>relative</m:t>
                          </m:r>
                          <m:ctrlPr>
                            <w:rPr>
                              <w:rFonts w:ascii="Cambria Math" w:hAnsi="Cambria Math" w:cstheme="majorBidi"/>
                              <w:b/>
                              <w:bCs/>
                              <w:i/>
                              <w:sz w:val="18"/>
                              <w:szCs w:val="18"/>
                            </w:rPr>
                          </m:ctrlPr>
                        </m:sub>
                        <m:sup>
                          <m:r>
                            <m:rPr>
                              <m:sty m:val="bi"/>
                            </m:rPr>
                            <w:rPr>
                              <w:rFonts w:ascii="Cambria Math" w:hAnsi="Cambria Math" w:cstheme="majorBidi"/>
                              <w:sz w:val="18"/>
                              <w:szCs w:val="18"/>
                            </w:rPr>
                            <m:t>RE</m:t>
                          </m:r>
                          <m:ctrlPr>
                            <w:rPr>
                              <w:rFonts w:ascii="Cambria Math" w:hAnsi="Cambria Math" w:cstheme="majorBidi"/>
                              <w:b/>
                              <w:bCs/>
                              <w:i/>
                              <w:sz w:val="18"/>
                              <w:szCs w:val="18"/>
                            </w:rPr>
                          </m:ctrlPr>
                        </m:sup>
                      </m:sSubSup>
                      <m:ctrlPr>
                        <w:rPr>
                          <w:rFonts w:ascii="Cambria Math" w:hAnsi="Cambria Math" w:cstheme="majorBidi"/>
                          <w:b/>
                          <w:bCs/>
                          <w:i/>
                          <w:sz w:val="18"/>
                          <w:szCs w:val="18"/>
                        </w:rPr>
                      </m:ctrlPr>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ctrlPr>
                        <w:rPr>
                          <w:rFonts w:ascii="Cambria Math" w:hAnsi="Cambria Math" w:cstheme="majorBidi"/>
                          <w:b/>
                          <w:bCs/>
                          <w:i/>
                          <w:sz w:val="18"/>
                          <w:szCs w:val="18"/>
                        </w:rPr>
                      </m:ctrlPr>
                    </m:e>
                    <m:sub>
                      <m:r>
                        <m:rPr>
                          <m:sty m:val="bi"/>
                        </m:rPr>
                        <w:rPr>
                          <w:rFonts w:ascii="Cambria Math" w:hAnsi="Cambria Math" w:cstheme="majorBidi"/>
                          <w:sz w:val="18"/>
                          <w:szCs w:val="18"/>
                        </w:rPr>
                        <m:t>sc</m:t>
                      </m:r>
                      <m:ctrlPr>
                        <w:rPr>
                          <w:rFonts w:ascii="Cambria Math" w:hAnsi="Cambria Math" w:cstheme="majorBidi"/>
                          <w:b/>
                          <w:bCs/>
                          <w:i/>
                          <w:sz w:val="18"/>
                          <w:szCs w:val="18"/>
                        </w:rPr>
                      </m:ctrlPr>
                    </m:sub>
                    <m:sup>
                      <m:r>
                        <m:rPr>
                          <m:sty m:val="bi"/>
                        </m:rPr>
                        <w:rPr>
                          <w:rFonts w:ascii="Cambria Math" w:hAnsi="Cambria Math" w:cstheme="majorBidi"/>
                          <w:sz w:val="18"/>
                          <w:szCs w:val="18"/>
                        </w:rPr>
                        <m:t>RB</m:t>
                      </m:r>
                      <m:ctrlPr>
                        <w:rPr>
                          <w:rFonts w:ascii="Cambria Math" w:hAnsi="Cambria Math" w:cstheme="majorBidi"/>
                          <w:b/>
                          <w:bCs/>
                          <w:i/>
                          <w:sz w:val="18"/>
                          <w:szCs w:val="18"/>
                        </w:rPr>
                      </m:ctrlPr>
                    </m:sup>
                  </m:sSubSup>
                  <m:ctrlPr>
                    <w:rPr>
                      <w:rFonts w:ascii="Cambria Math" w:hAnsi="Cambria Math" w:cstheme="majorBidi"/>
                      <w:b/>
                      <w:bCs/>
                      <w:i/>
                      <w:sz w:val="18"/>
                      <w:szCs w:val="18"/>
                    </w:rPr>
                  </m:ctrlPr>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ctrlPr>
                        <w:rPr>
                          <w:rFonts w:ascii="Cambria Math" w:hAnsi="Cambria Math" w:cstheme="majorBidi"/>
                          <w:b/>
                          <w:bCs/>
                          <w:i/>
                          <w:sz w:val="18"/>
                          <w:szCs w:val="18"/>
                        </w:rPr>
                      </m:ctrlPr>
                    </m:e>
                    <m:sub>
                      <m:r>
                        <m:rPr>
                          <m:sty m:val="bi"/>
                        </m:rPr>
                        <w:rPr>
                          <w:rFonts w:ascii="Cambria Math" w:hAnsi="Cambria Math" w:cstheme="majorBidi"/>
                          <w:sz w:val="18"/>
                          <w:szCs w:val="18"/>
                        </w:rPr>
                        <m:t>PT−RS</m:t>
                      </m:r>
                      <m:ctrlPr>
                        <w:rPr>
                          <w:rFonts w:ascii="Cambria Math" w:hAnsi="Cambria Math" w:cstheme="majorBidi"/>
                          <w:b/>
                          <w:bCs/>
                          <w:i/>
                          <w:sz w:val="18"/>
                          <w:szCs w:val="18"/>
                        </w:rPr>
                      </m:ctrlP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ctrlPr>
                        <w:rPr>
                          <w:rFonts w:ascii="Cambria Math" w:hAnsi="Cambria Math" w:cstheme="majorBidi"/>
                          <w:b/>
                          <w:bCs/>
                          <w:i/>
                          <w:sz w:val="18"/>
                          <w:szCs w:val="18"/>
                        </w:rPr>
                      </m:ctrlPr>
                    </m:e>
                    <m:sub>
                      <m:r>
                        <m:rPr>
                          <m:sty m:val="bi"/>
                        </m:rPr>
                        <w:rPr>
                          <w:rFonts w:ascii="Cambria Math" w:hAnsi="Cambria Math" w:cstheme="majorBidi"/>
                          <w:sz w:val="18"/>
                          <w:szCs w:val="18"/>
                        </w:rPr>
                        <m:t>ref</m:t>
                      </m:r>
                      <m:ctrlPr>
                        <w:rPr>
                          <w:rFonts w:ascii="Cambria Math" w:hAnsi="Cambria Math" w:cstheme="majorBidi"/>
                          <w:b/>
                          <w:bCs/>
                          <w:i/>
                          <w:sz w:val="18"/>
                          <w:szCs w:val="18"/>
                        </w:rPr>
                      </m:ctrlPr>
                    </m:sub>
                    <m:sup>
                      <m:r>
                        <m:rPr>
                          <m:sty m:val="bi"/>
                        </m:rPr>
                        <w:rPr>
                          <w:rFonts w:ascii="Cambria Math" w:hAnsi="Cambria Math" w:cstheme="majorBidi"/>
                          <w:sz w:val="18"/>
                          <w:szCs w:val="18"/>
                        </w:rPr>
                        <m:t>RB</m:t>
                      </m:r>
                      <m:ctrlPr>
                        <w:rPr>
                          <w:rFonts w:ascii="Cambria Math" w:hAnsi="Cambria Math" w:cstheme="majorBidi"/>
                          <w:b/>
                          <w:bCs/>
                          <w:i/>
                          <w:sz w:val="18"/>
                          <w:szCs w:val="18"/>
                        </w:rPr>
                      </m:ctrlPr>
                    </m:sup>
                  </m:sSubSup>
                  <m:ctrlPr>
                    <w:rPr>
                      <w:rFonts w:ascii="Cambria Math" w:hAnsi="Cambria Math" w:cstheme="majorBidi"/>
                      <w:b/>
                      <w:bCs/>
                      <w:i/>
                      <w:sz w:val="18"/>
                      <w:szCs w:val="18"/>
                    </w:rPr>
                  </m:ctrlPr>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ctrlPr>
                    <w:rPr>
                      <w:rFonts w:ascii="Cambria Math" w:hAnsi="Cambria Math" w:cstheme="majorBidi"/>
                      <w:b/>
                      <w:bCs/>
                      <w:i/>
                      <w:sz w:val="18"/>
                      <w:szCs w:val="18"/>
                    </w:rPr>
                  </m:ctrlPr>
                </m:e>
                <m:sub>
                  <m:r>
                    <m:rPr>
                      <m:sty m:val="bi"/>
                    </m:rPr>
                    <w:rPr>
                      <w:rFonts w:ascii="Cambria Math" w:hAnsi="Cambria Math" w:cstheme="majorBidi"/>
                      <w:sz w:val="18"/>
                      <w:szCs w:val="18"/>
                    </w:rPr>
                    <m:t>sc</m:t>
                  </m:r>
                  <m:ctrlPr>
                    <w:rPr>
                      <w:rFonts w:ascii="Cambria Math" w:hAnsi="Cambria Math" w:cstheme="majorBidi"/>
                      <w:b/>
                      <w:bCs/>
                      <w:i/>
                      <w:sz w:val="18"/>
                      <w:szCs w:val="18"/>
                    </w:rPr>
                  </m:ctrlPr>
                </m:sub>
                <m:sup>
                  <m:r>
                    <m:rPr>
                      <m:sty m:val="bi"/>
                    </m:rPr>
                    <w:rPr>
                      <w:rFonts w:ascii="Cambria Math" w:hAnsi="Cambria Math" w:cstheme="majorBidi"/>
                      <w:sz w:val="18"/>
                      <w:szCs w:val="18"/>
                    </w:rPr>
                    <m:t>RB</m:t>
                  </m:r>
                  <m:ctrlPr>
                    <w:rPr>
                      <w:rFonts w:ascii="Cambria Math" w:hAnsi="Cambria Math" w:cstheme="majorBidi"/>
                      <w:b/>
                      <w:bCs/>
                      <w:i/>
                      <w:sz w:val="18"/>
                      <w:szCs w:val="18"/>
                    </w:rPr>
                  </m:ctrlPr>
                </m:sup>
              </m:sSubSup>
            </m:oMath>
            <w:r>
              <w:rPr>
                <w:rFonts w:asciiTheme="majorBidi" w:hAnsiTheme="majorBidi" w:cstheme="majorBidi"/>
                <w:b/>
                <w:bCs/>
                <w:sz w:val="18"/>
                <w:szCs w:val="18"/>
              </w:rPr>
              <w:t>, where</w:t>
            </w:r>
          </w:p>
          <w:p w14:paraId="0C9812F0">
            <w:pPr>
              <w:pStyle w:val="108"/>
              <w:numPr>
                <w:ilvl w:val="2"/>
                <w:numId w:val="42"/>
              </w:numPr>
              <w:overflowPunct w:val="0"/>
              <w:autoSpaceDE w:val="0"/>
              <w:autoSpaceDN w:val="0"/>
              <w:adjustRightInd w:val="0"/>
              <w:spacing w:after="180"/>
              <w:ind w:leftChars="0"/>
              <w:textAlignment w:val="baseline"/>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ctrlPr>
                    <w:rPr>
                      <w:rFonts w:ascii="Cambria Math" w:hAnsi="Cambria Math" w:cstheme="majorBidi"/>
                      <w:b/>
                      <w:bCs/>
                      <w:i/>
                      <w:sz w:val="18"/>
                      <w:szCs w:val="18"/>
                    </w:rPr>
                  </m:ctrlPr>
                </m:e>
                <m:sub>
                  <m:r>
                    <m:rPr>
                      <m:sty m:val="bi"/>
                    </m:rPr>
                    <w:rPr>
                      <w:rFonts w:ascii="Cambria Math" w:hAnsi="Cambria Math" w:cstheme="majorBidi"/>
                      <w:sz w:val="18"/>
                      <w:szCs w:val="18"/>
                    </w:rPr>
                    <m:t>relative</m:t>
                  </m:r>
                  <m:ctrlPr>
                    <w:rPr>
                      <w:rFonts w:ascii="Cambria Math" w:hAnsi="Cambria Math" w:cstheme="majorBidi"/>
                      <w:b/>
                      <w:bCs/>
                      <w:i/>
                      <w:sz w:val="18"/>
                      <w:szCs w:val="18"/>
                    </w:rPr>
                  </m:ctrlPr>
                </m:sub>
                <m:sup>
                  <m:r>
                    <m:rPr>
                      <m:sty m:val="bi"/>
                    </m:rPr>
                    <w:rPr>
                      <w:rFonts w:ascii="Cambria Math" w:hAnsi="Cambria Math" w:cstheme="majorBidi"/>
                      <w:sz w:val="18"/>
                      <w:szCs w:val="18"/>
                    </w:rPr>
                    <m:t>RE</m:t>
                  </m:r>
                  <m:ctrlPr>
                    <w:rPr>
                      <w:rFonts w:ascii="Cambria Math" w:hAnsi="Cambria Math" w:cstheme="majorBidi"/>
                      <w:b/>
                      <w:bCs/>
                      <w:i/>
                      <w:sz w:val="18"/>
                      <w:szCs w:val="18"/>
                    </w:rPr>
                  </m:ctrlPr>
                </m:sup>
              </m:sSubSup>
            </m:oMath>
            <w:r>
              <w:rPr>
                <w:rFonts w:asciiTheme="majorBidi" w:hAnsiTheme="majorBidi" w:cstheme="majorBidi"/>
                <w:b/>
                <w:bCs/>
                <w:sz w:val="18"/>
                <w:szCs w:val="18"/>
              </w:rPr>
              <w:t xml:space="preserve"> is given by the DCI field “Rate matching indicator for interfering PTRS” based on Table 1 above.</w:t>
            </w:r>
          </w:p>
          <w:p w14:paraId="220519B9">
            <w:pPr>
              <w:pStyle w:val="108"/>
              <w:overflowPunct w:val="0"/>
              <w:autoSpaceDE w:val="0"/>
              <w:autoSpaceDN w:val="0"/>
              <w:adjustRightInd w:val="0"/>
              <w:spacing w:after="180"/>
              <w:ind w:left="2210" w:leftChars="0"/>
              <w:textAlignment w:val="baseline"/>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4"/>
          <w:p w14:paraId="023D7C39">
            <w:pPr>
              <w:overflowPunct w:val="0"/>
              <w:autoSpaceDE w:val="0"/>
              <w:autoSpaceDN w:val="0"/>
              <w:adjustRightInd w:val="0"/>
              <w:spacing w:before="120" w:after="120"/>
              <w:jc w:val="both"/>
              <w:textAlignment w:val="baseline"/>
              <w:rPr>
                <w:rFonts w:ascii="Arial" w:hAnsi="Arial" w:eastAsia="Calibri" w:cs="Arial"/>
                <w:b/>
                <w:bCs/>
                <w:sz w:val="20"/>
                <w:szCs w:val="22"/>
                <w:lang w:val="en-US"/>
              </w:rPr>
            </w:pPr>
          </w:p>
        </w:tc>
      </w:tr>
    </w:tbl>
    <w:p w14:paraId="2A935BB4">
      <w:pPr>
        <w:rPr>
          <w:b/>
        </w:rPr>
      </w:pPr>
    </w:p>
    <w:p w14:paraId="28FFFBA5">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14:paraId="33CFAC19">
      <w:pPr>
        <w:rPr>
          <w:rFonts w:ascii="Arial" w:hAnsi="Arial" w:eastAsia="MS Mincho"/>
          <w:sz w:val="32"/>
          <w:szCs w:val="32"/>
        </w:rPr>
      </w:pPr>
    </w:p>
    <w:p w14:paraId="27D60482">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11</w:t>
      </w:r>
    </w:p>
    <w:p w14:paraId="1F530062">
      <w:pPr>
        <w:pStyle w:val="108"/>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19FA4FB0">
      <w:pPr>
        <w:pStyle w:val="108"/>
        <w:numPr>
          <w:ilvl w:val="1"/>
          <w:numId w:val="20"/>
        </w:numPr>
        <w:ind w:leftChars="0"/>
        <w:jc w:val="both"/>
        <w:rPr>
          <w:b/>
          <w:bCs/>
        </w:rPr>
      </w:pPr>
      <w:r>
        <w:rPr>
          <w:b/>
          <w:bCs/>
        </w:rPr>
        <w:t>This feature is enabled by a new RRC configuration and is subject to a new UE capability.</w:t>
      </w:r>
    </w:p>
    <w:p w14:paraId="21C19562">
      <w:pPr>
        <w:pStyle w:val="108"/>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r>
        <w:rPr>
          <w:b/>
          <w:bCs/>
          <w:i/>
          <w:iCs/>
        </w:rPr>
        <w:t>coresetPoolIndex</w:t>
      </w:r>
      <w:r>
        <w:rPr>
          <w:b/>
          <w:bCs/>
        </w:rPr>
        <w:t xml:space="preserve"> in </w:t>
      </w:r>
      <w:r>
        <w:rPr>
          <w:b/>
          <w:bCs/>
          <w:i/>
          <w:iCs/>
        </w:rPr>
        <w:t>ControlResourceSet</w:t>
      </w:r>
      <w:r>
        <w:rPr>
          <w:b/>
          <w:bCs/>
        </w:rPr>
        <w:t>.</w:t>
      </w:r>
    </w:p>
    <w:p w14:paraId="674B3CCB">
      <w:pPr>
        <w:pStyle w:val="108"/>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07D94386">
      <w:pPr>
        <w:pStyle w:val="108"/>
        <w:numPr>
          <w:ilvl w:val="1"/>
          <w:numId w:val="20"/>
        </w:numPr>
        <w:ind w:leftChars="0"/>
        <w:jc w:val="both"/>
        <w:rPr>
          <w:b/>
          <w:bCs/>
        </w:rPr>
      </w:pPr>
      <w:r>
        <w:rPr>
          <w:b/>
          <w:bCs/>
        </w:rPr>
        <w:t>The set of REs for rate matching is determined as follows:</w:t>
      </w:r>
    </w:p>
    <w:p w14:paraId="2A436457">
      <w:pPr>
        <w:pStyle w:val="108"/>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ctrlPr>
              <w:rPr>
                <w:rFonts w:ascii="Cambria Math" w:hAnsi="Cambria Math"/>
                <w:b/>
                <w:bCs/>
                <w:i/>
              </w:rPr>
            </m:ctrlPr>
          </m:e>
          <m:sub>
            <m:r>
              <m:rPr>
                <m:sty m:val="bi"/>
              </m:rPr>
              <w:rPr>
                <w:rFonts w:ascii="Cambria Math" w:hAnsi="Cambria Math"/>
              </w:rPr>
              <m:t>PT−RS</m:t>
            </m:r>
            <m:ctrlPr>
              <w:rPr>
                <w:rFonts w:ascii="Cambria Math" w:hAnsi="Cambria Math"/>
                <w:b/>
                <w:bCs/>
                <w:i/>
              </w:rPr>
            </m:ctrlPr>
          </m:sub>
        </m:sSub>
      </m:oMath>
      <w:r>
        <w:rPr>
          <w:b/>
          <w:bCs/>
        </w:rPr>
        <w:t xml:space="preserve"> with a new RRC parameter that configures one value among {1,2,4}.</w:t>
      </w:r>
    </w:p>
    <w:p w14:paraId="3146B756">
      <w:pPr>
        <w:pStyle w:val="108"/>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ctrlPr>
              <w:rPr>
                <w:rFonts w:ascii="Cambria Math" w:hAnsi="Cambria Math"/>
                <w:b/>
                <w:bCs/>
                <w:i/>
              </w:rPr>
            </m:ctrlPr>
          </m:e>
          <m:sup>
            <m:r>
              <m:rPr>
                <m:sty m:val="bi"/>
              </m:rPr>
              <w:rPr>
                <w:rFonts w:ascii="Cambria Math" w:hAnsi="Cambria Math"/>
              </w:rPr>
              <m:t>'</m:t>
            </m:r>
            <m:ctrlPr>
              <w:rPr>
                <w:rFonts w:ascii="Cambria Math" w:hAnsi="Cambria Math"/>
                <w:b/>
                <w:bCs/>
                <w:i/>
              </w:rPr>
            </m:ctrlP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ctrlPr>
                      <w:rPr>
                        <w:rFonts w:ascii="Cambria Math" w:hAnsi="Cambria Math"/>
                        <w:b/>
                        <w:bCs/>
                        <w:i/>
                      </w:rPr>
                    </m:ctrlPr>
                  </m:e>
                  <m:sub>
                    <m:r>
                      <m:rPr>
                        <m:sty m:val="bi"/>
                      </m:rPr>
                      <w:rPr>
                        <w:rFonts w:ascii="Cambria Math" w:hAnsi="Cambria Math"/>
                      </w:rPr>
                      <m:t>ref</m:t>
                    </m:r>
                    <m:ctrlPr>
                      <w:rPr>
                        <w:rFonts w:ascii="Cambria Math" w:hAnsi="Cambria Math"/>
                        <w:b/>
                        <w:bCs/>
                        <w:i/>
                      </w:rPr>
                    </m:ctrlPr>
                  </m:sub>
                  <m:sup>
                    <m:r>
                      <m:rPr>
                        <m:sty m:val="bi"/>
                      </m:rPr>
                      <w:rPr>
                        <w:rFonts w:ascii="Cambria Math" w:hAnsi="Cambria Math"/>
                      </w:rPr>
                      <m:t>RE</m:t>
                    </m:r>
                    <m:ctrlPr>
                      <w:rPr>
                        <w:rFonts w:ascii="Cambria Math" w:hAnsi="Cambria Math"/>
                        <w:b/>
                        <w:bCs/>
                        <w:i/>
                      </w:rPr>
                    </m:ctrlP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ctrlPr>
                      <w:rPr>
                        <w:rFonts w:ascii="Cambria Math" w:hAnsi="Cambria Math"/>
                        <w:b/>
                        <w:bCs/>
                        <w:i/>
                      </w:rPr>
                    </m:ctrlPr>
                  </m:e>
                  <m:sub>
                    <m:r>
                      <m:rPr>
                        <m:sty m:val="bi"/>
                      </m:rPr>
                      <w:rPr>
                        <w:rFonts w:ascii="Cambria Math" w:hAnsi="Cambria Math"/>
                      </w:rPr>
                      <m:t>relative</m:t>
                    </m:r>
                    <m:ctrlPr>
                      <w:rPr>
                        <w:rFonts w:ascii="Cambria Math" w:hAnsi="Cambria Math"/>
                        <w:b/>
                        <w:bCs/>
                        <w:i/>
                      </w:rPr>
                    </m:ctrlPr>
                  </m:sub>
                  <m:sup>
                    <m:r>
                      <m:rPr>
                        <m:sty m:val="bi"/>
                      </m:rPr>
                      <w:rPr>
                        <w:rFonts w:ascii="Cambria Math" w:hAnsi="Cambria Math"/>
                      </w:rPr>
                      <m:t>RE</m:t>
                    </m:r>
                    <m:ctrlPr>
                      <w:rPr>
                        <w:rFonts w:ascii="Cambria Math" w:hAnsi="Cambria Math"/>
                        <w:b/>
                        <w:bCs/>
                        <w:i/>
                      </w:rPr>
                    </m:ctrlPr>
                  </m:sup>
                </m:sSubSup>
                <m:ctrlPr>
                  <w:rPr>
                    <w:rFonts w:ascii="Cambria Math" w:hAnsi="Cambria Math"/>
                    <w:b/>
                    <w:bCs/>
                    <w:i/>
                  </w:rPr>
                </m:ctrlPr>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ctrlPr>
                  <w:rPr>
                    <w:rFonts w:ascii="Cambria Math" w:hAnsi="Cambria Math"/>
                    <w:b/>
                    <w:bCs/>
                    <w:i/>
                  </w:rPr>
                </m:ctrlPr>
              </m:e>
              <m:sub>
                <m:r>
                  <m:rPr>
                    <m:sty m:val="bi"/>
                  </m:rPr>
                  <w:rPr>
                    <w:rFonts w:ascii="Cambria Math" w:hAnsi="Cambria Math"/>
                  </w:rPr>
                  <m:t>sc</m:t>
                </m:r>
                <m:ctrlPr>
                  <w:rPr>
                    <w:rFonts w:ascii="Cambria Math" w:hAnsi="Cambria Math"/>
                    <w:b/>
                    <w:bCs/>
                    <w:i/>
                  </w:rPr>
                </m:ctrlPr>
              </m:sub>
              <m:sup>
                <m:r>
                  <m:rPr>
                    <m:sty m:val="bi"/>
                  </m:rPr>
                  <w:rPr>
                    <w:rFonts w:ascii="Cambria Math" w:hAnsi="Cambria Math"/>
                  </w:rPr>
                  <m:t>RB</m:t>
                </m:r>
                <m:ctrlPr>
                  <w:rPr>
                    <w:rFonts w:ascii="Cambria Math" w:hAnsi="Cambria Math"/>
                    <w:b/>
                    <w:bCs/>
                    <w:i/>
                  </w:rPr>
                </m:ctrlPr>
              </m:sup>
            </m:sSubSup>
            <m:ctrlPr>
              <w:rPr>
                <w:rFonts w:ascii="Cambria Math" w:hAnsi="Cambria Math"/>
                <w:b/>
                <w:bCs/>
                <w:i/>
              </w:rPr>
            </m:ctrlPr>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ctrlPr>
                  <w:rPr>
                    <w:rFonts w:ascii="Cambria Math" w:hAnsi="Cambria Math"/>
                    <w:b/>
                    <w:bCs/>
                    <w:i/>
                  </w:rPr>
                </m:ctrlPr>
              </m:e>
              <m:sub>
                <m:r>
                  <m:rPr>
                    <m:sty m:val="bi"/>
                  </m:rPr>
                  <w:rPr>
                    <w:rFonts w:ascii="Cambria Math" w:hAnsi="Cambria Math"/>
                  </w:rPr>
                  <m:t>PT−RS</m:t>
                </m:r>
                <m:ctrlPr>
                  <w:rPr>
                    <w:rFonts w:ascii="Cambria Math" w:hAnsi="Cambria Math"/>
                    <w:b/>
                    <w:bCs/>
                    <w:i/>
                  </w:rPr>
                </m:ctrlP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ctrlPr>
                  <w:rPr>
                    <w:rFonts w:ascii="Cambria Math" w:hAnsi="Cambria Math"/>
                    <w:b/>
                    <w:bCs/>
                    <w:i/>
                  </w:rPr>
                </m:ctrlPr>
              </m:e>
              <m:sub>
                <m:r>
                  <m:rPr>
                    <m:sty m:val="bi"/>
                  </m:rPr>
                  <w:rPr>
                    <w:rFonts w:ascii="Cambria Math" w:hAnsi="Cambria Math"/>
                  </w:rPr>
                  <m:t>ref</m:t>
                </m:r>
                <m:ctrlPr>
                  <w:rPr>
                    <w:rFonts w:ascii="Cambria Math" w:hAnsi="Cambria Math"/>
                    <w:b/>
                    <w:bCs/>
                    <w:i/>
                  </w:rPr>
                </m:ctrlPr>
              </m:sub>
              <m:sup>
                <m:r>
                  <m:rPr>
                    <m:sty m:val="bi"/>
                  </m:rPr>
                  <w:rPr>
                    <w:rFonts w:ascii="Cambria Math" w:hAnsi="Cambria Math"/>
                  </w:rPr>
                  <m:t>RB</m:t>
                </m:r>
                <m:ctrlPr>
                  <w:rPr>
                    <w:rFonts w:ascii="Cambria Math" w:hAnsi="Cambria Math"/>
                    <w:b/>
                    <w:bCs/>
                    <w:i/>
                  </w:rPr>
                </m:ctrlPr>
              </m:sup>
            </m:sSubSup>
            <m:ctrlPr>
              <w:rPr>
                <w:rFonts w:ascii="Cambria Math" w:hAnsi="Cambria Math"/>
                <w:b/>
                <w:bCs/>
                <w:i/>
              </w:rPr>
            </m:ctrlPr>
          </m:e>
        </m:d>
        <m:sSubSup>
          <m:sSubSupPr>
            <m:ctrlPr>
              <w:rPr>
                <w:rFonts w:ascii="Cambria Math" w:hAnsi="Cambria Math"/>
                <w:b/>
                <w:bCs/>
                <w:i/>
              </w:rPr>
            </m:ctrlPr>
          </m:sSubSupPr>
          <m:e>
            <m:r>
              <m:rPr>
                <m:sty m:val="bi"/>
              </m:rPr>
              <w:rPr>
                <w:rFonts w:ascii="Cambria Math" w:hAnsi="Cambria Math"/>
              </w:rPr>
              <m:t>N</m:t>
            </m:r>
            <m:ctrlPr>
              <w:rPr>
                <w:rFonts w:ascii="Cambria Math" w:hAnsi="Cambria Math"/>
                <w:b/>
                <w:bCs/>
                <w:i/>
              </w:rPr>
            </m:ctrlPr>
          </m:e>
          <m:sub>
            <m:r>
              <m:rPr>
                <m:sty m:val="bi"/>
              </m:rPr>
              <w:rPr>
                <w:rFonts w:ascii="Cambria Math" w:hAnsi="Cambria Math"/>
              </w:rPr>
              <m:t>sc</m:t>
            </m:r>
            <m:ctrlPr>
              <w:rPr>
                <w:rFonts w:ascii="Cambria Math" w:hAnsi="Cambria Math"/>
                <w:b/>
                <w:bCs/>
                <w:i/>
              </w:rPr>
            </m:ctrlPr>
          </m:sub>
          <m:sup>
            <m:r>
              <m:rPr>
                <m:sty m:val="bi"/>
              </m:rPr>
              <w:rPr>
                <w:rFonts w:ascii="Cambria Math" w:hAnsi="Cambria Math"/>
              </w:rPr>
              <m:t>RB</m:t>
            </m:r>
            <m:ctrlPr>
              <w:rPr>
                <w:rFonts w:ascii="Cambria Math" w:hAnsi="Cambria Math"/>
                <w:b/>
                <w:bCs/>
                <w:i/>
              </w:rPr>
            </m:ctrlPr>
          </m:sup>
        </m:sSubSup>
      </m:oMath>
      <w:r>
        <w:rPr>
          <w:b/>
          <w:bCs/>
        </w:rPr>
        <w:t>, where</w:t>
      </w:r>
    </w:p>
    <w:p w14:paraId="39DD8D66">
      <w:pPr>
        <w:pStyle w:val="108"/>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ctrlPr>
              <w:rPr>
                <w:rFonts w:ascii="Cambria Math" w:hAnsi="Cambria Math"/>
                <w:b/>
                <w:bCs/>
                <w:i/>
              </w:rPr>
            </m:ctrlPr>
          </m:e>
          <m:sub>
            <m:r>
              <m:rPr>
                <m:sty m:val="bi"/>
              </m:rPr>
              <w:rPr>
                <w:rFonts w:ascii="Cambria Math" w:hAnsi="Cambria Math"/>
              </w:rPr>
              <m:t>relative</m:t>
            </m:r>
            <m:ctrlPr>
              <w:rPr>
                <w:rFonts w:ascii="Cambria Math" w:hAnsi="Cambria Math"/>
                <w:b/>
                <w:bCs/>
                <w:i/>
              </w:rPr>
            </m:ctrlPr>
          </m:sub>
          <m:sup>
            <m:r>
              <m:rPr>
                <m:sty m:val="bi"/>
              </m:rPr>
              <w:rPr>
                <w:rFonts w:ascii="Cambria Math" w:hAnsi="Cambria Math"/>
              </w:rPr>
              <m:t>RE</m:t>
            </m:r>
            <m:ctrlPr>
              <w:rPr>
                <w:rFonts w:ascii="Cambria Math" w:hAnsi="Cambria Math"/>
                <w:b/>
                <w:bCs/>
                <w:i/>
              </w:rPr>
            </m:ctrlPr>
          </m:sup>
        </m:sSubSup>
      </m:oMath>
      <w:r>
        <w:rPr>
          <w:b/>
          <w:bCs/>
        </w:rPr>
        <w:t xml:space="preserve"> is given by the DCI field “Rate matching indicator for interfering PTRS” based on </w:t>
      </w:r>
      <w:r>
        <w:rPr>
          <w:rFonts w:hint="eastAsia"/>
          <w:b/>
          <w:bCs/>
        </w:rPr>
        <w:t>the following table</w:t>
      </w:r>
      <w:r>
        <w:rPr>
          <w:b/>
          <w:bCs/>
        </w:rPr>
        <w:t>.</w:t>
      </w:r>
    </w:p>
    <w:p w14:paraId="27433EF7">
      <w:pPr>
        <w:pStyle w:val="108"/>
        <w:numPr>
          <w:ilvl w:val="3"/>
          <w:numId w:val="20"/>
        </w:numPr>
        <w:ind w:leftChars="0"/>
        <w:jc w:val="both"/>
        <w:rPr>
          <w:b/>
          <w:bCs/>
        </w:rPr>
      </w:pPr>
      <w:r>
        <w:rPr>
          <w:b/>
          <w:bCs/>
        </w:rPr>
        <w:t>All other parameters are defined in Section 7.4.1.2.2 of 38.211.</w:t>
      </w:r>
    </w:p>
    <w:p w14:paraId="4EC556FC">
      <w:pPr>
        <w:pStyle w:val="21"/>
        <w:keepNext/>
        <w:numPr>
          <w:ilvl w:val="0"/>
          <w:numId w:val="20"/>
        </w:numPr>
        <w:jc w:val="center"/>
        <w:rPr>
          <w:sz w:val="18"/>
          <w:szCs w:val="18"/>
        </w:rPr>
      </w:pPr>
      <w:r>
        <w:rPr>
          <w:sz w:val="18"/>
          <w:szCs w:val="18"/>
        </w:rPr>
        <w:t>Table: DCI field “</w:t>
      </w:r>
      <w:r>
        <w:rPr>
          <w:rFonts w:eastAsia="等线" w:asciiTheme="majorBidi" w:hAnsiTheme="majorBidi" w:cstheme="majorBidi"/>
          <w:sz w:val="18"/>
          <w:szCs w:val="18"/>
          <w:lang w:eastAsia="zh-CN"/>
        </w:rPr>
        <w:t>Rate matching indicator for interfering PTRS</w:t>
      </w:r>
      <w:r>
        <w:rPr>
          <w:sz w:val="18"/>
          <w:szCs w:val="18"/>
        </w:rPr>
        <w: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1"/>
        <w:gridCol w:w="3246"/>
      </w:tblGrid>
      <w:tr w14:paraId="6E50A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3151" w:type="dxa"/>
          </w:tcPr>
          <w:p w14:paraId="4E402883">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Value of the fields “Rate matching indicator for interfering PTRS”</w:t>
            </w:r>
          </w:p>
        </w:tc>
        <w:tc>
          <w:tcPr>
            <w:tcW w:w="3246" w:type="dxa"/>
          </w:tcPr>
          <w:p w14:paraId="1833CA77">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 xml:space="preserve">RE offset relative to </w:t>
            </w:r>
            <w:r>
              <w:rPr>
                <w:position w:val="-10"/>
                <w:sz w:val="18"/>
                <w:szCs w:val="18"/>
                <w:lang w:val="en-US" w:eastAsia="zh-CN"/>
              </w:rPr>
              <w:drawing>
                <wp:inline distT="0" distB="0" distL="0" distR="0">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eastAsia="等线" w:asciiTheme="majorBidi" w:hAnsiTheme="majorBidi" w:cstheme="majorBidi"/>
                <w:sz w:val="18"/>
                <w:szCs w:val="18"/>
                <w:lang w:eastAsia="zh-CN"/>
              </w:rPr>
              <w:t>in 38.211 Section 7.4.1.2.2</w:t>
            </w:r>
          </w:p>
        </w:tc>
      </w:tr>
      <w:tr w14:paraId="1D53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3151" w:type="dxa"/>
          </w:tcPr>
          <w:p w14:paraId="410764A6">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0</w:t>
            </w:r>
          </w:p>
        </w:tc>
        <w:tc>
          <w:tcPr>
            <w:tcW w:w="3246" w:type="dxa"/>
          </w:tcPr>
          <w:p w14:paraId="54FD8064">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This value indicates no rate matching (i.e., interfering PTRS is absent)</w:t>
            </w:r>
          </w:p>
        </w:tc>
      </w:tr>
      <w:tr w14:paraId="299D4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14:paraId="4555A734">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w:t>
            </w:r>
          </w:p>
        </w:tc>
        <w:tc>
          <w:tcPr>
            <w:tcW w:w="3246" w:type="dxa"/>
          </w:tcPr>
          <w:p w14:paraId="46A97B55">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w:t>
            </w:r>
          </w:p>
        </w:tc>
      </w:tr>
      <w:tr w14:paraId="0CD17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14:paraId="68581963">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2</w:t>
            </w:r>
          </w:p>
        </w:tc>
        <w:tc>
          <w:tcPr>
            <w:tcW w:w="3246" w:type="dxa"/>
          </w:tcPr>
          <w:p w14:paraId="68A86518">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2</w:t>
            </w:r>
          </w:p>
        </w:tc>
      </w:tr>
      <w:tr w14:paraId="3E5C2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3151" w:type="dxa"/>
          </w:tcPr>
          <w:p w14:paraId="52BB1517">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c>
          <w:tcPr>
            <w:tcW w:w="3246" w:type="dxa"/>
          </w:tcPr>
          <w:p w14:paraId="422FBC43">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r>
      <w:tr w14:paraId="7A5EA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14:paraId="4C6C5E70">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11</w:t>
            </w:r>
          </w:p>
        </w:tc>
        <w:tc>
          <w:tcPr>
            <w:tcW w:w="3246" w:type="dxa"/>
          </w:tcPr>
          <w:p w14:paraId="47D1E348">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11</w:t>
            </w:r>
          </w:p>
        </w:tc>
      </w:tr>
      <w:tr w14:paraId="0D1A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14:paraId="46F048AE">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12</w:t>
            </w:r>
          </w:p>
        </w:tc>
        <w:tc>
          <w:tcPr>
            <w:tcW w:w="3246" w:type="dxa"/>
          </w:tcPr>
          <w:p w14:paraId="65896F04">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reserved</w:t>
            </w:r>
          </w:p>
        </w:tc>
      </w:tr>
      <w:tr w14:paraId="18ABD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14:paraId="281230D6">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c>
          <w:tcPr>
            <w:tcW w:w="3246" w:type="dxa"/>
          </w:tcPr>
          <w:p w14:paraId="64FBEDDC">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r>
      <w:tr w14:paraId="1465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3151" w:type="dxa"/>
          </w:tcPr>
          <w:p w14:paraId="4FEC60CE">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15</w:t>
            </w:r>
          </w:p>
        </w:tc>
        <w:tc>
          <w:tcPr>
            <w:tcW w:w="3246" w:type="dxa"/>
          </w:tcPr>
          <w:p w14:paraId="08333663">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reserved</w:t>
            </w:r>
          </w:p>
        </w:tc>
      </w:tr>
    </w:tbl>
    <w:p w14:paraId="6BA6C381">
      <w:pPr>
        <w:pStyle w:val="108"/>
        <w:ind w:left="420" w:leftChars="0"/>
        <w:jc w:val="both"/>
        <w:rPr>
          <w:b/>
        </w:rPr>
      </w:pPr>
    </w:p>
    <w:p w14:paraId="4A3FB8A9">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Qualcomm</w:t>
      </w:r>
      <w:r>
        <w:rPr>
          <w:rFonts w:eastAsia="MS Mincho" w:cs="Batang"/>
          <w:sz w:val="22"/>
          <w:szCs w:val="22"/>
        </w:rPr>
        <w:t>.</w:t>
      </w:r>
    </w:p>
    <w:p w14:paraId="6A72E61B">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8"/>
        <w:gridCol w:w="1023"/>
        <w:gridCol w:w="6912"/>
      </w:tblGrid>
      <w:tr w14:paraId="0BB6E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shd w:val="clear" w:color="auto" w:fill="F1F1F1" w:themeFill="background1" w:themeFillShade="F2"/>
          </w:tcPr>
          <w:p w14:paraId="3D5274A8">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14:paraId="66A63C06">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14:paraId="77ADEA38">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14:paraId="22E43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0BE4EDDF">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DOCOMO</w:t>
            </w:r>
          </w:p>
        </w:tc>
        <w:tc>
          <w:tcPr>
            <w:tcW w:w="1023" w:type="dxa"/>
          </w:tcPr>
          <w:p w14:paraId="6B3CF601">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N</w:t>
            </w:r>
          </w:p>
        </w:tc>
        <w:tc>
          <w:tcPr>
            <w:tcW w:w="6912" w:type="dxa"/>
          </w:tcPr>
          <w:p w14:paraId="2D34CF9F">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41D6749A">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13BBFC03">
            <w:pPr>
              <w:overflowPunct w:val="0"/>
              <w:autoSpaceDE w:val="0"/>
              <w:autoSpaceDN w:val="0"/>
              <w:adjustRightInd w:val="0"/>
              <w:spacing w:after="120" w:afterLines="50"/>
              <w:jc w:val="both"/>
              <w:textAlignment w:val="baseline"/>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14:paraId="55A5B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09A6C042">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14:paraId="2795D5A5">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14:paraId="25D7293C">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have some concerns on the TEI CR.</w:t>
            </w:r>
          </w:p>
          <w:p w14:paraId="675DCB6A">
            <w:pPr>
              <w:pStyle w:val="108"/>
              <w:numPr>
                <w:ilvl w:val="0"/>
                <w:numId w:val="43"/>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17DF856A">
            <w:pPr>
              <w:pStyle w:val="108"/>
              <w:numPr>
                <w:ilvl w:val="0"/>
                <w:numId w:val="43"/>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eastAsiaTheme="minorEastAsia"/>
                <w:sz w:val="22"/>
                <w:lang w:val="en-US" w:eastAsia="zh-CN"/>
              </w:rPr>
              <w:t>It does not solve the issue: how one TRP can know the PTRS RB density of the other TRP. PTRS RB density is calculated based on RB allocation of PDSCH which is dynamical. One TRP cannot know such dynamic information of the other TRP, as mDCI mTRP targets for non-ideal backhaul scenario.</w:t>
            </w:r>
          </w:p>
          <w:p w14:paraId="42391845">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14:paraId="57736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2A2CF8E3">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14:paraId="788FBC1C">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14:paraId="371E9E97">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14:paraId="08C1D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0A65C8B8">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QC</w:t>
            </w:r>
          </w:p>
        </w:tc>
        <w:tc>
          <w:tcPr>
            <w:tcW w:w="1023" w:type="dxa"/>
          </w:tcPr>
          <w:p w14:paraId="31AA3909">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Y</w:t>
            </w:r>
          </w:p>
        </w:tc>
        <w:tc>
          <w:tcPr>
            <w:tcW w:w="6912" w:type="dxa"/>
          </w:tcPr>
          <w:p w14:paraId="2F0608FC">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@DCM @Huawei, the main target use case for mDCI mTRP is for </w:t>
            </w:r>
            <w:r>
              <w:rPr>
                <w:rFonts w:eastAsiaTheme="minorEastAsia"/>
                <w:sz w:val="22"/>
                <w:lang w:val="en-US" w:eastAsia="zh-CN"/>
              </w:rPr>
              <w:t>throughput</w:t>
            </w:r>
            <w:r>
              <w:rPr>
                <w:rFonts w:hint="eastAsia" w:eastAsiaTheme="minorEastAsia"/>
                <w:sz w:val="22"/>
                <w:lang w:val="en-US" w:eastAsia="zh-CN"/>
              </w:rPr>
              <w:t xml:space="preserve"> enhancement, it is targeted for both non-ideal backhaul and non-ideal backhaul. That</w:t>
            </w:r>
            <w:r>
              <w:rPr>
                <w:rFonts w:eastAsiaTheme="minorEastAsia"/>
                <w:sz w:val="22"/>
                <w:lang w:val="en-US" w:eastAsia="zh-CN"/>
              </w:rPr>
              <w:t>’</w:t>
            </w:r>
            <w:r>
              <w:rPr>
                <w:rFonts w:hint="eastAsia" w:eastAsiaTheme="minorEastAsia"/>
                <w:sz w:val="22"/>
                <w:lang w:val="en-US" w:eastAsia="zh-CN"/>
              </w:rPr>
              <w:t xml:space="preserve">s why we introduce both separate HARQ-ACK feedback and joint HARQ-ACK feedback for mDCI mTRP in Rel.16. </w:t>
            </w:r>
          </w:p>
          <w:p w14:paraId="2582179C">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hint="eastAsia" w:eastAsiaTheme="minorEastAsia"/>
                <w:sz w:val="22"/>
                <w:lang w:val="en-US" w:eastAsia="zh-CN"/>
              </w:rPr>
              <w:t>F</w:t>
            </w:r>
            <w:r>
              <w:rPr>
                <w:rFonts w:eastAsiaTheme="minorEastAsia"/>
                <w:sz w:val="22"/>
                <w:lang w:val="en-US" w:eastAsia="zh-CN"/>
              </w:rPr>
              <w:t xml:space="preserve">or ideal backhaul case, there is no issue at the network side for indicating </w:t>
            </w:r>
            <w:r>
              <w:rPr>
                <w:rFonts w:hint="eastAsia" w:eastAsiaTheme="minorEastAsia"/>
                <w:sz w:val="22"/>
                <w:lang w:val="en-US" w:eastAsia="zh-CN"/>
              </w:rPr>
              <w:t>PTRS rate matching pattern</w:t>
            </w:r>
            <w:r>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514BC74C">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In </w:t>
            </w:r>
            <w:r>
              <w:rPr>
                <w:rFonts w:eastAsiaTheme="minorEastAsia"/>
                <w:sz w:val="22"/>
                <w:lang w:val="en-US" w:eastAsia="zh-CN"/>
              </w:rPr>
              <w:t>addition</w:t>
            </w:r>
            <w:r>
              <w:rPr>
                <w:rFonts w:hint="eastAsia" w:eastAsiaTheme="minor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14:paraId="04831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3224437F">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14:paraId="2774879A">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14:paraId="058F98BC">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 benefit is not clear in mDCI mTRP scenario</w:t>
            </w:r>
          </w:p>
        </w:tc>
      </w:tr>
      <w:tr w14:paraId="4388A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4DD338C3">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023" w:type="dxa"/>
          </w:tcPr>
          <w:p w14:paraId="6BC02DF3">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14:paraId="6A108D6C">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 solution can only be used for the case of fully overlap, which can be seen as a corner case. In addition, the solution introduces big spec impact(a 4 bits new DCI filed), and the improvement is not very significant since it assumes the worst cases because of the latency between TRPs. So, we prefer to not support.</w:t>
            </w:r>
          </w:p>
        </w:tc>
      </w:tr>
      <w:tr w14:paraId="334C5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77C87096">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14:paraId="088E3B39">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14:paraId="2C8688B4">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mTRP commercialization.  </w:t>
            </w:r>
          </w:p>
        </w:tc>
      </w:tr>
      <w:tr w14:paraId="0C2B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4C25D9CF">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14:paraId="5F16225B">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912" w:type="dxa"/>
          </w:tcPr>
          <w:p w14:paraId="050FE112">
            <w:pPr>
              <w:pStyle w:val="108"/>
              <w:numPr>
                <w:ilvl w:val="0"/>
                <w:numId w:val="36"/>
              </w:numPr>
              <w:overflowPunct w:val="0"/>
              <w:autoSpaceDE w:val="0"/>
              <w:autoSpaceDN w:val="0"/>
              <w:adjustRightInd w:val="0"/>
              <w:spacing w:after="120" w:afterLines="50"/>
              <w:ind w:leftChars="0"/>
              <w:jc w:val="both"/>
              <w:textAlignment w:val="baseline"/>
              <w:rPr>
                <w:sz w:val="22"/>
                <w:lang w:val="en-US"/>
              </w:rPr>
            </w:pPr>
            <w:r>
              <w:rPr>
                <w:sz w:val="22"/>
                <w:lang w:val="en-US"/>
              </w:rPr>
              <w:t xml:space="preserve">PTRS RE can be determined by scheduling information from a DCI (FDRA, MCS, and associated DMRS port). </w:t>
            </w:r>
          </w:p>
          <w:p w14:paraId="6E8666F9">
            <w:pPr>
              <w:pStyle w:val="108"/>
              <w:numPr>
                <w:ilvl w:val="0"/>
                <w:numId w:val="36"/>
              </w:numPr>
              <w:overflowPunct w:val="0"/>
              <w:autoSpaceDE w:val="0"/>
              <w:autoSpaceDN w:val="0"/>
              <w:adjustRightInd w:val="0"/>
              <w:spacing w:after="120" w:afterLines="50"/>
              <w:ind w:leftChars="0"/>
              <w:jc w:val="both"/>
              <w:textAlignment w:val="baseline"/>
              <w:rPr>
                <w:sz w:val="22"/>
                <w:lang w:val="en-US"/>
              </w:rPr>
            </w:pPr>
            <w:r>
              <w:rPr>
                <w:sz w:val="22"/>
                <w:lang w:val="en-US"/>
              </w:rPr>
              <w:t xml:space="preserve">Regarding restrictions on DMRS-DMRS collision in current specification for multi-DCI multi-TRP, that can be avoided by gNB based on proper configuration (i.e., by handling proper semi-static configurations on TDRA entries). How, information like FDRA or MCS that is provided by DCI is not easy, or even feasible, to be shared via non-ideal backhaul under multi-DCI based multi-TRP. </w:t>
            </w:r>
          </w:p>
          <w:p w14:paraId="0DFC5630">
            <w:pPr>
              <w:pStyle w:val="108"/>
              <w:numPr>
                <w:ilvl w:val="0"/>
                <w:numId w:val="36"/>
              </w:numPr>
              <w:overflowPunct w:val="0"/>
              <w:autoSpaceDE w:val="0"/>
              <w:autoSpaceDN w:val="0"/>
              <w:adjustRightInd w:val="0"/>
              <w:spacing w:after="120" w:afterLines="50"/>
              <w:ind w:leftChars="0"/>
              <w:jc w:val="both"/>
              <w:textAlignment w:val="baseline"/>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409F344D">
            <w:pPr>
              <w:overflowPunct w:val="0"/>
              <w:autoSpaceDE w:val="0"/>
              <w:autoSpaceDN w:val="0"/>
              <w:adjustRightInd w:val="0"/>
              <w:spacing w:after="120" w:afterLines="50"/>
              <w:jc w:val="both"/>
              <w:textAlignment w:val="baseline"/>
              <w:rPr>
                <w:sz w:val="22"/>
                <w:lang w:val="en-US"/>
              </w:rPr>
            </w:pPr>
            <w:r>
              <w:rPr>
                <w:sz w:val="22"/>
                <w:lang w:val="en-US"/>
              </w:rPr>
              <w:t xml:space="preserve">Lastly, it is not shown how much performance gain can be achieved based on the proposal. </w:t>
            </w:r>
          </w:p>
        </w:tc>
      </w:tr>
      <w:tr w14:paraId="5643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5D8FA467">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Ericsson</w:t>
            </w:r>
          </w:p>
        </w:tc>
        <w:tc>
          <w:tcPr>
            <w:tcW w:w="1023" w:type="dxa"/>
          </w:tcPr>
          <w:p w14:paraId="4379E10D">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N</w:t>
            </w:r>
          </w:p>
        </w:tc>
        <w:tc>
          <w:tcPr>
            <w:tcW w:w="6912" w:type="dxa"/>
          </w:tcPr>
          <w:p w14:paraId="7622294F">
            <w:pPr>
              <w:pStyle w:val="108"/>
              <w:numPr>
                <w:ilvl w:val="0"/>
                <w:numId w:val="36"/>
              </w:numPr>
              <w:overflowPunct w:val="0"/>
              <w:autoSpaceDE w:val="0"/>
              <w:autoSpaceDN w:val="0"/>
              <w:adjustRightInd w:val="0"/>
              <w:spacing w:after="120" w:afterLines="50"/>
              <w:ind w:leftChars="0"/>
              <w:jc w:val="both"/>
              <w:textAlignment w:val="baseline"/>
              <w:rPr>
                <w:sz w:val="22"/>
                <w:lang w:val="en-US"/>
              </w:rPr>
            </w:pPr>
            <w:r>
              <w:rPr>
                <w:rFonts w:eastAsiaTheme="minorEastAsia"/>
                <w:sz w:val="22"/>
                <w:lang w:val="en-US" w:eastAsia="zh-CN"/>
              </w:rPr>
              <w:t>In our view, it is not clear if this feature is implemented in practice.  Hence, we don’t see the need to treat this TEI proposal.</w:t>
            </w:r>
          </w:p>
        </w:tc>
      </w:tr>
      <w:tr w14:paraId="496F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03D9156B">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eastAsia="zh-CN"/>
              </w:rPr>
              <w:t>Nokia</w:t>
            </w:r>
          </w:p>
        </w:tc>
        <w:tc>
          <w:tcPr>
            <w:tcW w:w="1023" w:type="dxa"/>
          </w:tcPr>
          <w:p w14:paraId="3208D030">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14:paraId="486DE6BB">
            <w:pPr>
              <w:pStyle w:val="108"/>
              <w:numPr>
                <w:ilvl w:val="0"/>
                <w:numId w:val="36"/>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sz w:val="22"/>
                <w:lang w:val="en-US"/>
              </w:rPr>
              <w:t>It is not clear if with multipanel UEs there is loss of gain in eliminating the REs colliding with PTRS. We also agree with the comments made on ideal/non-ideal backhaul and the practical difficulty of deploying the proposed solution</w:t>
            </w:r>
          </w:p>
        </w:tc>
      </w:tr>
      <w:tr w14:paraId="0033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vAlign w:val="top"/>
          </w:tcPr>
          <w:p w14:paraId="16A23671">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val="en-US" w:eastAsia="zh-CN"/>
              </w:rPr>
              <w:t>CATT</w:t>
            </w:r>
          </w:p>
        </w:tc>
        <w:tc>
          <w:tcPr>
            <w:tcW w:w="1023" w:type="dxa"/>
            <w:vAlign w:val="top"/>
          </w:tcPr>
          <w:p w14:paraId="58DABCCA">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No</w:t>
            </w:r>
          </w:p>
        </w:tc>
        <w:tc>
          <w:tcPr>
            <w:tcW w:w="6912" w:type="dxa"/>
            <w:vAlign w:val="top"/>
          </w:tcPr>
          <w:p w14:paraId="27F3C6CB">
            <w:pPr>
              <w:overflowPunct w:val="0"/>
              <w:autoSpaceDE w:val="0"/>
              <w:autoSpaceDN w:val="0"/>
              <w:adjustRightInd w:val="0"/>
              <w:spacing w:after="120" w:afterLines="50"/>
              <w:jc w:val="both"/>
              <w:textAlignment w:val="baseline"/>
              <w:rPr>
                <w:rFonts w:hint="eastAsia" w:eastAsiaTheme="minorEastAsia"/>
                <w:sz w:val="22"/>
                <w:lang w:val="en-US" w:eastAsia="zh-CN"/>
              </w:rPr>
            </w:pPr>
            <w:r>
              <w:rPr>
                <w:rFonts w:hint="eastAsia" w:eastAsiaTheme="minorEastAsia"/>
                <w:sz w:val="22"/>
                <w:lang w:val="en-US" w:eastAsia="zh-CN"/>
              </w:rPr>
              <w:t>Whether the performance gain provided by PTRS rate matching is sufficient to offset the performance loss due to interference between PTRS and data needs to be investigated.</w:t>
            </w:r>
          </w:p>
          <w:p w14:paraId="19062A61">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The PTRS rate matching pattern design and indication is a complex task, which is not suitable to be completed within a TEI.</w:t>
            </w:r>
          </w:p>
        </w:tc>
      </w:tr>
    </w:tbl>
    <w:p w14:paraId="7E5B12F4">
      <w:pPr>
        <w:rPr>
          <w:b/>
          <w:lang w:val="en-US"/>
        </w:rPr>
      </w:pPr>
    </w:p>
    <w:p w14:paraId="74157271">
      <w:pPr>
        <w:rPr>
          <w:b/>
        </w:rPr>
      </w:pPr>
    </w:p>
    <w:p w14:paraId="696E0E65">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8-Tx coherent precoder codebook enhancement</w:t>
      </w:r>
    </w:p>
    <w:p w14:paraId="087D37EE">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14:paraId="2FBA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362DCB56">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[7</w:t>
            </w:r>
            <w:r>
              <w:rPr>
                <w:rFonts w:ascii="Arial" w:hAnsi="Arial" w:eastAsia="MS Mincho"/>
                <w:sz w:val="22"/>
                <w:szCs w:val="22"/>
                <w:lang w:val="en-US"/>
              </w:rPr>
              <w:t>]</w:t>
            </w:r>
          </w:p>
        </w:tc>
        <w:tc>
          <w:tcPr>
            <w:tcW w:w="9066" w:type="dxa"/>
          </w:tcPr>
          <w:p w14:paraId="53735FF6">
            <w:pPr>
              <w:overflowPunct w:val="0"/>
              <w:autoSpaceDE w:val="0"/>
              <w:autoSpaceDN w:val="0"/>
              <w:adjustRightInd w:val="0"/>
              <w:spacing w:after="180"/>
              <w:textAlignment w:val="baseline"/>
              <w:rPr>
                <w:sz w:val="18"/>
                <w:szCs w:val="18"/>
              </w:rPr>
            </w:pPr>
            <w:r>
              <w:rPr>
                <w:sz w:val="18"/>
                <w:szCs w:val="18"/>
              </w:rPr>
              <w:t xml:space="preserve">Rel-18 8Tx coherent codebook was designed to be DFT codebook. The codebook is specified with the following two caveats. </w:t>
            </w:r>
          </w:p>
          <w:p w14:paraId="1CCA5BD0">
            <w:pPr>
              <w:pStyle w:val="108"/>
              <w:numPr>
                <w:ilvl w:val="0"/>
                <w:numId w:val="44"/>
              </w:numPr>
              <w:overflowPunct w:val="0"/>
              <w:autoSpaceDE w:val="0"/>
              <w:autoSpaceDN w:val="0"/>
              <w:adjustRightInd w:val="0"/>
              <w:spacing w:after="180"/>
              <w:ind w:leftChars="0"/>
              <w:textAlignment w:val="baseline"/>
              <w:rPr>
                <w:sz w:val="18"/>
                <w:szCs w:val="18"/>
              </w:rPr>
            </w:pPr>
            <w:r>
              <w:rPr>
                <w:sz w:val="18"/>
                <w:szCs w:val="18"/>
              </w:rPr>
              <w:t xml:space="preserve">The size of codebook size for the case of (N1=4, N2=1) is 120, which is less than 128. There are unused codepoints with 7 bits in DCI anyway. </w:t>
            </w:r>
          </w:p>
          <w:p w14:paraId="5FC071E4">
            <w:pPr>
              <w:pStyle w:val="108"/>
              <w:numPr>
                <w:ilvl w:val="0"/>
                <w:numId w:val="44"/>
              </w:numPr>
              <w:overflowPunct w:val="0"/>
              <w:autoSpaceDE w:val="0"/>
              <w:autoSpaceDN w:val="0"/>
              <w:adjustRightInd w:val="0"/>
              <w:spacing w:after="180"/>
              <w:ind w:leftChars="0"/>
              <w:textAlignment w:val="baseline"/>
              <w:rPr>
                <w:sz w:val="18"/>
                <w:szCs w:val="18"/>
              </w:rPr>
            </w:pPr>
            <w:r>
              <w:rPr>
                <w:sz w:val="18"/>
                <w:szCs w:val="18"/>
              </w:rPr>
              <w:t xml:space="preserve">In the codebooks for both cases of (N1=4, N2=1) and (N1=2, N2=2), there are redundant precoders which are essentially identical (with only column swap). </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2328"/>
              <w:gridCol w:w="2987"/>
              <w:gridCol w:w="2214"/>
            </w:tblGrid>
            <w:tr w14:paraId="4D924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14:paraId="0652B286">
                  <w:pPr>
                    <w:overflowPunct w:val="0"/>
                    <w:autoSpaceDE w:val="0"/>
                    <w:autoSpaceDN w:val="0"/>
                    <w:adjustRightInd w:val="0"/>
                    <w:spacing w:after="0"/>
                    <w:textAlignment w:val="baseline"/>
                    <w:rPr>
                      <w:sz w:val="18"/>
                      <w:szCs w:val="18"/>
                    </w:rPr>
                  </w:pPr>
                </w:p>
              </w:tc>
              <w:tc>
                <w:tcPr>
                  <w:tcW w:w="2610" w:type="dxa"/>
                </w:tcPr>
                <w:p w14:paraId="5C279204">
                  <w:pPr>
                    <w:overflowPunct w:val="0"/>
                    <w:autoSpaceDE w:val="0"/>
                    <w:autoSpaceDN w:val="0"/>
                    <w:adjustRightInd w:val="0"/>
                    <w:spacing w:after="0"/>
                    <w:textAlignment w:val="baseline"/>
                    <w:rPr>
                      <w:sz w:val="18"/>
                      <w:szCs w:val="18"/>
                    </w:rPr>
                  </w:pPr>
                  <w:r>
                    <w:rPr>
                      <w:sz w:val="18"/>
                      <w:szCs w:val="18"/>
                    </w:rPr>
                    <w:t>#precoders in current spec</w:t>
                  </w:r>
                </w:p>
              </w:tc>
              <w:tc>
                <w:tcPr>
                  <w:tcW w:w="3426" w:type="dxa"/>
                </w:tcPr>
                <w:p w14:paraId="4876C336">
                  <w:pPr>
                    <w:overflowPunct w:val="0"/>
                    <w:autoSpaceDE w:val="0"/>
                    <w:autoSpaceDN w:val="0"/>
                    <w:adjustRightInd w:val="0"/>
                    <w:spacing w:after="0"/>
                    <w:textAlignment w:val="baseline"/>
                    <w:rPr>
                      <w:sz w:val="18"/>
                      <w:szCs w:val="18"/>
                    </w:rPr>
                  </w:pPr>
                  <w:r>
                    <w:rPr>
                      <w:sz w:val="18"/>
                      <w:szCs w:val="18"/>
                    </w:rPr>
                    <w:t># redundant precoders in current spec</w:t>
                  </w:r>
                </w:p>
              </w:tc>
              <w:tc>
                <w:tcPr>
                  <w:tcW w:w="2491" w:type="dxa"/>
                </w:tcPr>
                <w:p w14:paraId="2323A89B">
                  <w:pPr>
                    <w:overflowPunct w:val="0"/>
                    <w:autoSpaceDE w:val="0"/>
                    <w:autoSpaceDN w:val="0"/>
                    <w:adjustRightInd w:val="0"/>
                    <w:spacing w:after="0"/>
                    <w:textAlignment w:val="baseline"/>
                    <w:rPr>
                      <w:sz w:val="18"/>
                      <w:szCs w:val="18"/>
                    </w:rPr>
                  </w:pPr>
                  <w:r>
                    <w:rPr>
                      <w:sz w:val="18"/>
                      <w:szCs w:val="18"/>
                    </w:rPr>
                    <w:t xml:space="preserve">Gap to codebook size 128 </w:t>
                  </w:r>
                </w:p>
              </w:tc>
            </w:tr>
            <w:tr w14:paraId="1F331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14:paraId="63AA353F">
                  <w:pPr>
                    <w:overflowPunct w:val="0"/>
                    <w:autoSpaceDE w:val="0"/>
                    <w:autoSpaceDN w:val="0"/>
                    <w:adjustRightInd w:val="0"/>
                    <w:spacing w:after="0"/>
                    <w:textAlignment w:val="baseline"/>
                    <w:rPr>
                      <w:sz w:val="18"/>
                      <w:szCs w:val="18"/>
                    </w:rPr>
                  </w:pPr>
                  <w:r>
                    <w:rPr>
                      <w:sz w:val="18"/>
                      <w:szCs w:val="18"/>
                    </w:rPr>
                    <w:t>(N1=4, N2=1)</w:t>
                  </w:r>
                </w:p>
              </w:tc>
              <w:tc>
                <w:tcPr>
                  <w:tcW w:w="2610" w:type="dxa"/>
                </w:tcPr>
                <w:p w14:paraId="1895ECA1">
                  <w:pPr>
                    <w:overflowPunct w:val="0"/>
                    <w:autoSpaceDE w:val="0"/>
                    <w:autoSpaceDN w:val="0"/>
                    <w:adjustRightInd w:val="0"/>
                    <w:spacing w:after="0"/>
                    <w:textAlignment w:val="baseline"/>
                    <w:rPr>
                      <w:sz w:val="18"/>
                      <w:szCs w:val="18"/>
                    </w:rPr>
                  </w:pPr>
                  <w:r>
                    <w:rPr>
                      <w:sz w:val="18"/>
                      <w:szCs w:val="18"/>
                    </w:rPr>
                    <w:t>120</w:t>
                  </w:r>
                </w:p>
              </w:tc>
              <w:tc>
                <w:tcPr>
                  <w:tcW w:w="3426" w:type="dxa"/>
                </w:tcPr>
                <w:p w14:paraId="6C4556A8">
                  <w:pPr>
                    <w:overflowPunct w:val="0"/>
                    <w:autoSpaceDE w:val="0"/>
                    <w:autoSpaceDN w:val="0"/>
                    <w:adjustRightInd w:val="0"/>
                    <w:spacing w:after="0"/>
                    <w:textAlignment w:val="baseline"/>
                    <w:rPr>
                      <w:sz w:val="18"/>
                      <w:szCs w:val="18"/>
                    </w:rPr>
                  </w:pPr>
                  <w:r>
                    <w:rPr>
                      <w:sz w:val="18"/>
                      <w:szCs w:val="18"/>
                    </w:rPr>
                    <w:t>13</w:t>
                  </w:r>
                </w:p>
              </w:tc>
              <w:tc>
                <w:tcPr>
                  <w:tcW w:w="2491" w:type="dxa"/>
                </w:tcPr>
                <w:p w14:paraId="1558260C">
                  <w:pPr>
                    <w:overflowPunct w:val="0"/>
                    <w:autoSpaceDE w:val="0"/>
                    <w:autoSpaceDN w:val="0"/>
                    <w:adjustRightInd w:val="0"/>
                    <w:spacing w:after="0"/>
                    <w:textAlignment w:val="baseline"/>
                    <w:rPr>
                      <w:sz w:val="18"/>
                      <w:szCs w:val="18"/>
                    </w:rPr>
                  </w:pPr>
                  <w:r>
                    <w:rPr>
                      <w:sz w:val="18"/>
                      <w:szCs w:val="18"/>
                    </w:rPr>
                    <w:t>21</w:t>
                  </w:r>
                </w:p>
              </w:tc>
            </w:tr>
            <w:tr w14:paraId="14A9B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14:paraId="60DCF259">
                  <w:pPr>
                    <w:overflowPunct w:val="0"/>
                    <w:autoSpaceDE w:val="0"/>
                    <w:autoSpaceDN w:val="0"/>
                    <w:adjustRightInd w:val="0"/>
                    <w:spacing w:after="0"/>
                    <w:textAlignment w:val="baseline"/>
                    <w:rPr>
                      <w:sz w:val="18"/>
                      <w:szCs w:val="18"/>
                    </w:rPr>
                  </w:pPr>
                  <w:r>
                    <w:rPr>
                      <w:sz w:val="18"/>
                      <w:szCs w:val="18"/>
                    </w:rPr>
                    <w:t>(N1=2, N2=2)</w:t>
                  </w:r>
                </w:p>
              </w:tc>
              <w:tc>
                <w:tcPr>
                  <w:tcW w:w="2610" w:type="dxa"/>
                </w:tcPr>
                <w:p w14:paraId="65D514C0">
                  <w:pPr>
                    <w:overflowPunct w:val="0"/>
                    <w:autoSpaceDE w:val="0"/>
                    <w:autoSpaceDN w:val="0"/>
                    <w:adjustRightInd w:val="0"/>
                    <w:spacing w:after="0"/>
                    <w:textAlignment w:val="baseline"/>
                    <w:rPr>
                      <w:sz w:val="18"/>
                      <w:szCs w:val="18"/>
                    </w:rPr>
                  </w:pPr>
                  <w:r>
                    <w:rPr>
                      <w:sz w:val="18"/>
                      <w:szCs w:val="18"/>
                    </w:rPr>
                    <w:t>128</w:t>
                  </w:r>
                </w:p>
              </w:tc>
              <w:tc>
                <w:tcPr>
                  <w:tcW w:w="3426" w:type="dxa"/>
                </w:tcPr>
                <w:p w14:paraId="5933BF6B">
                  <w:pPr>
                    <w:overflowPunct w:val="0"/>
                    <w:autoSpaceDE w:val="0"/>
                    <w:autoSpaceDN w:val="0"/>
                    <w:adjustRightInd w:val="0"/>
                    <w:spacing w:after="0"/>
                    <w:textAlignment w:val="baseline"/>
                    <w:rPr>
                      <w:sz w:val="18"/>
                      <w:szCs w:val="18"/>
                    </w:rPr>
                  </w:pPr>
                  <w:r>
                    <w:rPr>
                      <w:sz w:val="18"/>
                      <w:szCs w:val="18"/>
                    </w:rPr>
                    <w:t>17</w:t>
                  </w:r>
                </w:p>
              </w:tc>
              <w:tc>
                <w:tcPr>
                  <w:tcW w:w="2491" w:type="dxa"/>
                </w:tcPr>
                <w:p w14:paraId="5742DD45">
                  <w:pPr>
                    <w:overflowPunct w:val="0"/>
                    <w:autoSpaceDE w:val="0"/>
                    <w:autoSpaceDN w:val="0"/>
                    <w:adjustRightInd w:val="0"/>
                    <w:spacing w:after="0"/>
                    <w:textAlignment w:val="baseline"/>
                    <w:rPr>
                      <w:sz w:val="18"/>
                      <w:szCs w:val="18"/>
                    </w:rPr>
                  </w:pPr>
                  <w:r>
                    <w:rPr>
                      <w:sz w:val="18"/>
                      <w:szCs w:val="18"/>
                    </w:rPr>
                    <w:t>17</w:t>
                  </w:r>
                </w:p>
              </w:tc>
            </w:tr>
          </w:tbl>
          <w:p w14:paraId="373E55AE">
            <w:pPr>
              <w:overflowPunct w:val="0"/>
              <w:autoSpaceDE w:val="0"/>
              <w:autoSpaceDN w:val="0"/>
              <w:adjustRightInd w:val="0"/>
              <w:spacing w:after="180"/>
              <w:textAlignment w:val="baseline"/>
              <w:rPr>
                <w:sz w:val="18"/>
                <w:szCs w:val="18"/>
              </w:rPr>
            </w:pPr>
          </w:p>
          <w:p w14:paraId="1D7B0EED">
            <w:pPr>
              <w:overflowPunct w:val="0"/>
              <w:autoSpaceDE w:val="0"/>
              <w:autoSpaceDN w:val="0"/>
              <w:adjustRightInd w:val="0"/>
              <w:spacing w:after="180"/>
              <w:textAlignment w:val="baseline"/>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3CB15194">
            <w:pPr>
              <w:overflowPunct w:val="0"/>
              <w:autoSpaceDE w:val="0"/>
              <w:autoSpaceDN w:val="0"/>
              <w:adjustRightInd w:val="0"/>
              <w:spacing w:after="180"/>
              <w:textAlignment w:val="baseline"/>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5BE19766">
            <w:pPr>
              <w:pStyle w:val="108"/>
              <w:numPr>
                <w:ilvl w:val="0"/>
                <w:numId w:val="45"/>
              </w:numPr>
              <w:overflowPunct w:val="0"/>
              <w:autoSpaceDE w:val="0"/>
              <w:autoSpaceDN w:val="0"/>
              <w:adjustRightInd w:val="0"/>
              <w:spacing w:after="180"/>
              <w:ind w:leftChars="0"/>
              <w:textAlignment w:val="baseline"/>
              <w:rPr>
                <w:b/>
                <w:bCs/>
                <w:sz w:val="18"/>
                <w:szCs w:val="18"/>
                <w:lang w:eastAsia="zh-CN"/>
              </w:rPr>
            </w:pPr>
            <w:r>
              <w:rPr>
                <w:b/>
                <w:sz w:val="18"/>
                <w:szCs w:val="18"/>
                <w:lang w:eastAsia="zh-CN"/>
              </w:rPr>
              <w:t xml:space="preserve">Remove the 13 redundant precoders in 8 TX fully coherent codebook with (N1=4, N2=1). Add 21 nonDFT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6D7C14B3">
            <w:pPr>
              <w:pStyle w:val="108"/>
              <w:numPr>
                <w:ilvl w:val="0"/>
                <w:numId w:val="45"/>
              </w:numPr>
              <w:overflowPunct w:val="0"/>
              <w:autoSpaceDE w:val="0"/>
              <w:autoSpaceDN w:val="0"/>
              <w:adjustRightInd w:val="0"/>
              <w:spacing w:after="180"/>
              <w:ind w:leftChars="0"/>
              <w:textAlignment w:val="baseline"/>
              <w:rPr>
                <w:sz w:val="18"/>
                <w:szCs w:val="18"/>
              </w:rPr>
            </w:pPr>
            <w:r>
              <w:rPr>
                <w:b/>
                <w:sz w:val="18"/>
                <w:szCs w:val="18"/>
                <w:lang w:eastAsia="zh-CN"/>
              </w:rPr>
              <w:t xml:space="preserve">Remove the 17 redundant precoders in 8 TX fully coherent codebook with (N1=2, N2=2). Add 17 nonDFT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41570631">
            <w:pPr>
              <w:pStyle w:val="21"/>
              <w:overflowPunct w:val="0"/>
              <w:autoSpaceDE w:val="0"/>
              <w:autoSpaceDN w:val="0"/>
              <w:adjustRightInd w:val="0"/>
              <w:spacing w:before="0"/>
              <w:jc w:val="center"/>
              <w:textAlignment w:val="baseline"/>
              <w:rPr>
                <w:sz w:val="18"/>
                <w:szCs w:val="18"/>
              </w:rPr>
            </w:pPr>
            <w:bookmarkStart w:id="25" w:name="_Ref142499306"/>
            <w:r>
              <w:rPr>
                <w:sz w:val="18"/>
                <w:szCs w:val="18"/>
              </w:rPr>
              <w:t xml:space="preserve">Table </w:t>
            </w:r>
            <w:r>
              <w:rPr>
                <w:sz w:val="18"/>
                <w:szCs w:val="18"/>
              </w:rPr>
              <w:fldChar w:fldCharType="begin"/>
            </w:r>
            <w:r>
              <w:rPr>
                <w:sz w:val="18"/>
                <w:szCs w:val="18"/>
              </w:rPr>
              <w:instrText xml:space="preserve">SEQ Table \* ARABIC</w:instrText>
            </w:r>
            <w:r>
              <w:rPr>
                <w:sz w:val="18"/>
                <w:szCs w:val="18"/>
              </w:rPr>
              <w:fldChar w:fldCharType="separate"/>
            </w:r>
            <w:r>
              <w:rPr>
                <w:sz w:val="18"/>
                <w:szCs w:val="18"/>
              </w:rPr>
              <w:t>3</w:t>
            </w:r>
            <w:r>
              <w:rPr>
                <w:sz w:val="18"/>
                <w:szCs w:val="18"/>
              </w:rPr>
              <w:fldChar w:fldCharType="end"/>
            </w:r>
            <w:bookmarkEnd w:id="25"/>
            <w:r>
              <w:rPr>
                <w:sz w:val="18"/>
                <w:szCs w:val="18"/>
              </w:rPr>
              <w:t>:  UL 8Tx size 128 hybrid CB (107 DFT precoders + 21 nonDFT precoders) for ULA (N1=4, N2=1) layout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162"/>
              <w:gridCol w:w="2928"/>
              <w:gridCol w:w="3874"/>
            </w:tblGrid>
            <w:tr w14:paraId="1359A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restart"/>
                </w:tcPr>
                <w:p w14:paraId="5A68DB28">
                  <w:pPr>
                    <w:overflowPunct w:val="0"/>
                    <w:autoSpaceDE w:val="0"/>
                    <w:autoSpaceDN w:val="0"/>
                    <w:adjustRightInd w:val="0"/>
                    <w:spacing w:after="0"/>
                    <w:textAlignment w:val="baseline"/>
                    <w:rPr>
                      <w:sz w:val="18"/>
                      <w:szCs w:val="18"/>
                    </w:rPr>
                  </w:pPr>
                  <w:r>
                    <w:rPr>
                      <w:sz w:val="18"/>
                      <w:szCs w:val="18"/>
                    </w:rPr>
                    <w:t>Rank</w:t>
                  </w:r>
                </w:p>
              </w:tc>
              <w:tc>
                <w:tcPr>
                  <w:tcW w:w="1188" w:type="dxa"/>
                  <w:vMerge w:val="restart"/>
                </w:tcPr>
                <w:p w14:paraId="0ABA42E0">
                  <w:pPr>
                    <w:overflowPunct w:val="0"/>
                    <w:autoSpaceDE w:val="0"/>
                    <w:autoSpaceDN w:val="0"/>
                    <w:adjustRightInd w:val="0"/>
                    <w:spacing w:after="0"/>
                    <w:textAlignment w:val="baseline"/>
                    <w:rPr>
                      <w:sz w:val="18"/>
                      <w:szCs w:val="18"/>
                    </w:rPr>
                  </w:pPr>
                  <w:r>
                    <w:rPr>
                      <w:sz w:val="18"/>
                      <w:szCs w:val="18"/>
                    </w:rPr>
                    <w:t xml:space="preserve"># precoders </w:t>
                  </w:r>
                </w:p>
              </w:tc>
              <w:tc>
                <w:tcPr>
                  <w:tcW w:w="7256" w:type="dxa"/>
                  <w:gridSpan w:val="2"/>
                </w:tcPr>
                <w:p w14:paraId="7FCC2AF6">
                  <w:pPr>
                    <w:overflowPunct w:val="0"/>
                    <w:autoSpaceDE w:val="0"/>
                    <w:autoSpaceDN w:val="0"/>
                    <w:adjustRightInd w:val="0"/>
                    <w:spacing w:after="0"/>
                    <w:jc w:val="center"/>
                    <w:textAlignment w:val="baseline"/>
                    <w:rPr>
                      <w:sz w:val="18"/>
                      <w:szCs w:val="18"/>
                    </w:rPr>
                  </w:pPr>
                  <w:r>
                    <w:rPr>
                      <w:sz w:val="18"/>
                      <w:szCs w:val="18"/>
                    </w:rPr>
                    <w:t>Constructed Hybrid codebook</w:t>
                  </w:r>
                </w:p>
              </w:tc>
            </w:tr>
            <w:tr w14:paraId="5CB8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continue"/>
                </w:tcPr>
                <w:p w14:paraId="5F08991D">
                  <w:pPr>
                    <w:overflowPunct w:val="0"/>
                    <w:autoSpaceDE w:val="0"/>
                    <w:autoSpaceDN w:val="0"/>
                    <w:adjustRightInd w:val="0"/>
                    <w:spacing w:after="0"/>
                    <w:textAlignment w:val="baseline"/>
                    <w:rPr>
                      <w:sz w:val="18"/>
                      <w:szCs w:val="18"/>
                    </w:rPr>
                  </w:pPr>
                </w:p>
              </w:tc>
              <w:tc>
                <w:tcPr>
                  <w:tcW w:w="1188" w:type="dxa"/>
                  <w:vMerge w:val="continue"/>
                </w:tcPr>
                <w:p w14:paraId="1381483A">
                  <w:pPr>
                    <w:overflowPunct w:val="0"/>
                    <w:autoSpaceDE w:val="0"/>
                    <w:autoSpaceDN w:val="0"/>
                    <w:adjustRightInd w:val="0"/>
                    <w:spacing w:after="0"/>
                    <w:textAlignment w:val="baseline"/>
                    <w:rPr>
                      <w:sz w:val="18"/>
                      <w:szCs w:val="18"/>
                    </w:rPr>
                  </w:pPr>
                </w:p>
              </w:tc>
              <w:tc>
                <w:tcPr>
                  <w:tcW w:w="3068" w:type="dxa"/>
                </w:tcPr>
                <w:p w14:paraId="5DE9C69E">
                  <w:pPr>
                    <w:overflowPunct w:val="0"/>
                    <w:autoSpaceDE w:val="0"/>
                    <w:autoSpaceDN w:val="0"/>
                    <w:adjustRightInd w:val="0"/>
                    <w:spacing w:after="0"/>
                    <w:textAlignment w:val="baseline"/>
                    <w:rPr>
                      <w:sz w:val="18"/>
                      <w:szCs w:val="18"/>
                    </w:rPr>
                  </w:pPr>
                  <w:r>
                    <w:rPr>
                      <w:sz w:val="18"/>
                      <w:szCs w:val="18"/>
                    </w:rPr>
                    <w:t>DFT precoders</w:t>
                  </w:r>
                </w:p>
              </w:tc>
              <w:tc>
                <w:tcPr>
                  <w:tcW w:w="4188" w:type="dxa"/>
                </w:tcPr>
                <w:p w14:paraId="559B3517">
                  <w:pPr>
                    <w:overflowPunct w:val="0"/>
                    <w:autoSpaceDE w:val="0"/>
                    <w:autoSpaceDN w:val="0"/>
                    <w:adjustRightInd w:val="0"/>
                    <w:spacing w:after="0"/>
                    <w:textAlignment w:val="baseline"/>
                    <w:rPr>
                      <w:sz w:val="18"/>
                      <w:szCs w:val="18"/>
                    </w:rPr>
                  </w:pPr>
                  <w:r>
                    <w:rPr>
                      <w:sz w:val="18"/>
                      <w:szCs w:val="18"/>
                    </w:rPr>
                    <w:t>NonDFT precoders</w:t>
                  </w:r>
                </w:p>
              </w:tc>
            </w:tr>
            <w:tr w14:paraId="7612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5AB97BD0">
                  <w:pPr>
                    <w:overflowPunct w:val="0"/>
                    <w:autoSpaceDE w:val="0"/>
                    <w:autoSpaceDN w:val="0"/>
                    <w:adjustRightInd w:val="0"/>
                    <w:spacing w:after="0"/>
                    <w:textAlignment w:val="baseline"/>
                    <w:rPr>
                      <w:sz w:val="18"/>
                      <w:szCs w:val="18"/>
                    </w:rPr>
                  </w:pPr>
                  <w:r>
                    <w:rPr>
                      <w:sz w:val="18"/>
                      <w:szCs w:val="18"/>
                    </w:rPr>
                    <w:t>Rank 1</w:t>
                  </w:r>
                </w:p>
              </w:tc>
              <w:tc>
                <w:tcPr>
                  <w:tcW w:w="1188" w:type="dxa"/>
                </w:tcPr>
                <w:p w14:paraId="279756AA">
                  <w:pPr>
                    <w:overflowPunct w:val="0"/>
                    <w:autoSpaceDE w:val="0"/>
                    <w:autoSpaceDN w:val="0"/>
                    <w:adjustRightInd w:val="0"/>
                    <w:spacing w:after="0"/>
                    <w:textAlignment w:val="baseline"/>
                    <w:rPr>
                      <w:sz w:val="18"/>
                      <w:szCs w:val="18"/>
                    </w:rPr>
                  </w:pPr>
                  <w:r>
                    <w:rPr>
                      <w:sz w:val="18"/>
                      <w:szCs w:val="18"/>
                    </w:rPr>
                    <w:t>16</w:t>
                  </w:r>
                </w:p>
              </w:tc>
              <w:tc>
                <w:tcPr>
                  <w:tcW w:w="3068" w:type="dxa"/>
                </w:tcPr>
                <w:p w14:paraId="6FB6A9C7">
                  <w:pPr>
                    <w:overflowPunct w:val="0"/>
                    <w:autoSpaceDE w:val="0"/>
                    <w:autoSpaceDN w:val="0"/>
                    <w:adjustRightInd w:val="0"/>
                    <w:spacing w:after="0"/>
                    <w:textAlignment w:val="baseline"/>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14:paraId="4AEE113F">
                  <w:pPr>
                    <w:overflowPunct w:val="0"/>
                    <w:autoSpaceDE w:val="0"/>
                    <w:autoSpaceDN w:val="0"/>
                    <w:adjustRightInd w:val="0"/>
                    <w:spacing w:after="0"/>
                    <w:textAlignment w:val="baseline"/>
                    <w:rPr>
                      <w:sz w:val="18"/>
                      <w:szCs w:val="18"/>
                    </w:rPr>
                  </w:pPr>
                  <w:r>
                    <w:rPr>
                      <w:sz w:val="18"/>
                      <w:szCs w:val="18"/>
                    </w:rPr>
                    <w:t>Size 0</w:t>
                  </w:r>
                </w:p>
              </w:tc>
            </w:tr>
            <w:tr w14:paraId="2A200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4ABB1F1F">
                  <w:pPr>
                    <w:overflowPunct w:val="0"/>
                    <w:autoSpaceDE w:val="0"/>
                    <w:autoSpaceDN w:val="0"/>
                    <w:adjustRightInd w:val="0"/>
                    <w:spacing w:after="0"/>
                    <w:textAlignment w:val="baseline"/>
                    <w:rPr>
                      <w:sz w:val="18"/>
                      <w:szCs w:val="18"/>
                    </w:rPr>
                  </w:pPr>
                  <w:r>
                    <w:rPr>
                      <w:sz w:val="18"/>
                      <w:szCs w:val="18"/>
                    </w:rPr>
                    <w:t>Rank 2</w:t>
                  </w:r>
                </w:p>
              </w:tc>
              <w:tc>
                <w:tcPr>
                  <w:tcW w:w="1188" w:type="dxa"/>
                </w:tcPr>
                <w:p w14:paraId="15ADBA10">
                  <w:pPr>
                    <w:overflowPunct w:val="0"/>
                    <w:autoSpaceDE w:val="0"/>
                    <w:autoSpaceDN w:val="0"/>
                    <w:adjustRightInd w:val="0"/>
                    <w:spacing w:after="0"/>
                    <w:textAlignment w:val="baseline"/>
                    <w:rPr>
                      <w:sz w:val="18"/>
                      <w:szCs w:val="18"/>
                    </w:rPr>
                  </w:pPr>
                  <w:r>
                    <w:rPr>
                      <w:sz w:val="18"/>
                      <w:szCs w:val="18"/>
                    </w:rPr>
                    <w:t>47</w:t>
                  </w:r>
                </w:p>
              </w:tc>
              <w:tc>
                <w:tcPr>
                  <w:tcW w:w="3068" w:type="dxa"/>
                </w:tcPr>
                <w:p w14:paraId="4106BE62">
                  <w:pPr>
                    <w:overflowPunct w:val="0"/>
                    <w:autoSpaceDE w:val="0"/>
                    <w:autoSpaceDN w:val="0"/>
                    <w:adjustRightInd w:val="0"/>
                    <w:spacing w:after="0"/>
                    <w:textAlignment w:val="baseline"/>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14:paraId="6191EA42">
                  <w:pPr>
                    <w:overflowPunct w:val="0"/>
                    <w:autoSpaceDE w:val="0"/>
                    <w:autoSpaceDN w:val="0"/>
                    <w:adjustRightInd w:val="0"/>
                    <w:spacing w:after="0"/>
                    <w:textAlignment w:val="baseline"/>
                    <w:rPr>
                      <w:sz w:val="18"/>
                      <w:szCs w:val="18"/>
                    </w:rPr>
                  </w:pPr>
                  <w:r>
                    <w:rPr>
                      <w:sz w:val="18"/>
                      <w:szCs w:val="18"/>
                    </w:rPr>
                    <w:t>Size 15:</w:t>
                  </w:r>
                </w:p>
                <w:p w14:paraId="67B01C04">
                  <w:pPr>
                    <w:overflowPunct w:val="0"/>
                    <w:autoSpaceDE w:val="0"/>
                    <w:autoSpaceDN w:val="0"/>
                    <w:adjustRightInd w:val="0"/>
                    <w:spacing w:after="0"/>
                    <w:textAlignment w:val="baseline"/>
                    <w:rPr>
                      <w:rFonts w:ascii="Cambria Math" w:hAnsi="Cambria Math"/>
                      <w:i/>
                      <w:iCs/>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w:p>
                <w:p w14:paraId="772BFB36">
                  <w:pPr>
                    <w:overflowPunct w:val="0"/>
                    <w:autoSpaceDE w:val="0"/>
                    <w:autoSpaceDN w:val="0"/>
                    <w:adjustRightInd w:val="0"/>
                    <w:spacing w:after="0"/>
                    <w:textAlignment w:val="baseline"/>
                    <w:rPr>
                      <w:sz w:val="18"/>
                      <w:szCs w:val="18"/>
                    </w:rPr>
                  </w:pPr>
                </w:p>
              </w:tc>
            </w:tr>
            <w:tr w14:paraId="3C5F6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6D851945">
                  <w:pPr>
                    <w:overflowPunct w:val="0"/>
                    <w:autoSpaceDE w:val="0"/>
                    <w:autoSpaceDN w:val="0"/>
                    <w:adjustRightInd w:val="0"/>
                    <w:spacing w:after="0"/>
                    <w:textAlignment w:val="baseline"/>
                    <w:rPr>
                      <w:sz w:val="18"/>
                      <w:szCs w:val="18"/>
                    </w:rPr>
                  </w:pPr>
                  <w:r>
                    <w:rPr>
                      <w:sz w:val="18"/>
                      <w:szCs w:val="18"/>
                    </w:rPr>
                    <w:t>Rank 3</w:t>
                  </w:r>
                </w:p>
              </w:tc>
              <w:tc>
                <w:tcPr>
                  <w:tcW w:w="1188" w:type="dxa"/>
                </w:tcPr>
                <w:p w14:paraId="5404F2B0">
                  <w:pPr>
                    <w:overflowPunct w:val="0"/>
                    <w:autoSpaceDE w:val="0"/>
                    <w:autoSpaceDN w:val="0"/>
                    <w:adjustRightInd w:val="0"/>
                    <w:spacing w:after="0"/>
                    <w:textAlignment w:val="baseline"/>
                    <w:rPr>
                      <w:sz w:val="18"/>
                      <w:szCs w:val="18"/>
                    </w:rPr>
                  </w:pPr>
                  <w:r>
                    <w:rPr>
                      <w:sz w:val="18"/>
                      <w:szCs w:val="18"/>
                    </w:rPr>
                    <w:t>27</w:t>
                  </w:r>
                </w:p>
              </w:tc>
              <w:tc>
                <w:tcPr>
                  <w:tcW w:w="3068" w:type="dxa"/>
                </w:tcPr>
                <w:p w14:paraId="3B2928CB">
                  <w:pPr>
                    <w:overflowPunct w:val="0"/>
                    <w:autoSpaceDE w:val="0"/>
                    <w:autoSpaceDN w:val="0"/>
                    <w:adjustRightInd w:val="0"/>
                    <w:spacing w:after="0"/>
                    <w:textAlignment w:val="baseline"/>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14:paraId="41E78081">
                  <w:pPr>
                    <w:overflowPunct w:val="0"/>
                    <w:autoSpaceDE w:val="0"/>
                    <w:autoSpaceDN w:val="0"/>
                    <w:adjustRightInd w:val="0"/>
                    <w:spacing w:after="0"/>
                    <w:textAlignment w:val="baseline"/>
                    <w:rPr>
                      <w:sz w:val="18"/>
                      <w:szCs w:val="18"/>
                    </w:rPr>
                  </w:pPr>
                  <w:r>
                    <w:rPr>
                      <w:sz w:val="18"/>
                      <w:szCs w:val="18"/>
                    </w:rPr>
                    <w:t>Size 3:</w:t>
                  </w:r>
                </w:p>
                <w:p w14:paraId="43C3D9DC">
                  <w:pPr>
                    <w:overflowPunct w:val="0"/>
                    <w:autoSpaceDE w:val="0"/>
                    <w:autoSpaceDN w:val="0"/>
                    <w:adjustRightInd w:val="0"/>
                    <w:spacing w:after="0"/>
                    <w:textAlignment w:val="baseline"/>
                    <w:rPr>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14:paraId="7CD5F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26A60212">
                  <w:pPr>
                    <w:overflowPunct w:val="0"/>
                    <w:autoSpaceDE w:val="0"/>
                    <w:autoSpaceDN w:val="0"/>
                    <w:adjustRightInd w:val="0"/>
                    <w:spacing w:after="0"/>
                    <w:textAlignment w:val="baseline"/>
                    <w:rPr>
                      <w:sz w:val="18"/>
                      <w:szCs w:val="18"/>
                    </w:rPr>
                  </w:pPr>
                  <w:r>
                    <w:rPr>
                      <w:sz w:val="18"/>
                      <w:szCs w:val="18"/>
                    </w:rPr>
                    <w:t>Rank 4</w:t>
                  </w:r>
                </w:p>
              </w:tc>
              <w:tc>
                <w:tcPr>
                  <w:tcW w:w="1188" w:type="dxa"/>
                </w:tcPr>
                <w:p w14:paraId="60782E2C">
                  <w:pPr>
                    <w:overflowPunct w:val="0"/>
                    <w:autoSpaceDE w:val="0"/>
                    <w:autoSpaceDN w:val="0"/>
                    <w:adjustRightInd w:val="0"/>
                    <w:spacing w:after="0"/>
                    <w:textAlignment w:val="baseline"/>
                    <w:rPr>
                      <w:sz w:val="18"/>
                      <w:szCs w:val="18"/>
                    </w:rPr>
                  </w:pPr>
                  <w:r>
                    <w:rPr>
                      <w:sz w:val="18"/>
                      <w:szCs w:val="18"/>
                    </w:rPr>
                    <w:t>15</w:t>
                  </w:r>
                </w:p>
              </w:tc>
              <w:tc>
                <w:tcPr>
                  <w:tcW w:w="3068" w:type="dxa"/>
                </w:tcPr>
                <w:p w14:paraId="2D19EAFD">
                  <w:pPr>
                    <w:overflowPunct w:val="0"/>
                    <w:autoSpaceDE w:val="0"/>
                    <w:autoSpaceDN w:val="0"/>
                    <w:adjustRightInd w:val="0"/>
                    <w:spacing w:after="0"/>
                    <w:textAlignment w:val="baseline"/>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14:paraId="3EF5DC29">
                  <w:pPr>
                    <w:overflowPunct w:val="0"/>
                    <w:autoSpaceDE w:val="0"/>
                    <w:autoSpaceDN w:val="0"/>
                    <w:adjustRightInd w:val="0"/>
                    <w:spacing w:after="0"/>
                    <w:textAlignment w:val="baseline"/>
                    <w:rPr>
                      <w:sz w:val="18"/>
                      <w:szCs w:val="18"/>
                    </w:rPr>
                  </w:pPr>
                  <w:r>
                    <w:rPr>
                      <w:sz w:val="18"/>
                      <w:szCs w:val="18"/>
                    </w:rPr>
                    <w:t>Size 3:</w:t>
                  </w:r>
                </w:p>
                <w:p w14:paraId="7F880562">
                  <w:pPr>
                    <w:overflowPunct w:val="0"/>
                    <w:autoSpaceDE w:val="0"/>
                    <w:autoSpaceDN w:val="0"/>
                    <w:adjustRightInd w:val="0"/>
                    <w:spacing w:after="180"/>
                    <w:textAlignment w:val="baseline"/>
                    <w:rPr>
                      <w:sz w:val="18"/>
                      <w:szCs w:val="18"/>
                    </w:rPr>
                  </w:pPr>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14:paraId="166E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0F3C8335">
                  <w:pPr>
                    <w:overflowPunct w:val="0"/>
                    <w:autoSpaceDE w:val="0"/>
                    <w:autoSpaceDN w:val="0"/>
                    <w:adjustRightInd w:val="0"/>
                    <w:spacing w:after="0"/>
                    <w:textAlignment w:val="baseline"/>
                    <w:rPr>
                      <w:sz w:val="18"/>
                      <w:szCs w:val="18"/>
                    </w:rPr>
                  </w:pPr>
                  <w:r>
                    <w:rPr>
                      <w:sz w:val="18"/>
                      <w:szCs w:val="18"/>
                    </w:rPr>
                    <w:t>Rank 5</w:t>
                  </w:r>
                </w:p>
              </w:tc>
              <w:tc>
                <w:tcPr>
                  <w:tcW w:w="1188" w:type="dxa"/>
                </w:tcPr>
                <w:p w14:paraId="0B88297E">
                  <w:pPr>
                    <w:overflowPunct w:val="0"/>
                    <w:autoSpaceDE w:val="0"/>
                    <w:autoSpaceDN w:val="0"/>
                    <w:adjustRightInd w:val="0"/>
                    <w:spacing w:after="0"/>
                    <w:textAlignment w:val="baseline"/>
                    <w:rPr>
                      <w:sz w:val="18"/>
                      <w:szCs w:val="18"/>
                    </w:rPr>
                  </w:pPr>
                  <w:r>
                    <w:rPr>
                      <w:sz w:val="18"/>
                      <w:szCs w:val="18"/>
                    </w:rPr>
                    <w:t>8</w:t>
                  </w:r>
                </w:p>
              </w:tc>
              <w:tc>
                <w:tcPr>
                  <w:tcW w:w="3068" w:type="dxa"/>
                </w:tcPr>
                <w:p w14:paraId="35670678">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14:paraId="1028FE27">
                  <w:pPr>
                    <w:overflowPunct w:val="0"/>
                    <w:autoSpaceDE w:val="0"/>
                    <w:autoSpaceDN w:val="0"/>
                    <w:adjustRightInd w:val="0"/>
                    <w:spacing w:after="0"/>
                    <w:textAlignment w:val="baseline"/>
                    <w:rPr>
                      <w:sz w:val="18"/>
                      <w:szCs w:val="18"/>
                    </w:rPr>
                  </w:pPr>
                  <w:r>
                    <w:rPr>
                      <w:sz w:val="18"/>
                      <w:szCs w:val="18"/>
                    </w:rPr>
                    <w:t>Size 0</w:t>
                  </w:r>
                </w:p>
              </w:tc>
            </w:tr>
            <w:tr w14:paraId="7DF0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59BC3E9A">
                  <w:pPr>
                    <w:overflowPunct w:val="0"/>
                    <w:autoSpaceDE w:val="0"/>
                    <w:autoSpaceDN w:val="0"/>
                    <w:adjustRightInd w:val="0"/>
                    <w:spacing w:after="0"/>
                    <w:textAlignment w:val="baseline"/>
                    <w:rPr>
                      <w:sz w:val="18"/>
                      <w:szCs w:val="18"/>
                    </w:rPr>
                  </w:pPr>
                  <w:r>
                    <w:rPr>
                      <w:sz w:val="18"/>
                      <w:szCs w:val="18"/>
                    </w:rPr>
                    <w:t>Rank 6</w:t>
                  </w:r>
                </w:p>
              </w:tc>
              <w:tc>
                <w:tcPr>
                  <w:tcW w:w="1188" w:type="dxa"/>
                </w:tcPr>
                <w:p w14:paraId="2D873FF7">
                  <w:pPr>
                    <w:overflowPunct w:val="0"/>
                    <w:autoSpaceDE w:val="0"/>
                    <w:autoSpaceDN w:val="0"/>
                    <w:adjustRightInd w:val="0"/>
                    <w:spacing w:after="0"/>
                    <w:textAlignment w:val="baseline"/>
                    <w:rPr>
                      <w:sz w:val="18"/>
                      <w:szCs w:val="18"/>
                    </w:rPr>
                  </w:pPr>
                  <w:r>
                    <w:rPr>
                      <w:sz w:val="18"/>
                      <w:szCs w:val="18"/>
                    </w:rPr>
                    <w:t>8</w:t>
                  </w:r>
                </w:p>
              </w:tc>
              <w:tc>
                <w:tcPr>
                  <w:tcW w:w="3068" w:type="dxa"/>
                </w:tcPr>
                <w:p w14:paraId="1D1FCDD5">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14:paraId="451F4253">
                  <w:pPr>
                    <w:overflowPunct w:val="0"/>
                    <w:autoSpaceDE w:val="0"/>
                    <w:autoSpaceDN w:val="0"/>
                    <w:adjustRightInd w:val="0"/>
                    <w:spacing w:after="0"/>
                    <w:textAlignment w:val="baseline"/>
                    <w:rPr>
                      <w:sz w:val="18"/>
                      <w:szCs w:val="18"/>
                    </w:rPr>
                  </w:pPr>
                  <w:r>
                    <w:rPr>
                      <w:sz w:val="18"/>
                      <w:szCs w:val="18"/>
                    </w:rPr>
                    <w:t xml:space="preserve">Size 0: </w:t>
                  </w:r>
                </w:p>
              </w:tc>
            </w:tr>
            <w:tr w14:paraId="27945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3B6EDBCD">
                  <w:pPr>
                    <w:overflowPunct w:val="0"/>
                    <w:autoSpaceDE w:val="0"/>
                    <w:autoSpaceDN w:val="0"/>
                    <w:adjustRightInd w:val="0"/>
                    <w:spacing w:after="0"/>
                    <w:textAlignment w:val="baseline"/>
                    <w:rPr>
                      <w:sz w:val="18"/>
                      <w:szCs w:val="18"/>
                    </w:rPr>
                  </w:pPr>
                  <w:r>
                    <w:rPr>
                      <w:sz w:val="18"/>
                      <w:szCs w:val="18"/>
                    </w:rPr>
                    <w:t>Rank 7</w:t>
                  </w:r>
                </w:p>
              </w:tc>
              <w:tc>
                <w:tcPr>
                  <w:tcW w:w="1188" w:type="dxa"/>
                </w:tcPr>
                <w:p w14:paraId="5F2A9BEB">
                  <w:pPr>
                    <w:overflowPunct w:val="0"/>
                    <w:autoSpaceDE w:val="0"/>
                    <w:autoSpaceDN w:val="0"/>
                    <w:adjustRightInd w:val="0"/>
                    <w:spacing w:after="0"/>
                    <w:textAlignment w:val="baseline"/>
                    <w:rPr>
                      <w:sz w:val="18"/>
                      <w:szCs w:val="18"/>
                    </w:rPr>
                  </w:pPr>
                  <w:r>
                    <w:rPr>
                      <w:sz w:val="18"/>
                      <w:szCs w:val="18"/>
                    </w:rPr>
                    <w:t>4</w:t>
                  </w:r>
                </w:p>
              </w:tc>
              <w:tc>
                <w:tcPr>
                  <w:tcW w:w="3068" w:type="dxa"/>
                </w:tcPr>
                <w:p w14:paraId="2E75F207">
                  <w:pPr>
                    <w:overflowPunct w:val="0"/>
                    <w:autoSpaceDE w:val="0"/>
                    <w:autoSpaceDN w:val="0"/>
                    <w:adjustRightInd w:val="0"/>
                    <w:spacing w:after="0"/>
                    <w:textAlignment w:val="baseline"/>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14:paraId="4DD57798">
                  <w:pPr>
                    <w:overflowPunct w:val="0"/>
                    <w:autoSpaceDE w:val="0"/>
                    <w:autoSpaceDN w:val="0"/>
                    <w:adjustRightInd w:val="0"/>
                    <w:spacing w:after="0"/>
                    <w:textAlignment w:val="baseline"/>
                    <w:rPr>
                      <w:sz w:val="18"/>
                      <w:szCs w:val="18"/>
                    </w:rPr>
                  </w:pPr>
                  <w:r>
                    <w:rPr>
                      <w:sz w:val="18"/>
                      <w:szCs w:val="18"/>
                    </w:rPr>
                    <w:t xml:space="preserve">Size 0: </w:t>
                  </w:r>
                </w:p>
              </w:tc>
            </w:tr>
            <w:tr w14:paraId="1CF51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680B1F26">
                  <w:pPr>
                    <w:overflowPunct w:val="0"/>
                    <w:autoSpaceDE w:val="0"/>
                    <w:autoSpaceDN w:val="0"/>
                    <w:adjustRightInd w:val="0"/>
                    <w:spacing w:after="0"/>
                    <w:textAlignment w:val="baseline"/>
                    <w:rPr>
                      <w:sz w:val="18"/>
                      <w:szCs w:val="18"/>
                    </w:rPr>
                  </w:pPr>
                  <w:r>
                    <w:rPr>
                      <w:sz w:val="18"/>
                      <w:szCs w:val="18"/>
                    </w:rPr>
                    <w:t>Rank 8</w:t>
                  </w:r>
                </w:p>
              </w:tc>
              <w:tc>
                <w:tcPr>
                  <w:tcW w:w="1188" w:type="dxa"/>
                </w:tcPr>
                <w:p w14:paraId="149CEE15">
                  <w:pPr>
                    <w:overflowPunct w:val="0"/>
                    <w:autoSpaceDE w:val="0"/>
                    <w:autoSpaceDN w:val="0"/>
                    <w:adjustRightInd w:val="0"/>
                    <w:spacing w:after="0"/>
                    <w:textAlignment w:val="baseline"/>
                    <w:rPr>
                      <w:sz w:val="18"/>
                      <w:szCs w:val="18"/>
                    </w:rPr>
                  </w:pPr>
                  <w:r>
                    <w:rPr>
                      <w:sz w:val="18"/>
                      <w:szCs w:val="18"/>
                    </w:rPr>
                    <w:t>3</w:t>
                  </w:r>
                </w:p>
              </w:tc>
              <w:tc>
                <w:tcPr>
                  <w:tcW w:w="3068" w:type="dxa"/>
                </w:tcPr>
                <w:p w14:paraId="6D1DDA7D">
                  <w:pPr>
                    <w:overflowPunct w:val="0"/>
                    <w:autoSpaceDE w:val="0"/>
                    <w:autoSpaceDN w:val="0"/>
                    <w:adjustRightInd w:val="0"/>
                    <w:spacing w:after="0"/>
                    <w:textAlignment w:val="baseline"/>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14:paraId="514086CA">
                  <w:pPr>
                    <w:overflowPunct w:val="0"/>
                    <w:autoSpaceDE w:val="0"/>
                    <w:autoSpaceDN w:val="0"/>
                    <w:adjustRightInd w:val="0"/>
                    <w:spacing w:after="0"/>
                    <w:textAlignment w:val="baseline"/>
                    <w:rPr>
                      <w:sz w:val="18"/>
                      <w:szCs w:val="18"/>
                    </w:rPr>
                  </w:pPr>
                  <w:r>
                    <w:rPr>
                      <w:sz w:val="18"/>
                      <w:szCs w:val="18"/>
                    </w:rPr>
                    <w:t xml:space="preserve">Size 0: </w:t>
                  </w:r>
                </w:p>
              </w:tc>
            </w:tr>
            <w:tr w14:paraId="747AD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06" w:type="dxa"/>
                </w:tcPr>
                <w:p w14:paraId="4AADAC70">
                  <w:pPr>
                    <w:overflowPunct w:val="0"/>
                    <w:autoSpaceDE w:val="0"/>
                    <w:autoSpaceDN w:val="0"/>
                    <w:adjustRightInd w:val="0"/>
                    <w:spacing w:after="0"/>
                    <w:textAlignment w:val="baseline"/>
                    <w:rPr>
                      <w:sz w:val="18"/>
                      <w:szCs w:val="18"/>
                    </w:rPr>
                  </w:pPr>
                  <w:r>
                    <w:rPr>
                      <w:sz w:val="18"/>
                      <w:szCs w:val="18"/>
                    </w:rPr>
                    <w:t>Sum</w:t>
                  </w:r>
                </w:p>
              </w:tc>
              <w:tc>
                <w:tcPr>
                  <w:tcW w:w="1188" w:type="dxa"/>
                </w:tcPr>
                <w:p w14:paraId="39D59018">
                  <w:pPr>
                    <w:overflowPunct w:val="0"/>
                    <w:autoSpaceDE w:val="0"/>
                    <w:autoSpaceDN w:val="0"/>
                    <w:adjustRightInd w:val="0"/>
                    <w:spacing w:after="0"/>
                    <w:textAlignment w:val="baseline"/>
                    <w:rPr>
                      <w:sz w:val="18"/>
                      <w:szCs w:val="18"/>
                    </w:rPr>
                  </w:pPr>
                  <w:r>
                    <w:rPr>
                      <w:sz w:val="18"/>
                      <w:szCs w:val="18"/>
                    </w:rPr>
                    <w:t>128</w:t>
                  </w:r>
                </w:p>
              </w:tc>
              <w:tc>
                <w:tcPr>
                  <w:tcW w:w="3068" w:type="dxa"/>
                </w:tcPr>
                <w:p w14:paraId="0D0064FA">
                  <w:pPr>
                    <w:overflowPunct w:val="0"/>
                    <w:autoSpaceDE w:val="0"/>
                    <w:autoSpaceDN w:val="0"/>
                    <w:adjustRightInd w:val="0"/>
                    <w:spacing w:after="0"/>
                    <w:textAlignment w:val="baseline"/>
                    <w:rPr>
                      <w:sz w:val="18"/>
                      <w:szCs w:val="18"/>
                    </w:rPr>
                  </w:pPr>
                  <w:r>
                    <w:rPr>
                      <w:sz w:val="18"/>
                      <w:szCs w:val="18"/>
                    </w:rPr>
                    <w:t>107</w:t>
                  </w:r>
                </w:p>
              </w:tc>
              <w:tc>
                <w:tcPr>
                  <w:tcW w:w="4188" w:type="dxa"/>
                </w:tcPr>
                <w:p w14:paraId="5D68FC60">
                  <w:pPr>
                    <w:overflowPunct w:val="0"/>
                    <w:autoSpaceDE w:val="0"/>
                    <w:autoSpaceDN w:val="0"/>
                    <w:adjustRightInd w:val="0"/>
                    <w:spacing w:after="0"/>
                    <w:textAlignment w:val="baseline"/>
                    <w:rPr>
                      <w:sz w:val="18"/>
                      <w:szCs w:val="18"/>
                    </w:rPr>
                  </w:pPr>
                  <w:r>
                    <w:rPr>
                      <w:sz w:val="18"/>
                      <w:szCs w:val="18"/>
                    </w:rPr>
                    <w:t>21</w:t>
                  </w:r>
                </w:p>
              </w:tc>
            </w:tr>
          </w:tbl>
          <w:p w14:paraId="50259553">
            <w:pPr>
              <w:overflowPunct w:val="0"/>
              <w:autoSpaceDE w:val="0"/>
              <w:autoSpaceDN w:val="0"/>
              <w:adjustRightInd w:val="0"/>
              <w:spacing w:after="180"/>
              <w:textAlignment w:val="baseline"/>
              <w:rPr>
                <w:sz w:val="18"/>
                <w:szCs w:val="18"/>
              </w:rPr>
            </w:pPr>
            <w:bookmarkStart w:id="26" w:name="_Ref142500025"/>
          </w:p>
          <w:p w14:paraId="033E67B5">
            <w:pPr>
              <w:pStyle w:val="21"/>
              <w:overflowPunct w:val="0"/>
              <w:autoSpaceDE w:val="0"/>
              <w:autoSpaceDN w:val="0"/>
              <w:adjustRightInd w:val="0"/>
              <w:spacing w:before="0"/>
              <w:jc w:val="center"/>
              <w:textAlignment w:val="baseline"/>
              <w:rPr>
                <w:sz w:val="18"/>
                <w:szCs w:val="18"/>
              </w:rPr>
            </w:pPr>
            <w:bookmarkStart w:id="27" w:name="_Ref178929344"/>
            <w:r>
              <w:rPr>
                <w:sz w:val="18"/>
                <w:szCs w:val="18"/>
              </w:rPr>
              <w:t xml:space="preserve">Table </w:t>
            </w:r>
            <w:r>
              <w:rPr>
                <w:sz w:val="18"/>
                <w:szCs w:val="18"/>
              </w:rPr>
              <w:fldChar w:fldCharType="begin"/>
            </w:r>
            <w:r>
              <w:rPr>
                <w:sz w:val="18"/>
                <w:szCs w:val="18"/>
              </w:rPr>
              <w:instrText xml:space="preserve">SEQ Table \* ARABIC</w:instrText>
            </w:r>
            <w:r>
              <w:rPr>
                <w:sz w:val="18"/>
                <w:szCs w:val="18"/>
              </w:rPr>
              <w:fldChar w:fldCharType="separate"/>
            </w:r>
            <w:r>
              <w:rPr>
                <w:sz w:val="18"/>
                <w:szCs w:val="18"/>
              </w:rPr>
              <w:t>4</w:t>
            </w:r>
            <w:r>
              <w:rPr>
                <w:sz w:val="18"/>
                <w:szCs w:val="18"/>
              </w:rPr>
              <w:fldChar w:fldCharType="end"/>
            </w:r>
            <w:bookmarkEnd w:id="26"/>
            <w:bookmarkEnd w:id="27"/>
            <w:r>
              <w:rPr>
                <w:sz w:val="18"/>
                <w:szCs w:val="18"/>
              </w:rPr>
              <w:t>:  UL 8Tx size 128 hybrid CB (111 DFT precoders + 17 nonDFT precoders) for UPA (N1=2, N2=2) layout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162"/>
              <w:gridCol w:w="2928"/>
              <w:gridCol w:w="3874"/>
            </w:tblGrid>
            <w:tr w14:paraId="5DF61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restart"/>
                </w:tcPr>
                <w:p w14:paraId="6C8B64EE">
                  <w:pPr>
                    <w:overflowPunct w:val="0"/>
                    <w:autoSpaceDE w:val="0"/>
                    <w:autoSpaceDN w:val="0"/>
                    <w:adjustRightInd w:val="0"/>
                    <w:spacing w:after="0"/>
                    <w:textAlignment w:val="baseline"/>
                    <w:rPr>
                      <w:sz w:val="18"/>
                      <w:szCs w:val="18"/>
                    </w:rPr>
                  </w:pPr>
                  <w:r>
                    <w:rPr>
                      <w:sz w:val="18"/>
                      <w:szCs w:val="18"/>
                    </w:rPr>
                    <w:t>Rank</w:t>
                  </w:r>
                </w:p>
              </w:tc>
              <w:tc>
                <w:tcPr>
                  <w:tcW w:w="1188" w:type="dxa"/>
                  <w:vMerge w:val="restart"/>
                </w:tcPr>
                <w:p w14:paraId="2A56A9D2">
                  <w:pPr>
                    <w:overflowPunct w:val="0"/>
                    <w:autoSpaceDE w:val="0"/>
                    <w:autoSpaceDN w:val="0"/>
                    <w:adjustRightInd w:val="0"/>
                    <w:spacing w:after="0"/>
                    <w:textAlignment w:val="baseline"/>
                    <w:rPr>
                      <w:sz w:val="18"/>
                      <w:szCs w:val="18"/>
                    </w:rPr>
                  </w:pPr>
                  <w:r>
                    <w:rPr>
                      <w:sz w:val="18"/>
                      <w:szCs w:val="18"/>
                    </w:rPr>
                    <w:t xml:space="preserve"># precoders </w:t>
                  </w:r>
                </w:p>
              </w:tc>
              <w:tc>
                <w:tcPr>
                  <w:tcW w:w="7256" w:type="dxa"/>
                  <w:gridSpan w:val="2"/>
                </w:tcPr>
                <w:p w14:paraId="57E4770F">
                  <w:pPr>
                    <w:overflowPunct w:val="0"/>
                    <w:autoSpaceDE w:val="0"/>
                    <w:autoSpaceDN w:val="0"/>
                    <w:adjustRightInd w:val="0"/>
                    <w:spacing w:after="0"/>
                    <w:jc w:val="center"/>
                    <w:textAlignment w:val="baseline"/>
                    <w:rPr>
                      <w:sz w:val="18"/>
                      <w:szCs w:val="18"/>
                    </w:rPr>
                  </w:pPr>
                  <w:r>
                    <w:rPr>
                      <w:sz w:val="18"/>
                      <w:szCs w:val="18"/>
                    </w:rPr>
                    <w:t>Constructed Hybrid codebook</w:t>
                  </w:r>
                </w:p>
              </w:tc>
            </w:tr>
            <w:tr w14:paraId="3E17E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continue"/>
                </w:tcPr>
                <w:p w14:paraId="0419814D">
                  <w:pPr>
                    <w:overflowPunct w:val="0"/>
                    <w:autoSpaceDE w:val="0"/>
                    <w:autoSpaceDN w:val="0"/>
                    <w:adjustRightInd w:val="0"/>
                    <w:spacing w:after="0"/>
                    <w:textAlignment w:val="baseline"/>
                    <w:rPr>
                      <w:sz w:val="18"/>
                      <w:szCs w:val="18"/>
                    </w:rPr>
                  </w:pPr>
                </w:p>
              </w:tc>
              <w:tc>
                <w:tcPr>
                  <w:tcW w:w="1188" w:type="dxa"/>
                  <w:vMerge w:val="continue"/>
                </w:tcPr>
                <w:p w14:paraId="4700EEA6">
                  <w:pPr>
                    <w:overflowPunct w:val="0"/>
                    <w:autoSpaceDE w:val="0"/>
                    <w:autoSpaceDN w:val="0"/>
                    <w:adjustRightInd w:val="0"/>
                    <w:spacing w:after="0"/>
                    <w:textAlignment w:val="baseline"/>
                    <w:rPr>
                      <w:sz w:val="18"/>
                      <w:szCs w:val="18"/>
                    </w:rPr>
                  </w:pPr>
                </w:p>
              </w:tc>
              <w:tc>
                <w:tcPr>
                  <w:tcW w:w="3068" w:type="dxa"/>
                </w:tcPr>
                <w:p w14:paraId="4BD554CD">
                  <w:pPr>
                    <w:overflowPunct w:val="0"/>
                    <w:autoSpaceDE w:val="0"/>
                    <w:autoSpaceDN w:val="0"/>
                    <w:adjustRightInd w:val="0"/>
                    <w:spacing w:after="0"/>
                    <w:textAlignment w:val="baseline"/>
                    <w:rPr>
                      <w:sz w:val="18"/>
                      <w:szCs w:val="18"/>
                    </w:rPr>
                  </w:pPr>
                  <w:r>
                    <w:rPr>
                      <w:sz w:val="18"/>
                      <w:szCs w:val="18"/>
                    </w:rPr>
                    <w:t>DFT precoders</w:t>
                  </w:r>
                </w:p>
              </w:tc>
              <w:tc>
                <w:tcPr>
                  <w:tcW w:w="4188" w:type="dxa"/>
                </w:tcPr>
                <w:p w14:paraId="005D5E47">
                  <w:pPr>
                    <w:overflowPunct w:val="0"/>
                    <w:autoSpaceDE w:val="0"/>
                    <w:autoSpaceDN w:val="0"/>
                    <w:adjustRightInd w:val="0"/>
                    <w:spacing w:after="0"/>
                    <w:textAlignment w:val="baseline"/>
                    <w:rPr>
                      <w:sz w:val="18"/>
                      <w:szCs w:val="18"/>
                    </w:rPr>
                  </w:pPr>
                  <w:r>
                    <w:rPr>
                      <w:sz w:val="18"/>
                      <w:szCs w:val="18"/>
                    </w:rPr>
                    <w:t>NonDFT precoders</w:t>
                  </w:r>
                </w:p>
              </w:tc>
            </w:tr>
            <w:tr w14:paraId="42A04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068D96DE">
                  <w:pPr>
                    <w:overflowPunct w:val="0"/>
                    <w:autoSpaceDE w:val="0"/>
                    <w:autoSpaceDN w:val="0"/>
                    <w:adjustRightInd w:val="0"/>
                    <w:spacing w:after="0"/>
                    <w:textAlignment w:val="baseline"/>
                    <w:rPr>
                      <w:sz w:val="18"/>
                      <w:szCs w:val="18"/>
                    </w:rPr>
                  </w:pPr>
                  <w:r>
                    <w:rPr>
                      <w:sz w:val="18"/>
                      <w:szCs w:val="18"/>
                    </w:rPr>
                    <w:t>Rank 1</w:t>
                  </w:r>
                </w:p>
              </w:tc>
              <w:tc>
                <w:tcPr>
                  <w:tcW w:w="1188" w:type="dxa"/>
                </w:tcPr>
                <w:p w14:paraId="375154A7">
                  <w:pPr>
                    <w:overflowPunct w:val="0"/>
                    <w:autoSpaceDE w:val="0"/>
                    <w:autoSpaceDN w:val="0"/>
                    <w:adjustRightInd w:val="0"/>
                    <w:spacing w:after="0"/>
                    <w:textAlignment w:val="baseline"/>
                    <w:rPr>
                      <w:sz w:val="18"/>
                      <w:szCs w:val="18"/>
                    </w:rPr>
                  </w:pPr>
                  <w:r>
                    <w:rPr>
                      <w:sz w:val="18"/>
                      <w:szCs w:val="18"/>
                    </w:rPr>
                    <w:t>16</w:t>
                  </w:r>
                </w:p>
              </w:tc>
              <w:tc>
                <w:tcPr>
                  <w:tcW w:w="3068" w:type="dxa"/>
                </w:tcPr>
                <w:p w14:paraId="498103A8">
                  <w:pPr>
                    <w:overflowPunct w:val="0"/>
                    <w:autoSpaceDE w:val="0"/>
                    <w:autoSpaceDN w:val="0"/>
                    <w:adjustRightInd w:val="0"/>
                    <w:spacing w:after="0"/>
                    <w:textAlignment w:val="baseline"/>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14:paraId="505EC7BF">
                  <w:pPr>
                    <w:overflowPunct w:val="0"/>
                    <w:autoSpaceDE w:val="0"/>
                    <w:autoSpaceDN w:val="0"/>
                    <w:adjustRightInd w:val="0"/>
                    <w:spacing w:after="0"/>
                    <w:textAlignment w:val="baseline"/>
                    <w:rPr>
                      <w:sz w:val="18"/>
                      <w:szCs w:val="18"/>
                    </w:rPr>
                  </w:pPr>
                  <w:r>
                    <w:rPr>
                      <w:sz w:val="18"/>
                      <w:szCs w:val="18"/>
                    </w:rPr>
                    <w:t>Size 0</w:t>
                  </w:r>
                </w:p>
              </w:tc>
            </w:tr>
            <w:tr w14:paraId="785D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20B0EBBD">
                  <w:pPr>
                    <w:overflowPunct w:val="0"/>
                    <w:autoSpaceDE w:val="0"/>
                    <w:autoSpaceDN w:val="0"/>
                    <w:adjustRightInd w:val="0"/>
                    <w:spacing w:after="0"/>
                    <w:textAlignment w:val="baseline"/>
                    <w:rPr>
                      <w:sz w:val="18"/>
                      <w:szCs w:val="18"/>
                    </w:rPr>
                  </w:pPr>
                  <w:r>
                    <w:rPr>
                      <w:sz w:val="18"/>
                      <w:szCs w:val="18"/>
                    </w:rPr>
                    <w:t>Rank 2</w:t>
                  </w:r>
                </w:p>
              </w:tc>
              <w:tc>
                <w:tcPr>
                  <w:tcW w:w="1188" w:type="dxa"/>
                </w:tcPr>
                <w:p w14:paraId="2201DE77">
                  <w:pPr>
                    <w:overflowPunct w:val="0"/>
                    <w:autoSpaceDE w:val="0"/>
                    <w:autoSpaceDN w:val="0"/>
                    <w:adjustRightInd w:val="0"/>
                    <w:spacing w:after="0"/>
                    <w:textAlignment w:val="baseline"/>
                    <w:rPr>
                      <w:sz w:val="18"/>
                      <w:szCs w:val="18"/>
                    </w:rPr>
                  </w:pPr>
                  <w:r>
                    <w:rPr>
                      <w:sz w:val="18"/>
                      <w:szCs w:val="18"/>
                    </w:rPr>
                    <w:t>45</w:t>
                  </w:r>
                </w:p>
              </w:tc>
              <w:tc>
                <w:tcPr>
                  <w:tcW w:w="3068" w:type="dxa"/>
                </w:tcPr>
                <w:p w14:paraId="3F83298A">
                  <w:pPr>
                    <w:overflowPunct w:val="0"/>
                    <w:autoSpaceDE w:val="0"/>
                    <w:autoSpaceDN w:val="0"/>
                    <w:adjustRightInd w:val="0"/>
                    <w:spacing w:after="0"/>
                    <w:textAlignment w:val="baseline"/>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14:paraId="47877BFD">
                  <w:pPr>
                    <w:overflowPunct w:val="0"/>
                    <w:autoSpaceDE w:val="0"/>
                    <w:autoSpaceDN w:val="0"/>
                    <w:adjustRightInd w:val="0"/>
                    <w:spacing w:after="0"/>
                    <w:textAlignment w:val="baseline"/>
                    <w:rPr>
                      <w:sz w:val="18"/>
                      <w:szCs w:val="18"/>
                    </w:rPr>
                  </w:pPr>
                  <w:r>
                    <w:rPr>
                      <w:sz w:val="18"/>
                      <w:szCs w:val="18"/>
                    </w:rPr>
                    <w:t>Size 13:</w:t>
                  </w:r>
                </w:p>
                <w:p w14:paraId="7BB928A0">
                  <w:pPr>
                    <w:overflowPunct w:val="0"/>
                    <w:autoSpaceDE w:val="0"/>
                    <w:autoSpaceDN w:val="0"/>
                    <w:adjustRightInd w:val="0"/>
                    <w:spacing w:after="0"/>
                    <w:textAlignment w:val="baseline"/>
                    <w:rPr>
                      <w:rFonts w:ascii="Cambria Math" w:hAnsi="Cambria Math"/>
                      <w:i/>
                      <w:iCs/>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p w14:paraId="1F83F03D">
                  <w:pPr>
                    <w:overflowPunct w:val="0"/>
                    <w:autoSpaceDE w:val="0"/>
                    <w:autoSpaceDN w:val="0"/>
                    <w:adjustRightInd w:val="0"/>
                    <w:spacing w:after="0"/>
                    <w:textAlignment w:val="baseline"/>
                    <w:rPr>
                      <w:sz w:val="18"/>
                      <w:szCs w:val="18"/>
                    </w:rPr>
                  </w:pPr>
                </w:p>
              </w:tc>
            </w:tr>
            <w:tr w14:paraId="51B18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76D47598">
                  <w:pPr>
                    <w:overflowPunct w:val="0"/>
                    <w:autoSpaceDE w:val="0"/>
                    <w:autoSpaceDN w:val="0"/>
                    <w:adjustRightInd w:val="0"/>
                    <w:spacing w:after="0"/>
                    <w:textAlignment w:val="baseline"/>
                    <w:rPr>
                      <w:sz w:val="18"/>
                      <w:szCs w:val="18"/>
                    </w:rPr>
                  </w:pPr>
                  <w:r>
                    <w:rPr>
                      <w:sz w:val="18"/>
                      <w:szCs w:val="18"/>
                    </w:rPr>
                    <w:t>Rank 3</w:t>
                  </w:r>
                </w:p>
              </w:tc>
              <w:tc>
                <w:tcPr>
                  <w:tcW w:w="1188" w:type="dxa"/>
                </w:tcPr>
                <w:p w14:paraId="25EB5AB5">
                  <w:pPr>
                    <w:overflowPunct w:val="0"/>
                    <w:autoSpaceDE w:val="0"/>
                    <w:autoSpaceDN w:val="0"/>
                    <w:adjustRightInd w:val="0"/>
                    <w:spacing w:after="0"/>
                    <w:textAlignment w:val="baseline"/>
                    <w:rPr>
                      <w:sz w:val="18"/>
                      <w:szCs w:val="18"/>
                    </w:rPr>
                  </w:pPr>
                  <w:r>
                    <w:rPr>
                      <w:sz w:val="18"/>
                      <w:szCs w:val="18"/>
                    </w:rPr>
                    <w:t>26</w:t>
                  </w:r>
                </w:p>
              </w:tc>
              <w:tc>
                <w:tcPr>
                  <w:tcW w:w="3068" w:type="dxa"/>
                </w:tcPr>
                <w:p w14:paraId="1BED6DA7">
                  <w:pPr>
                    <w:overflowPunct w:val="0"/>
                    <w:autoSpaceDE w:val="0"/>
                    <w:autoSpaceDN w:val="0"/>
                    <w:adjustRightInd w:val="0"/>
                    <w:spacing w:after="0"/>
                    <w:textAlignment w:val="baseline"/>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14:paraId="47D2D03A">
                  <w:pPr>
                    <w:overflowPunct w:val="0"/>
                    <w:autoSpaceDE w:val="0"/>
                    <w:autoSpaceDN w:val="0"/>
                    <w:adjustRightInd w:val="0"/>
                    <w:spacing w:after="0"/>
                    <w:textAlignment w:val="baseline"/>
                    <w:rPr>
                      <w:sz w:val="18"/>
                      <w:szCs w:val="18"/>
                    </w:rPr>
                  </w:pPr>
                  <w:r>
                    <w:rPr>
                      <w:sz w:val="18"/>
                      <w:szCs w:val="18"/>
                    </w:rPr>
                    <w:t>Size 2:</w:t>
                  </w:r>
                </w:p>
                <w:p w14:paraId="5A185A93">
                  <w:pPr>
                    <w:overflowPunct w:val="0"/>
                    <w:autoSpaceDE w:val="0"/>
                    <w:autoSpaceDN w:val="0"/>
                    <w:adjustRightInd w:val="0"/>
                    <w:spacing w:after="0"/>
                    <w:textAlignment w:val="baseline"/>
                    <w:rPr>
                      <w:sz w:val="18"/>
                      <w:szCs w:val="18"/>
                    </w:rPr>
                  </w:pPr>
                  <m:oMathPara>
                    <m:oMathParaPr>
                      <m:jc m:val="left"/>
                    </m:oMathPara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m:oMathPara>
                </w:p>
              </w:tc>
            </w:tr>
            <w:tr w14:paraId="16B1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05E7DF06">
                  <w:pPr>
                    <w:overflowPunct w:val="0"/>
                    <w:autoSpaceDE w:val="0"/>
                    <w:autoSpaceDN w:val="0"/>
                    <w:adjustRightInd w:val="0"/>
                    <w:spacing w:after="0"/>
                    <w:textAlignment w:val="baseline"/>
                    <w:rPr>
                      <w:sz w:val="18"/>
                      <w:szCs w:val="18"/>
                    </w:rPr>
                  </w:pPr>
                  <w:r>
                    <w:rPr>
                      <w:sz w:val="18"/>
                      <w:szCs w:val="18"/>
                    </w:rPr>
                    <w:t>Rank 4</w:t>
                  </w:r>
                </w:p>
              </w:tc>
              <w:tc>
                <w:tcPr>
                  <w:tcW w:w="1188" w:type="dxa"/>
                </w:tcPr>
                <w:p w14:paraId="099FCD2B">
                  <w:pPr>
                    <w:overflowPunct w:val="0"/>
                    <w:autoSpaceDE w:val="0"/>
                    <w:autoSpaceDN w:val="0"/>
                    <w:adjustRightInd w:val="0"/>
                    <w:spacing w:after="0"/>
                    <w:textAlignment w:val="baseline"/>
                    <w:rPr>
                      <w:sz w:val="18"/>
                      <w:szCs w:val="18"/>
                    </w:rPr>
                  </w:pPr>
                  <w:r>
                    <w:rPr>
                      <w:sz w:val="18"/>
                      <w:szCs w:val="18"/>
                    </w:rPr>
                    <w:t>14</w:t>
                  </w:r>
                </w:p>
              </w:tc>
              <w:tc>
                <w:tcPr>
                  <w:tcW w:w="3068" w:type="dxa"/>
                </w:tcPr>
                <w:p w14:paraId="64C63850">
                  <w:pPr>
                    <w:overflowPunct w:val="0"/>
                    <w:autoSpaceDE w:val="0"/>
                    <w:autoSpaceDN w:val="0"/>
                    <w:adjustRightInd w:val="0"/>
                    <w:spacing w:after="0"/>
                    <w:textAlignment w:val="baseline"/>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14:paraId="1C6B16A1">
                  <w:pPr>
                    <w:overflowPunct w:val="0"/>
                    <w:autoSpaceDE w:val="0"/>
                    <w:autoSpaceDN w:val="0"/>
                    <w:adjustRightInd w:val="0"/>
                    <w:spacing w:after="0"/>
                    <w:textAlignment w:val="baseline"/>
                    <w:rPr>
                      <w:sz w:val="18"/>
                      <w:szCs w:val="18"/>
                    </w:rPr>
                  </w:pPr>
                  <w:r>
                    <w:rPr>
                      <w:sz w:val="18"/>
                      <w:szCs w:val="18"/>
                    </w:rPr>
                    <w:t>Size 2:</w:t>
                  </w:r>
                </w:p>
                <w:p w14:paraId="02BE7B8A">
                  <w:pPr>
                    <w:overflowPunct w:val="0"/>
                    <w:autoSpaceDE w:val="0"/>
                    <w:autoSpaceDN w:val="0"/>
                    <w:adjustRightInd w:val="0"/>
                    <w:spacing w:after="180"/>
                    <w:textAlignment w:val="baseline"/>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14:paraId="71347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24DE74DE">
                  <w:pPr>
                    <w:overflowPunct w:val="0"/>
                    <w:autoSpaceDE w:val="0"/>
                    <w:autoSpaceDN w:val="0"/>
                    <w:adjustRightInd w:val="0"/>
                    <w:spacing w:after="0"/>
                    <w:textAlignment w:val="baseline"/>
                    <w:rPr>
                      <w:sz w:val="18"/>
                      <w:szCs w:val="18"/>
                    </w:rPr>
                  </w:pPr>
                  <w:r>
                    <w:rPr>
                      <w:sz w:val="18"/>
                      <w:szCs w:val="18"/>
                    </w:rPr>
                    <w:t>Rank 5</w:t>
                  </w:r>
                </w:p>
              </w:tc>
              <w:tc>
                <w:tcPr>
                  <w:tcW w:w="1188" w:type="dxa"/>
                </w:tcPr>
                <w:p w14:paraId="0115B94A">
                  <w:pPr>
                    <w:overflowPunct w:val="0"/>
                    <w:autoSpaceDE w:val="0"/>
                    <w:autoSpaceDN w:val="0"/>
                    <w:adjustRightInd w:val="0"/>
                    <w:spacing w:after="0"/>
                    <w:textAlignment w:val="baseline"/>
                    <w:rPr>
                      <w:sz w:val="18"/>
                      <w:szCs w:val="18"/>
                    </w:rPr>
                  </w:pPr>
                  <w:r>
                    <w:rPr>
                      <w:sz w:val="18"/>
                      <w:szCs w:val="18"/>
                    </w:rPr>
                    <w:t>8</w:t>
                  </w:r>
                </w:p>
              </w:tc>
              <w:tc>
                <w:tcPr>
                  <w:tcW w:w="3068" w:type="dxa"/>
                </w:tcPr>
                <w:p w14:paraId="215B540C">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14:paraId="573121AC">
                  <w:pPr>
                    <w:overflowPunct w:val="0"/>
                    <w:autoSpaceDE w:val="0"/>
                    <w:autoSpaceDN w:val="0"/>
                    <w:adjustRightInd w:val="0"/>
                    <w:spacing w:after="0"/>
                    <w:textAlignment w:val="baseline"/>
                    <w:rPr>
                      <w:sz w:val="18"/>
                      <w:szCs w:val="18"/>
                    </w:rPr>
                  </w:pPr>
                  <w:r>
                    <w:rPr>
                      <w:sz w:val="18"/>
                      <w:szCs w:val="18"/>
                    </w:rPr>
                    <w:t>Size 0</w:t>
                  </w:r>
                </w:p>
              </w:tc>
            </w:tr>
            <w:tr w14:paraId="0FAD7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6F31186A">
                  <w:pPr>
                    <w:overflowPunct w:val="0"/>
                    <w:autoSpaceDE w:val="0"/>
                    <w:autoSpaceDN w:val="0"/>
                    <w:adjustRightInd w:val="0"/>
                    <w:spacing w:after="0"/>
                    <w:textAlignment w:val="baseline"/>
                    <w:rPr>
                      <w:sz w:val="18"/>
                      <w:szCs w:val="18"/>
                    </w:rPr>
                  </w:pPr>
                  <w:r>
                    <w:rPr>
                      <w:sz w:val="18"/>
                      <w:szCs w:val="18"/>
                    </w:rPr>
                    <w:t>Rank 6</w:t>
                  </w:r>
                </w:p>
              </w:tc>
              <w:tc>
                <w:tcPr>
                  <w:tcW w:w="1188" w:type="dxa"/>
                </w:tcPr>
                <w:p w14:paraId="2B8C7C11">
                  <w:pPr>
                    <w:overflowPunct w:val="0"/>
                    <w:autoSpaceDE w:val="0"/>
                    <w:autoSpaceDN w:val="0"/>
                    <w:adjustRightInd w:val="0"/>
                    <w:spacing w:after="0"/>
                    <w:textAlignment w:val="baseline"/>
                    <w:rPr>
                      <w:sz w:val="18"/>
                      <w:szCs w:val="18"/>
                    </w:rPr>
                  </w:pPr>
                  <w:r>
                    <w:rPr>
                      <w:sz w:val="18"/>
                      <w:szCs w:val="18"/>
                    </w:rPr>
                    <w:t>8</w:t>
                  </w:r>
                </w:p>
              </w:tc>
              <w:tc>
                <w:tcPr>
                  <w:tcW w:w="3068" w:type="dxa"/>
                </w:tcPr>
                <w:p w14:paraId="7C12FA8D">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14:paraId="3CDD85FD">
                  <w:pPr>
                    <w:overflowPunct w:val="0"/>
                    <w:autoSpaceDE w:val="0"/>
                    <w:autoSpaceDN w:val="0"/>
                    <w:adjustRightInd w:val="0"/>
                    <w:spacing w:after="0"/>
                    <w:textAlignment w:val="baseline"/>
                    <w:rPr>
                      <w:sz w:val="18"/>
                      <w:szCs w:val="18"/>
                    </w:rPr>
                  </w:pPr>
                  <w:r>
                    <w:rPr>
                      <w:sz w:val="18"/>
                      <w:szCs w:val="18"/>
                    </w:rPr>
                    <w:t xml:space="preserve">Size 0: </w:t>
                  </w:r>
                </w:p>
              </w:tc>
            </w:tr>
            <w:tr w14:paraId="4A8B7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4F3167DE">
                  <w:pPr>
                    <w:overflowPunct w:val="0"/>
                    <w:autoSpaceDE w:val="0"/>
                    <w:autoSpaceDN w:val="0"/>
                    <w:adjustRightInd w:val="0"/>
                    <w:spacing w:after="0"/>
                    <w:textAlignment w:val="baseline"/>
                    <w:rPr>
                      <w:sz w:val="18"/>
                      <w:szCs w:val="18"/>
                    </w:rPr>
                  </w:pPr>
                  <w:r>
                    <w:rPr>
                      <w:sz w:val="18"/>
                      <w:szCs w:val="18"/>
                    </w:rPr>
                    <w:t>Rank 7</w:t>
                  </w:r>
                </w:p>
              </w:tc>
              <w:tc>
                <w:tcPr>
                  <w:tcW w:w="1188" w:type="dxa"/>
                </w:tcPr>
                <w:p w14:paraId="730EF1D2">
                  <w:pPr>
                    <w:overflowPunct w:val="0"/>
                    <w:autoSpaceDE w:val="0"/>
                    <w:autoSpaceDN w:val="0"/>
                    <w:adjustRightInd w:val="0"/>
                    <w:spacing w:after="0"/>
                    <w:textAlignment w:val="baseline"/>
                    <w:rPr>
                      <w:sz w:val="18"/>
                      <w:szCs w:val="18"/>
                    </w:rPr>
                  </w:pPr>
                  <w:r>
                    <w:rPr>
                      <w:sz w:val="18"/>
                      <w:szCs w:val="18"/>
                    </w:rPr>
                    <w:t>8</w:t>
                  </w:r>
                </w:p>
              </w:tc>
              <w:tc>
                <w:tcPr>
                  <w:tcW w:w="3068" w:type="dxa"/>
                </w:tcPr>
                <w:p w14:paraId="3B7A08C5">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14:paraId="23AEF275">
                  <w:pPr>
                    <w:overflowPunct w:val="0"/>
                    <w:autoSpaceDE w:val="0"/>
                    <w:autoSpaceDN w:val="0"/>
                    <w:adjustRightInd w:val="0"/>
                    <w:spacing w:after="0"/>
                    <w:textAlignment w:val="baseline"/>
                    <w:rPr>
                      <w:sz w:val="18"/>
                      <w:szCs w:val="18"/>
                    </w:rPr>
                  </w:pPr>
                  <w:r>
                    <w:rPr>
                      <w:sz w:val="18"/>
                      <w:szCs w:val="18"/>
                    </w:rPr>
                    <w:t xml:space="preserve">Size 0: </w:t>
                  </w:r>
                </w:p>
              </w:tc>
            </w:tr>
            <w:tr w14:paraId="7AC4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138D9AE4">
                  <w:pPr>
                    <w:overflowPunct w:val="0"/>
                    <w:autoSpaceDE w:val="0"/>
                    <w:autoSpaceDN w:val="0"/>
                    <w:adjustRightInd w:val="0"/>
                    <w:spacing w:after="0"/>
                    <w:textAlignment w:val="baseline"/>
                    <w:rPr>
                      <w:sz w:val="18"/>
                      <w:szCs w:val="18"/>
                    </w:rPr>
                  </w:pPr>
                  <w:r>
                    <w:rPr>
                      <w:sz w:val="18"/>
                      <w:szCs w:val="18"/>
                    </w:rPr>
                    <w:t>Rank 8</w:t>
                  </w:r>
                </w:p>
              </w:tc>
              <w:tc>
                <w:tcPr>
                  <w:tcW w:w="1188" w:type="dxa"/>
                </w:tcPr>
                <w:p w14:paraId="650C8F69">
                  <w:pPr>
                    <w:overflowPunct w:val="0"/>
                    <w:autoSpaceDE w:val="0"/>
                    <w:autoSpaceDN w:val="0"/>
                    <w:adjustRightInd w:val="0"/>
                    <w:spacing w:after="0"/>
                    <w:textAlignment w:val="baseline"/>
                    <w:rPr>
                      <w:sz w:val="18"/>
                      <w:szCs w:val="18"/>
                    </w:rPr>
                  </w:pPr>
                  <w:r>
                    <w:rPr>
                      <w:sz w:val="18"/>
                      <w:szCs w:val="18"/>
                    </w:rPr>
                    <w:t>3</w:t>
                  </w:r>
                </w:p>
              </w:tc>
              <w:tc>
                <w:tcPr>
                  <w:tcW w:w="3068" w:type="dxa"/>
                </w:tcPr>
                <w:p w14:paraId="47764A64">
                  <w:pPr>
                    <w:overflowPunct w:val="0"/>
                    <w:autoSpaceDE w:val="0"/>
                    <w:autoSpaceDN w:val="0"/>
                    <w:adjustRightInd w:val="0"/>
                    <w:spacing w:after="0"/>
                    <w:textAlignment w:val="baseline"/>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14:paraId="75B9F287">
                  <w:pPr>
                    <w:overflowPunct w:val="0"/>
                    <w:autoSpaceDE w:val="0"/>
                    <w:autoSpaceDN w:val="0"/>
                    <w:adjustRightInd w:val="0"/>
                    <w:spacing w:after="0"/>
                    <w:textAlignment w:val="baseline"/>
                    <w:rPr>
                      <w:sz w:val="18"/>
                      <w:szCs w:val="18"/>
                    </w:rPr>
                  </w:pPr>
                  <w:r>
                    <w:rPr>
                      <w:sz w:val="18"/>
                      <w:szCs w:val="18"/>
                    </w:rPr>
                    <w:t xml:space="preserve">Size 0: </w:t>
                  </w:r>
                </w:p>
              </w:tc>
            </w:tr>
            <w:tr w14:paraId="594D3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06" w:type="dxa"/>
                </w:tcPr>
                <w:p w14:paraId="634B3860">
                  <w:pPr>
                    <w:overflowPunct w:val="0"/>
                    <w:autoSpaceDE w:val="0"/>
                    <w:autoSpaceDN w:val="0"/>
                    <w:adjustRightInd w:val="0"/>
                    <w:spacing w:after="0"/>
                    <w:textAlignment w:val="baseline"/>
                    <w:rPr>
                      <w:sz w:val="18"/>
                      <w:szCs w:val="18"/>
                    </w:rPr>
                  </w:pPr>
                  <w:r>
                    <w:rPr>
                      <w:sz w:val="18"/>
                      <w:szCs w:val="18"/>
                    </w:rPr>
                    <w:t>Sum</w:t>
                  </w:r>
                </w:p>
              </w:tc>
              <w:tc>
                <w:tcPr>
                  <w:tcW w:w="1188" w:type="dxa"/>
                </w:tcPr>
                <w:p w14:paraId="09C4C792">
                  <w:pPr>
                    <w:overflowPunct w:val="0"/>
                    <w:autoSpaceDE w:val="0"/>
                    <w:autoSpaceDN w:val="0"/>
                    <w:adjustRightInd w:val="0"/>
                    <w:spacing w:after="0"/>
                    <w:textAlignment w:val="baseline"/>
                    <w:rPr>
                      <w:sz w:val="18"/>
                      <w:szCs w:val="18"/>
                    </w:rPr>
                  </w:pPr>
                  <w:r>
                    <w:rPr>
                      <w:sz w:val="18"/>
                      <w:szCs w:val="18"/>
                    </w:rPr>
                    <w:t>128</w:t>
                  </w:r>
                </w:p>
              </w:tc>
              <w:tc>
                <w:tcPr>
                  <w:tcW w:w="3068" w:type="dxa"/>
                </w:tcPr>
                <w:p w14:paraId="12BF107F">
                  <w:pPr>
                    <w:overflowPunct w:val="0"/>
                    <w:autoSpaceDE w:val="0"/>
                    <w:autoSpaceDN w:val="0"/>
                    <w:adjustRightInd w:val="0"/>
                    <w:spacing w:after="0"/>
                    <w:textAlignment w:val="baseline"/>
                    <w:rPr>
                      <w:sz w:val="18"/>
                      <w:szCs w:val="18"/>
                    </w:rPr>
                  </w:pPr>
                  <w:r>
                    <w:rPr>
                      <w:sz w:val="18"/>
                      <w:szCs w:val="18"/>
                    </w:rPr>
                    <w:t>111</w:t>
                  </w:r>
                </w:p>
              </w:tc>
              <w:tc>
                <w:tcPr>
                  <w:tcW w:w="4188" w:type="dxa"/>
                </w:tcPr>
                <w:p w14:paraId="5A5655B9">
                  <w:pPr>
                    <w:overflowPunct w:val="0"/>
                    <w:autoSpaceDE w:val="0"/>
                    <w:autoSpaceDN w:val="0"/>
                    <w:adjustRightInd w:val="0"/>
                    <w:spacing w:after="0"/>
                    <w:textAlignment w:val="baseline"/>
                    <w:rPr>
                      <w:sz w:val="18"/>
                      <w:szCs w:val="18"/>
                    </w:rPr>
                  </w:pPr>
                  <w:r>
                    <w:rPr>
                      <w:sz w:val="18"/>
                      <w:szCs w:val="18"/>
                    </w:rPr>
                    <w:t>17</w:t>
                  </w:r>
                </w:p>
              </w:tc>
            </w:tr>
          </w:tbl>
          <w:p w14:paraId="5A8E0F48">
            <w:pPr>
              <w:overflowPunct w:val="0"/>
              <w:autoSpaceDE w:val="0"/>
              <w:autoSpaceDN w:val="0"/>
              <w:adjustRightInd w:val="0"/>
              <w:spacing w:before="120" w:after="120"/>
              <w:jc w:val="both"/>
              <w:textAlignment w:val="baseline"/>
              <w:rPr>
                <w:rFonts w:ascii="Arial" w:hAnsi="Arial" w:eastAsia="Calibri" w:cs="Arial"/>
                <w:b/>
                <w:bCs/>
                <w:sz w:val="20"/>
                <w:szCs w:val="22"/>
              </w:rPr>
            </w:pPr>
          </w:p>
        </w:tc>
      </w:tr>
    </w:tbl>
    <w:p w14:paraId="162CAB64">
      <w:pPr>
        <w:rPr>
          <w:b/>
        </w:rPr>
      </w:pPr>
    </w:p>
    <w:p w14:paraId="5C1B03F0">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14:paraId="46431B44">
      <w:pPr>
        <w:rPr>
          <w:rFonts w:ascii="Arial" w:hAnsi="Arial" w:eastAsia="MS Mincho"/>
          <w:sz w:val="32"/>
          <w:szCs w:val="32"/>
        </w:rPr>
      </w:pPr>
    </w:p>
    <w:p w14:paraId="4C664767">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12</w:t>
      </w:r>
    </w:p>
    <w:p w14:paraId="2DB296BC">
      <w:pPr>
        <w:pStyle w:val="108"/>
        <w:numPr>
          <w:ilvl w:val="0"/>
          <w:numId w:val="20"/>
        </w:numPr>
        <w:ind w:leftChars="0"/>
        <w:jc w:val="both"/>
        <w:rPr>
          <w:b/>
        </w:rPr>
      </w:pPr>
      <w:r>
        <w:rPr>
          <w:b/>
        </w:rPr>
        <w:t>Adopt the following update to 8Tx full coherent codebook</w:t>
      </w:r>
      <w:r>
        <w:rPr>
          <w:rFonts w:hint="eastAsia"/>
          <w:b/>
        </w:rPr>
        <w:t>.</w:t>
      </w:r>
    </w:p>
    <w:p w14:paraId="4BE7EA02">
      <w:pPr>
        <w:pStyle w:val="108"/>
        <w:numPr>
          <w:ilvl w:val="1"/>
          <w:numId w:val="20"/>
        </w:numPr>
        <w:ind w:leftChars="0"/>
        <w:jc w:val="both"/>
        <w:rPr>
          <w:b/>
        </w:rPr>
      </w:pPr>
      <w:r>
        <w:rPr>
          <w:b/>
        </w:rPr>
        <w:t xml:space="preserve">Remove the 13 redundant precoders in 8 TX fully coherent codebook with (N1=4, N2=1). Add 21 nonDFT precoders to the codebook as in Table </w:t>
      </w:r>
      <w:r>
        <w:rPr>
          <w:rFonts w:hint="eastAsia"/>
          <w:b/>
        </w:rPr>
        <w:t>1</w:t>
      </w:r>
      <w:r>
        <w:rPr>
          <w:b/>
        </w:rPr>
        <w:t xml:space="preserve">. </w:t>
      </w:r>
    </w:p>
    <w:p w14:paraId="325C18C3">
      <w:pPr>
        <w:pStyle w:val="108"/>
        <w:numPr>
          <w:ilvl w:val="1"/>
          <w:numId w:val="20"/>
        </w:numPr>
        <w:ind w:leftChars="0"/>
        <w:jc w:val="both"/>
        <w:rPr>
          <w:b/>
        </w:rPr>
      </w:pPr>
      <w:r>
        <w:rPr>
          <w:b/>
        </w:rPr>
        <w:t xml:space="preserve">Remove the 17 redundant precoders in 8 TX fully coherent codebook with (N1=2, N2=2). Add 17 nonDFT precoders to the codebook as in Table </w:t>
      </w:r>
      <w:r>
        <w:rPr>
          <w:rFonts w:hint="eastAsia"/>
          <w:b/>
        </w:rPr>
        <w:t>2</w:t>
      </w:r>
      <w:r>
        <w:rPr>
          <w:b/>
        </w:rPr>
        <w:t xml:space="preserve">. </w:t>
      </w:r>
    </w:p>
    <w:p w14:paraId="584EA1F2">
      <w:pPr>
        <w:jc w:val="both"/>
        <w:rPr>
          <w:b/>
        </w:rPr>
      </w:pPr>
    </w:p>
    <w:p w14:paraId="3AB5E5BD">
      <w:pPr>
        <w:pStyle w:val="21"/>
        <w:spacing w:before="0"/>
        <w:jc w:val="center"/>
        <w:rPr>
          <w:sz w:val="18"/>
          <w:szCs w:val="18"/>
        </w:rPr>
      </w:pPr>
      <w:r>
        <w:rPr>
          <w:sz w:val="18"/>
          <w:szCs w:val="18"/>
        </w:rPr>
        <w:t xml:space="preserve">Table </w:t>
      </w:r>
      <w:r>
        <w:rPr>
          <w:rFonts w:hint="eastAsia"/>
          <w:sz w:val="18"/>
          <w:szCs w:val="18"/>
        </w:rPr>
        <w:t>1</w:t>
      </w:r>
      <w:r>
        <w:rPr>
          <w:sz w:val="18"/>
          <w:szCs w:val="18"/>
        </w:rPr>
        <w:t>:  UL 8Tx size 128 hybrid CB (107 DFT precoders + 21 nonDFT precoders) for ULA (N1=4, N2=1) layout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188"/>
        <w:gridCol w:w="3068"/>
        <w:gridCol w:w="4188"/>
      </w:tblGrid>
      <w:tr w14:paraId="4E06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restart"/>
          </w:tcPr>
          <w:p w14:paraId="05F724D3">
            <w:pPr>
              <w:overflowPunct w:val="0"/>
              <w:autoSpaceDE w:val="0"/>
              <w:autoSpaceDN w:val="0"/>
              <w:adjustRightInd w:val="0"/>
              <w:spacing w:after="0"/>
              <w:textAlignment w:val="baseline"/>
              <w:rPr>
                <w:sz w:val="18"/>
                <w:szCs w:val="18"/>
              </w:rPr>
            </w:pPr>
            <w:r>
              <w:rPr>
                <w:sz w:val="18"/>
                <w:szCs w:val="18"/>
              </w:rPr>
              <w:t>Rank</w:t>
            </w:r>
          </w:p>
        </w:tc>
        <w:tc>
          <w:tcPr>
            <w:tcW w:w="1188" w:type="dxa"/>
            <w:vMerge w:val="restart"/>
          </w:tcPr>
          <w:p w14:paraId="6631F34F">
            <w:pPr>
              <w:overflowPunct w:val="0"/>
              <w:autoSpaceDE w:val="0"/>
              <w:autoSpaceDN w:val="0"/>
              <w:adjustRightInd w:val="0"/>
              <w:spacing w:after="0"/>
              <w:textAlignment w:val="baseline"/>
              <w:rPr>
                <w:sz w:val="18"/>
                <w:szCs w:val="18"/>
              </w:rPr>
            </w:pPr>
            <w:r>
              <w:rPr>
                <w:sz w:val="18"/>
                <w:szCs w:val="18"/>
              </w:rPr>
              <w:t xml:space="preserve"># precoders </w:t>
            </w:r>
          </w:p>
        </w:tc>
        <w:tc>
          <w:tcPr>
            <w:tcW w:w="7256" w:type="dxa"/>
            <w:gridSpan w:val="2"/>
          </w:tcPr>
          <w:p w14:paraId="1C783BE1">
            <w:pPr>
              <w:overflowPunct w:val="0"/>
              <w:autoSpaceDE w:val="0"/>
              <w:autoSpaceDN w:val="0"/>
              <w:adjustRightInd w:val="0"/>
              <w:spacing w:after="0"/>
              <w:jc w:val="center"/>
              <w:textAlignment w:val="baseline"/>
              <w:rPr>
                <w:sz w:val="18"/>
                <w:szCs w:val="18"/>
              </w:rPr>
            </w:pPr>
            <w:r>
              <w:rPr>
                <w:sz w:val="18"/>
                <w:szCs w:val="18"/>
              </w:rPr>
              <w:t>Constructed Hybrid codebook</w:t>
            </w:r>
          </w:p>
        </w:tc>
      </w:tr>
      <w:tr w14:paraId="0A821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continue"/>
          </w:tcPr>
          <w:p w14:paraId="1499EC67">
            <w:pPr>
              <w:overflowPunct w:val="0"/>
              <w:autoSpaceDE w:val="0"/>
              <w:autoSpaceDN w:val="0"/>
              <w:adjustRightInd w:val="0"/>
              <w:spacing w:after="0"/>
              <w:textAlignment w:val="baseline"/>
              <w:rPr>
                <w:sz w:val="18"/>
                <w:szCs w:val="18"/>
              </w:rPr>
            </w:pPr>
          </w:p>
        </w:tc>
        <w:tc>
          <w:tcPr>
            <w:tcW w:w="1188" w:type="dxa"/>
            <w:vMerge w:val="continue"/>
          </w:tcPr>
          <w:p w14:paraId="0F1948A3">
            <w:pPr>
              <w:overflowPunct w:val="0"/>
              <w:autoSpaceDE w:val="0"/>
              <w:autoSpaceDN w:val="0"/>
              <w:adjustRightInd w:val="0"/>
              <w:spacing w:after="0"/>
              <w:textAlignment w:val="baseline"/>
              <w:rPr>
                <w:sz w:val="18"/>
                <w:szCs w:val="18"/>
              </w:rPr>
            </w:pPr>
          </w:p>
        </w:tc>
        <w:tc>
          <w:tcPr>
            <w:tcW w:w="3068" w:type="dxa"/>
          </w:tcPr>
          <w:p w14:paraId="33A03658">
            <w:pPr>
              <w:overflowPunct w:val="0"/>
              <w:autoSpaceDE w:val="0"/>
              <w:autoSpaceDN w:val="0"/>
              <w:adjustRightInd w:val="0"/>
              <w:spacing w:after="0"/>
              <w:textAlignment w:val="baseline"/>
              <w:rPr>
                <w:sz w:val="18"/>
                <w:szCs w:val="18"/>
              </w:rPr>
            </w:pPr>
            <w:r>
              <w:rPr>
                <w:sz w:val="18"/>
                <w:szCs w:val="18"/>
              </w:rPr>
              <w:t>DFT precoders</w:t>
            </w:r>
          </w:p>
        </w:tc>
        <w:tc>
          <w:tcPr>
            <w:tcW w:w="4188" w:type="dxa"/>
          </w:tcPr>
          <w:p w14:paraId="4544DBF0">
            <w:pPr>
              <w:overflowPunct w:val="0"/>
              <w:autoSpaceDE w:val="0"/>
              <w:autoSpaceDN w:val="0"/>
              <w:adjustRightInd w:val="0"/>
              <w:spacing w:after="0"/>
              <w:textAlignment w:val="baseline"/>
              <w:rPr>
                <w:sz w:val="18"/>
                <w:szCs w:val="18"/>
              </w:rPr>
            </w:pPr>
            <w:r>
              <w:rPr>
                <w:sz w:val="18"/>
                <w:szCs w:val="18"/>
              </w:rPr>
              <w:t>NonDFT precoders</w:t>
            </w:r>
          </w:p>
        </w:tc>
      </w:tr>
      <w:tr w14:paraId="7BFB1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3C544234">
            <w:pPr>
              <w:overflowPunct w:val="0"/>
              <w:autoSpaceDE w:val="0"/>
              <w:autoSpaceDN w:val="0"/>
              <w:adjustRightInd w:val="0"/>
              <w:spacing w:after="0"/>
              <w:textAlignment w:val="baseline"/>
              <w:rPr>
                <w:sz w:val="18"/>
                <w:szCs w:val="18"/>
              </w:rPr>
            </w:pPr>
            <w:r>
              <w:rPr>
                <w:sz w:val="18"/>
                <w:szCs w:val="18"/>
              </w:rPr>
              <w:t>Rank 1</w:t>
            </w:r>
          </w:p>
        </w:tc>
        <w:tc>
          <w:tcPr>
            <w:tcW w:w="1188" w:type="dxa"/>
          </w:tcPr>
          <w:p w14:paraId="655C25EC">
            <w:pPr>
              <w:overflowPunct w:val="0"/>
              <w:autoSpaceDE w:val="0"/>
              <w:autoSpaceDN w:val="0"/>
              <w:adjustRightInd w:val="0"/>
              <w:spacing w:after="0"/>
              <w:textAlignment w:val="baseline"/>
              <w:rPr>
                <w:sz w:val="18"/>
                <w:szCs w:val="18"/>
              </w:rPr>
            </w:pPr>
            <w:r>
              <w:rPr>
                <w:sz w:val="18"/>
                <w:szCs w:val="18"/>
              </w:rPr>
              <w:t>16</w:t>
            </w:r>
          </w:p>
        </w:tc>
        <w:tc>
          <w:tcPr>
            <w:tcW w:w="3068" w:type="dxa"/>
          </w:tcPr>
          <w:p w14:paraId="7AA10B83">
            <w:pPr>
              <w:overflowPunct w:val="0"/>
              <w:autoSpaceDE w:val="0"/>
              <w:autoSpaceDN w:val="0"/>
              <w:adjustRightInd w:val="0"/>
              <w:spacing w:after="0"/>
              <w:textAlignment w:val="baseline"/>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14:paraId="6ECBDC97">
            <w:pPr>
              <w:overflowPunct w:val="0"/>
              <w:autoSpaceDE w:val="0"/>
              <w:autoSpaceDN w:val="0"/>
              <w:adjustRightInd w:val="0"/>
              <w:spacing w:after="0"/>
              <w:textAlignment w:val="baseline"/>
              <w:rPr>
                <w:sz w:val="18"/>
                <w:szCs w:val="18"/>
              </w:rPr>
            </w:pPr>
            <w:r>
              <w:rPr>
                <w:sz w:val="18"/>
                <w:szCs w:val="18"/>
              </w:rPr>
              <w:t>Size 0</w:t>
            </w:r>
          </w:p>
        </w:tc>
      </w:tr>
      <w:tr w14:paraId="4365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5C875CA1">
            <w:pPr>
              <w:overflowPunct w:val="0"/>
              <w:autoSpaceDE w:val="0"/>
              <w:autoSpaceDN w:val="0"/>
              <w:adjustRightInd w:val="0"/>
              <w:spacing w:after="0"/>
              <w:textAlignment w:val="baseline"/>
              <w:rPr>
                <w:sz w:val="18"/>
                <w:szCs w:val="18"/>
              </w:rPr>
            </w:pPr>
            <w:r>
              <w:rPr>
                <w:sz w:val="18"/>
                <w:szCs w:val="18"/>
              </w:rPr>
              <w:t>Rank 2</w:t>
            </w:r>
          </w:p>
        </w:tc>
        <w:tc>
          <w:tcPr>
            <w:tcW w:w="1188" w:type="dxa"/>
          </w:tcPr>
          <w:p w14:paraId="7FF38FF1">
            <w:pPr>
              <w:overflowPunct w:val="0"/>
              <w:autoSpaceDE w:val="0"/>
              <w:autoSpaceDN w:val="0"/>
              <w:adjustRightInd w:val="0"/>
              <w:spacing w:after="0"/>
              <w:textAlignment w:val="baseline"/>
              <w:rPr>
                <w:sz w:val="18"/>
                <w:szCs w:val="18"/>
              </w:rPr>
            </w:pPr>
            <w:r>
              <w:rPr>
                <w:sz w:val="18"/>
                <w:szCs w:val="18"/>
              </w:rPr>
              <w:t>47</w:t>
            </w:r>
          </w:p>
        </w:tc>
        <w:tc>
          <w:tcPr>
            <w:tcW w:w="3068" w:type="dxa"/>
          </w:tcPr>
          <w:p w14:paraId="16DE9AB4">
            <w:pPr>
              <w:overflowPunct w:val="0"/>
              <w:autoSpaceDE w:val="0"/>
              <w:autoSpaceDN w:val="0"/>
              <w:adjustRightInd w:val="0"/>
              <w:spacing w:after="0"/>
              <w:textAlignment w:val="baseline"/>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14:paraId="670BA876">
            <w:pPr>
              <w:overflowPunct w:val="0"/>
              <w:autoSpaceDE w:val="0"/>
              <w:autoSpaceDN w:val="0"/>
              <w:adjustRightInd w:val="0"/>
              <w:spacing w:after="0"/>
              <w:textAlignment w:val="baseline"/>
              <w:rPr>
                <w:sz w:val="18"/>
                <w:szCs w:val="18"/>
              </w:rPr>
            </w:pPr>
            <w:r>
              <w:rPr>
                <w:sz w:val="18"/>
                <w:szCs w:val="18"/>
              </w:rPr>
              <w:t>Size 15:</w:t>
            </w:r>
          </w:p>
          <w:p w14:paraId="54269CE4">
            <w:pPr>
              <w:overflowPunct w:val="0"/>
              <w:autoSpaceDE w:val="0"/>
              <w:autoSpaceDN w:val="0"/>
              <w:adjustRightInd w:val="0"/>
              <w:spacing w:after="0"/>
              <w:textAlignment w:val="baseline"/>
              <w:rPr>
                <w:rFonts w:ascii="Cambria Math" w:hAnsi="Cambria Math"/>
                <w:i/>
                <w:iCs/>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w:p>
          <w:p w14:paraId="4313216A">
            <w:pPr>
              <w:overflowPunct w:val="0"/>
              <w:autoSpaceDE w:val="0"/>
              <w:autoSpaceDN w:val="0"/>
              <w:adjustRightInd w:val="0"/>
              <w:spacing w:after="0"/>
              <w:textAlignment w:val="baseline"/>
              <w:rPr>
                <w:sz w:val="18"/>
                <w:szCs w:val="18"/>
              </w:rPr>
            </w:pPr>
          </w:p>
        </w:tc>
      </w:tr>
      <w:tr w14:paraId="483F7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1BB78474">
            <w:pPr>
              <w:overflowPunct w:val="0"/>
              <w:autoSpaceDE w:val="0"/>
              <w:autoSpaceDN w:val="0"/>
              <w:adjustRightInd w:val="0"/>
              <w:spacing w:after="0"/>
              <w:textAlignment w:val="baseline"/>
              <w:rPr>
                <w:sz w:val="18"/>
                <w:szCs w:val="18"/>
              </w:rPr>
            </w:pPr>
            <w:r>
              <w:rPr>
                <w:sz w:val="18"/>
                <w:szCs w:val="18"/>
              </w:rPr>
              <w:t>Rank 3</w:t>
            </w:r>
          </w:p>
        </w:tc>
        <w:tc>
          <w:tcPr>
            <w:tcW w:w="1188" w:type="dxa"/>
          </w:tcPr>
          <w:p w14:paraId="1335DFA4">
            <w:pPr>
              <w:overflowPunct w:val="0"/>
              <w:autoSpaceDE w:val="0"/>
              <w:autoSpaceDN w:val="0"/>
              <w:adjustRightInd w:val="0"/>
              <w:spacing w:after="0"/>
              <w:textAlignment w:val="baseline"/>
              <w:rPr>
                <w:sz w:val="18"/>
                <w:szCs w:val="18"/>
              </w:rPr>
            </w:pPr>
            <w:r>
              <w:rPr>
                <w:sz w:val="18"/>
                <w:szCs w:val="18"/>
              </w:rPr>
              <w:t>27</w:t>
            </w:r>
          </w:p>
        </w:tc>
        <w:tc>
          <w:tcPr>
            <w:tcW w:w="3068" w:type="dxa"/>
          </w:tcPr>
          <w:p w14:paraId="68191639">
            <w:pPr>
              <w:overflowPunct w:val="0"/>
              <w:autoSpaceDE w:val="0"/>
              <w:autoSpaceDN w:val="0"/>
              <w:adjustRightInd w:val="0"/>
              <w:spacing w:after="0"/>
              <w:textAlignment w:val="baseline"/>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14:paraId="3BFA65FE">
            <w:pPr>
              <w:overflowPunct w:val="0"/>
              <w:autoSpaceDE w:val="0"/>
              <w:autoSpaceDN w:val="0"/>
              <w:adjustRightInd w:val="0"/>
              <w:spacing w:after="0"/>
              <w:textAlignment w:val="baseline"/>
              <w:rPr>
                <w:sz w:val="18"/>
                <w:szCs w:val="18"/>
              </w:rPr>
            </w:pPr>
            <w:r>
              <w:rPr>
                <w:sz w:val="18"/>
                <w:szCs w:val="18"/>
              </w:rPr>
              <w:t>Size 3:</w:t>
            </w:r>
          </w:p>
          <w:p w14:paraId="1EF3023E">
            <w:pPr>
              <w:overflowPunct w:val="0"/>
              <w:autoSpaceDE w:val="0"/>
              <w:autoSpaceDN w:val="0"/>
              <w:adjustRightInd w:val="0"/>
              <w:spacing w:after="0"/>
              <w:textAlignment w:val="baseline"/>
              <w:rPr>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14:paraId="15CB9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3F7146CF">
            <w:pPr>
              <w:overflowPunct w:val="0"/>
              <w:autoSpaceDE w:val="0"/>
              <w:autoSpaceDN w:val="0"/>
              <w:adjustRightInd w:val="0"/>
              <w:spacing w:after="0"/>
              <w:textAlignment w:val="baseline"/>
              <w:rPr>
                <w:sz w:val="18"/>
                <w:szCs w:val="18"/>
              </w:rPr>
            </w:pPr>
            <w:r>
              <w:rPr>
                <w:sz w:val="18"/>
                <w:szCs w:val="18"/>
              </w:rPr>
              <w:t>Rank 4</w:t>
            </w:r>
          </w:p>
        </w:tc>
        <w:tc>
          <w:tcPr>
            <w:tcW w:w="1188" w:type="dxa"/>
          </w:tcPr>
          <w:p w14:paraId="6007A85B">
            <w:pPr>
              <w:overflowPunct w:val="0"/>
              <w:autoSpaceDE w:val="0"/>
              <w:autoSpaceDN w:val="0"/>
              <w:adjustRightInd w:val="0"/>
              <w:spacing w:after="0"/>
              <w:textAlignment w:val="baseline"/>
              <w:rPr>
                <w:sz w:val="18"/>
                <w:szCs w:val="18"/>
              </w:rPr>
            </w:pPr>
            <w:r>
              <w:rPr>
                <w:sz w:val="18"/>
                <w:szCs w:val="18"/>
              </w:rPr>
              <w:t>15</w:t>
            </w:r>
          </w:p>
        </w:tc>
        <w:tc>
          <w:tcPr>
            <w:tcW w:w="3068" w:type="dxa"/>
          </w:tcPr>
          <w:p w14:paraId="3DF0E7AE">
            <w:pPr>
              <w:overflowPunct w:val="0"/>
              <w:autoSpaceDE w:val="0"/>
              <w:autoSpaceDN w:val="0"/>
              <w:adjustRightInd w:val="0"/>
              <w:spacing w:after="0"/>
              <w:textAlignment w:val="baseline"/>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14:paraId="347FA645">
            <w:pPr>
              <w:overflowPunct w:val="0"/>
              <w:autoSpaceDE w:val="0"/>
              <w:autoSpaceDN w:val="0"/>
              <w:adjustRightInd w:val="0"/>
              <w:spacing w:after="0"/>
              <w:textAlignment w:val="baseline"/>
              <w:rPr>
                <w:sz w:val="18"/>
                <w:szCs w:val="18"/>
              </w:rPr>
            </w:pPr>
            <w:r>
              <w:rPr>
                <w:sz w:val="18"/>
                <w:szCs w:val="18"/>
              </w:rPr>
              <w:t>Size 3:</w:t>
            </w:r>
          </w:p>
          <w:p w14:paraId="775EF61D">
            <w:pPr>
              <w:overflowPunct w:val="0"/>
              <w:autoSpaceDE w:val="0"/>
              <w:autoSpaceDN w:val="0"/>
              <w:adjustRightInd w:val="0"/>
              <w:spacing w:after="180"/>
              <w:textAlignment w:val="baseline"/>
              <w:rPr>
                <w:sz w:val="18"/>
                <w:szCs w:val="18"/>
              </w:rPr>
            </w:pPr>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14:paraId="2682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02617A0F">
            <w:pPr>
              <w:overflowPunct w:val="0"/>
              <w:autoSpaceDE w:val="0"/>
              <w:autoSpaceDN w:val="0"/>
              <w:adjustRightInd w:val="0"/>
              <w:spacing w:after="0"/>
              <w:textAlignment w:val="baseline"/>
              <w:rPr>
                <w:sz w:val="18"/>
                <w:szCs w:val="18"/>
              </w:rPr>
            </w:pPr>
            <w:r>
              <w:rPr>
                <w:sz w:val="18"/>
                <w:szCs w:val="18"/>
              </w:rPr>
              <w:t>Rank 5</w:t>
            </w:r>
          </w:p>
        </w:tc>
        <w:tc>
          <w:tcPr>
            <w:tcW w:w="1188" w:type="dxa"/>
          </w:tcPr>
          <w:p w14:paraId="12F59B9A">
            <w:pPr>
              <w:overflowPunct w:val="0"/>
              <w:autoSpaceDE w:val="0"/>
              <w:autoSpaceDN w:val="0"/>
              <w:adjustRightInd w:val="0"/>
              <w:spacing w:after="0"/>
              <w:textAlignment w:val="baseline"/>
              <w:rPr>
                <w:sz w:val="18"/>
                <w:szCs w:val="18"/>
              </w:rPr>
            </w:pPr>
            <w:r>
              <w:rPr>
                <w:sz w:val="18"/>
                <w:szCs w:val="18"/>
              </w:rPr>
              <w:t>8</w:t>
            </w:r>
          </w:p>
        </w:tc>
        <w:tc>
          <w:tcPr>
            <w:tcW w:w="3068" w:type="dxa"/>
          </w:tcPr>
          <w:p w14:paraId="4D2AC6D6">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14:paraId="521142AC">
            <w:pPr>
              <w:overflowPunct w:val="0"/>
              <w:autoSpaceDE w:val="0"/>
              <w:autoSpaceDN w:val="0"/>
              <w:adjustRightInd w:val="0"/>
              <w:spacing w:after="0"/>
              <w:textAlignment w:val="baseline"/>
              <w:rPr>
                <w:sz w:val="18"/>
                <w:szCs w:val="18"/>
              </w:rPr>
            </w:pPr>
            <w:r>
              <w:rPr>
                <w:sz w:val="18"/>
                <w:szCs w:val="18"/>
              </w:rPr>
              <w:t>Size 0</w:t>
            </w:r>
          </w:p>
        </w:tc>
      </w:tr>
      <w:tr w14:paraId="79C91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40E2242F">
            <w:pPr>
              <w:overflowPunct w:val="0"/>
              <w:autoSpaceDE w:val="0"/>
              <w:autoSpaceDN w:val="0"/>
              <w:adjustRightInd w:val="0"/>
              <w:spacing w:after="0"/>
              <w:textAlignment w:val="baseline"/>
              <w:rPr>
                <w:sz w:val="18"/>
                <w:szCs w:val="18"/>
              </w:rPr>
            </w:pPr>
            <w:r>
              <w:rPr>
                <w:sz w:val="18"/>
                <w:szCs w:val="18"/>
              </w:rPr>
              <w:t>Rank 6</w:t>
            </w:r>
          </w:p>
        </w:tc>
        <w:tc>
          <w:tcPr>
            <w:tcW w:w="1188" w:type="dxa"/>
          </w:tcPr>
          <w:p w14:paraId="411A636B">
            <w:pPr>
              <w:overflowPunct w:val="0"/>
              <w:autoSpaceDE w:val="0"/>
              <w:autoSpaceDN w:val="0"/>
              <w:adjustRightInd w:val="0"/>
              <w:spacing w:after="0"/>
              <w:textAlignment w:val="baseline"/>
              <w:rPr>
                <w:sz w:val="18"/>
                <w:szCs w:val="18"/>
              </w:rPr>
            </w:pPr>
            <w:r>
              <w:rPr>
                <w:sz w:val="18"/>
                <w:szCs w:val="18"/>
              </w:rPr>
              <w:t>8</w:t>
            </w:r>
          </w:p>
        </w:tc>
        <w:tc>
          <w:tcPr>
            <w:tcW w:w="3068" w:type="dxa"/>
          </w:tcPr>
          <w:p w14:paraId="02E12B28">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14:paraId="2FFFA45B">
            <w:pPr>
              <w:overflowPunct w:val="0"/>
              <w:autoSpaceDE w:val="0"/>
              <w:autoSpaceDN w:val="0"/>
              <w:adjustRightInd w:val="0"/>
              <w:spacing w:after="0"/>
              <w:textAlignment w:val="baseline"/>
              <w:rPr>
                <w:sz w:val="18"/>
                <w:szCs w:val="18"/>
              </w:rPr>
            </w:pPr>
            <w:r>
              <w:rPr>
                <w:sz w:val="18"/>
                <w:szCs w:val="18"/>
              </w:rPr>
              <w:t xml:space="preserve">Size 0: </w:t>
            </w:r>
          </w:p>
        </w:tc>
      </w:tr>
      <w:tr w14:paraId="6F11E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0F3F99E2">
            <w:pPr>
              <w:overflowPunct w:val="0"/>
              <w:autoSpaceDE w:val="0"/>
              <w:autoSpaceDN w:val="0"/>
              <w:adjustRightInd w:val="0"/>
              <w:spacing w:after="0"/>
              <w:textAlignment w:val="baseline"/>
              <w:rPr>
                <w:sz w:val="18"/>
                <w:szCs w:val="18"/>
              </w:rPr>
            </w:pPr>
            <w:r>
              <w:rPr>
                <w:sz w:val="18"/>
                <w:szCs w:val="18"/>
              </w:rPr>
              <w:t>Rank 7</w:t>
            </w:r>
          </w:p>
        </w:tc>
        <w:tc>
          <w:tcPr>
            <w:tcW w:w="1188" w:type="dxa"/>
          </w:tcPr>
          <w:p w14:paraId="6F754F08">
            <w:pPr>
              <w:overflowPunct w:val="0"/>
              <w:autoSpaceDE w:val="0"/>
              <w:autoSpaceDN w:val="0"/>
              <w:adjustRightInd w:val="0"/>
              <w:spacing w:after="0"/>
              <w:textAlignment w:val="baseline"/>
              <w:rPr>
                <w:sz w:val="18"/>
                <w:szCs w:val="18"/>
              </w:rPr>
            </w:pPr>
            <w:r>
              <w:rPr>
                <w:sz w:val="18"/>
                <w:szCs w:val="18"/>
              </w:rPr>
              <w:t>4</w:t>
            </w:r>
          </w:p>
        </w:tc>
        <w:tc>
          <w:tcPr>
            <w:tcW w:w="3068" w:type="dxa"/>
          </w:tcPr>
          <w:p w14:paraId="61D76F97">
            <w:pPr>
              <w:overflowPunct w:val="0"/>
              <w:autoSpaceDE w:val="0"/>
              <w:autoSpaceDN w:val="0"/>
              <w:adjustRightInd w:val="0"/>
              <w:spacing w:after="0"/>
              <w:textAlignment w:val="baseline"/>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14:paraId="2CE17621">
            <w:pPr>
              <w:overflowPunct w:val="0"/>
              <w:autoSpaceDE w:val="0"/>
              <w:autoSpaceDN w:val="0"/>
              <w:adjustRightInd w:val="0"/>
              <w:spacing w:after="0"/>
              <w:textAlignment w:val="baseline"/>
              <w:rPr>
                <w:sz w:val="18"/>
                <w:szCs w:val="18"/>
              </w:rPr>
            </w:pPr>
            <w:r>
              <w:rPr>
                <w:sz w:val="18"/>
                <w:szCs w:val="18"/>
              </w:rPr>
              <w:t xml:space="preserve">Size 0: </w:t>
            </w:r>
          </w:p>
        </w:tc>
      </w:tr>
      <w:tr w14:paraId="39418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3E95F5C3">
            <w:pPr>
              <w:overflowPunct w:val="0"/>
              <w:autoSpaceDE w:val="0"/>
              <w:autoSpaceDN w:val="0"/>
              <w:adjustRightInd w:val="0"/>
              <w:spacing w:after="0"/>
              <w:textAlignment w:val="baseline"/>
              <w:rPr>
                <w:sz w:val="18"/>
                <w:szCs w:val="18"/>
              </w:rPr>
            </w:pPr>
            <w:r>
              <w:rPr>
                <w:sz w:val="18"/>
                <w:szCs w:val="18"/>
              </w:rPr>
              <w:t>Rank 8</w:t>
            </w:r>
          </w:p>
        </w:tc>
        <w:tc>
          <w:tcPr>
            <w:tcW w:w="1188" w:type="dxa"/>
          </w:tcPr>
          <w:p w14:paraId="71133050">
            <w:pPr>
              <w:overflowPunct w:val="0"/>
              <w:autoSpaceDE w:val="0"/>
              <w:autoSpaceDN w:val="0"/>
              <w:adjustRightInd w:val="0"/>
              <w:spacing w:after="0"/>
              <w:textAlignment w:val="baseline"/>
              <w:rPr>
                <w:sz w:val="18"/>
                <w:szCs w:val="18"/>
              </w:rPr>
            </w:pPr>
            <w:r>
              <w:rPr>
                <w:sz w:val="18"/>
                <w:szCs w:val="18"/>
              </w:rPr>
              <w:t>3</w:t>
            </w:r>
          </w:p>
        </w:tc>
        <w:tc>
          <w:tcPr>
            <w:tcW w:w="3068" w:type="dxa"/>
          </w:tcPr>
          <w:p w14:paraId="0443458D">
            <w:pPr>
              <w:overflowPunct w:val="0"/>
              <w:autoSpaceDE w:val="0"/>
              <w:autoSpaceDN w:val="0"/>
              <w:adjustRightInd w:val="0"/>
              <w:spacing w:after="0"/>
              <w:textAlignment w:val="baseline"/>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14:paraId="5206B3DA">
            <w:pPr>
              <w:overflowPunct w:val="0"/>
              <w:autoSpaceDE w:val="0"/>
              <w:autoSpaceDN w:val="0"/>
              <w:adjustRightInd w:val="0"/>
              <w:spacing w:after="0"/>
              <w:textAlignment w:val="baseline"/>
              <w:rPr>
                <w:sz w:val="18"/>
                <w:szCs w:val="18"/>
              </w:rPr>
            </w:pPr>
            <w:r>
              <w:rPr>
                <w:sz w:val="18"/>
                <w:szCs w:val="18"/>
              </w:rPr>
              <w:t xml:space="preserve">Size 0: </w:t>
            </w:r>
          </w:p>
        </w:tc>
      </w:tr>
      <w:tr w14:paraId="33F9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06" w:type="dxa"/>
          </w:tcPr>
          <w:p w14:paraId="427FD17F">
            <w:pPr>
              <w:overflowPunct w:val="0"/>
              <w:autoSpaceDE w:val="0"/>
              <w:autoSpaceDN w:val="0"/>
              <w:adjustRightInd w:val="0"/>
              <w:spacing w:after="0"/>
              <w:textAlignment w:val="baseline"/>
              <w:rPr>
                <w:sz w:val="18"/>
                <w:szCs w:val="18"/>
              </w:rPr>
            </w:pPr>
            <w:r>
              <w:rPr>
                <w:sz w:val="18"/>
                <w:szCs w:val="18"/>
              </w:rPr>
              <w:t>Sum</w:t>
            </w:r>
          </w:p>
        </w:tc>
        <w:tc>
          <w:tcPr>
            <w:tcW w:w="1188" w:type="dxa"/>
          </w:tcPr>
          <w:p w14:paraId="251C528E">
            <w:pPr>
              <w:overflowPunct w:val="0"/>
              <w:autoSpaceDE w:val="0"/>
              <w:autoSpaceDN w:val="0"/>
              <w:adjustRightInd w:val="0"/>
              <w:spacing w:after="0"/>
              <w:textAlignment w:val="baseline"/>
              <w:rPr>
                <w:sz w:val="18"/>
                <w:szCs w:val="18"/>
              </w:rPr>
            </w:pPr>
            <w:r>
              <w:rPr>
                <w:sz w:val="18"/>
                <w:szCs w:val="18"/>
              </w:rPr>
              <w:t>128</w:t>
            </w:r>
          </w:p>
        </w:tc>
        <w:tc>
          <w:tcPr>
            <w:tcW w:w="3068" w:type="dxa"/>
          </w:tcPr>
          <w:p w14:paraId="2988749A">
            <w:pPr>
              <w:overflowPunct w:val="0"/>
              <w:autoSpaceDE w:val="0"/>
              <w:autoSpaceDN w:val="0"/>
              <w:adjustRightInd w:val="0"/>
              <w:spacing w:after="0"/>
              <w:textAlignment w:val="baseline"/>
              <w:rPr>
                <w:sz w:val="18"/>
                <w:szCs w:val="18"/>
              </w:rPr>
            </w:pPr>
            <w:r>
              <w:rPr>
                <w:sz w:val="18"/>
                <w:szCs w:val="18"/>
              </w:rPr>
              <w:t>107</w:t>
            </w:r>
          </w:p>
        </w:tc>
        <w:tc>
          <w:tcPr>
            <w:tcW w:w="4188" w:type="dxa"/>
          </w:tcPr>
          <w:p w14:paraId="4DF812C3">
            <w:pPr>
              <w:overflowPunct w:val="0"/>
              <w:autoSpaceDE w:val="0"/>
              <w:autoSpaceDN w:val="0"/>
              <w:adjustRightInd w:val="0"/>
              <w:spacing w:after="0"/>
              <w:textAlignment w:val="baseline"/>
              <w:rPr>
                <w:sz w:val="18"/>
                <w:szCs w:val="18"/>
              </w:rPr>
            </w:pPr>
            <w:r>
              <w:rPr>
                <w:sz w:val="18"/>
                <w:szCs w:val="18"/>
              </w:rPr>
              <w:t>21</w:t>
            </w:r>
          </w:p>
        </w:tc>
      </w:tr>
    </w:tbl>
    <w:p w14:paraId="71BE8837">
      <w:pPr>
        <w:jc w:val="both"/>
        <w:rPr>
          <w:b/>
          <w:sz w:val="18"/>
          <w:szCs w:val="18"/>
        </w:rPr>
      </w:pPr>
    </w:p>
    <w:p w14:paraId="3B5D36B7">
      <w:pPr>
        <w:pStyle w:val="21"/>
        <w:spacing w:before="0"/>
        <w:jc w:val="center"/>
        <w:rPr>
          <w:sz w:val="18"/>
          <w:szCs w:val="18"/>
        </w:rPr>
      </w:pPr>
      <w:r>
        <w:rPr>
          <w:sz w:val="18"/>
          <w:szCs w:val="18"/>
        </w:rPr>
        <w:t xml:space="preserve">Table </w:t>
      </w:r>
      <w:r>
        <w:rPr>
          <w:rFonts w:hint="eastAsia"/>
          <w:sz w:val="18"/>
          <w:szCs w:val="18"/>
        </w:rPr>
        <w:t>2</w:t>
      </w:r>
      <w:r>
        <w:rPr>
          <w:sz w:val="18"/>
          <w:szCs w:val="18"/>
        </w:rPr>
        <w:t>:  UL 8Tx size 128 hybrid CB (111 DFT precoders + 17 nonDFT precoders) for UPA (N1=2, N2=2) layout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188"/>
        <w:gridCol w:w="3068"/>
        <w:gridCol w:w="4188"/>
      </w:tblGrid>
      <w:tr w14:paraId="1D275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restart"/>
          </w:tcPr>
          <w:p w14:paraId="2BBA726B">
            <w:pPr>
              <w:overflowPunct w:val="0"/>
              <w:autoSpaceDE w:val="0"/>
              <w:autoSpaceDN w:val="0"/>
              <w:adjustRightInd w:val="0"/>
              <w:spacing w:after="0"/>
              <w:textAlignment w:val="baseline"/>
              <w:rPr>
                <w:sz w:val="18"/>
                <w:szCs w:val="18"/>
              </w:rPr>
            </w:pPr>
            <w:r>
              <w:rPr>
                <w:sz w:val="18"/>
                <w:szCs w:val="18"/>
              </w:rPr>
              <w:t>Rank</w:t>
            </w:r>
          </w:p>
        </w:tc>
        <w:tc>
          <w:tcPr>
            <w:tcW w:w="1188" w:type="dxa"/>
            <w:vMerge w:val="restart"/>
          </w:tcPr>
          <w:p w14:paraId="6472D075">
            <w:pPr>
              <w:overflowPunct w:val="0"/>
              <w:autoSpaceDE w:val="0"/>
              <w:autoSpaceDN w:val="0"/>
              <w:adjustRightInd w:val="0"/>
              <w:spacing w:after="0"/>
              <w:textAlignment w:val="baseline"/>
              <w:rPr>
                <w:sz w:val="18"/>
                <w:szCs w:val="18"/>
              </w:rPr>
            </w:pPr>
            <w:r>
              <w:rPr>
                <w:sz w:val="18"/>
                <w:szCs w:val="18"/>
              </w:rPr>
              <w:t xml:space="preserve"># precoders </w:t>
            </w:r>
          </w:p>
        </w:tc>
        <w:tc>
          <w:tcPr>
            <w:tcW w:w="7256" w:type="dxa"/>
            <w:gridSpan w:val="2"/>
          </w:tcPr>
          <w:p w14:paraId="24973EB9">
            <w:pPr>
              <w:overflowPunct w:val="0"/>
              <w:autoSpaceDE w:val="0"/>
              <w:autoSpaceDN w:val="0"/>
              <w:adjustRightInd w:val="0"/>
              <w:spacing w:after="0"/>
              <w:jc w:val="center"/>
              <w:textAlignment w:val="baseline"/>
              <w:rPr>
                <w:sz w:val="18"/>
                <w:szCs w:val="18"/>
              </w:rPr>
            </w:pPr>
            <w:r>
              <w:rPr>
                <w:sz w:val="18"/>
                <w:szCs w:val="18"/>
              </w:rPr>
              <w:t>Constructed Hybrid codebook</w:t>
            </w:r>
          </w:p>
        </w:tc>
      </w:tr>
      <w:tr w14:paraId="221C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continue"/>
          </w:tcPr>
          <w:p w14:paraId="331CF715">
            <w:pPr>
              <w:overflowPunct w:val="0"/>
              <w:autoSpaceDE w:val="0"/>
              <w:autoSpaceDN w:val="0"/>
              <w:adjustRightInd w:val="0"/>
              <w:spacing w:after="0"/>
              <w:textAlignment w:val="baseline"/>
              <w:rPr>
                <w:sz w:val="18"/>
                <w:szCs w:val="18"/>
              </w:rPr>
            </w:pPr>
          </w:p>
        </w:tc>
        <w:tc>
          <w:tcPr>
            <w:tcW w:w="1188" w:type="dxa"/>
            <w:vMerge w:val="continue"/>
          </w:tcPr>
          <w:p w14:paraId="75D28355">
            <w:pPr>
              <w:overflowPunct w:val="0"/>
              <w:autoSpaceDE w:val="0"/>
              <w:autoSpaceDN w:val="0"/>
              <w:adjustRightInd w:val="0"/>
              <w:spacing w:after="0"/>
              <w:textAlignment w:val="baseline"/>
              <w:rPr>
                <w:sz w:val="18"/>
                <w:szCs w:val="18"/>
              </w:rPr>
            </w:pPr>
          </w:p>
        </w:tc>
        <w:tc>
          <w:tcPr>
            <w:tcW w:w="3068" w:type="dxa"/>
          </w:tcPr>
          <w:p w14:paraId="30CE5EED">
            <w:pPr>
              <w:overflowPunct w:val="0"/>
              <w:autoSpaceDE w:val="0"/>
              <w:autoSpaceDN w:val="0"/>
              <w:adjustRightInd w:val="0"/>
              <w:spacing w:after="0"/>
              <w:textAlignment w:val="baseline"/>
              <w:rPr>
                <w:sz w:val="18"/>
                <w:szCs w:val="18"/>
              </w:rPr>
            </w:pPr>
            <w:r>
              <w:rPr>
                <w:sz w:val="18"/>
                <w:szCs w:val="18"/>
              </w:rPr>
              <w:t>DFT precoders</w:t>
            </w:r>
          </w:p>
        </w:tc>
        <w:tc>
          <w:tcPr>
            <w:tcW w:w="4188" w:type="dxa"/>
          </w:tcPr>
          <w:p w14:paraId="67EACE16">
            <w:pPr>
              <w:overflowPunct w:val="0"/>
              <w:autoSpaceDE w:val="0"/>
              <w:autoSpaceDN w:val="0"/>
              <w:adjustRightInd w:val="0"/>
              <w:spacing w:after="0"/>
              <w:textAlignment w:val="baseline"/>
              <w:rPr>
                <w:sz w:val="18"/>
                <w:szCs w:val="18"/>
              </w:rPr>
            </w:pPr>
            <w:r>
              <w:rPr>
                <w:sz w:val="18"/>
                <w:szCs w:val="18"/>
              </w:rPr>
              <w:t>NonDFT precoders</w:t>
            </w:r>
          </w:p>
        </w:tc>
      </w:tr>
      <w:tr w14:paraId="0EF5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13BA983A">
            <w:pPr>
              <w:overflowPunct w:val="0"/>
              <w:autoSpaceDE w:val="0"/>
              <w:autoSpaceDN w:val="0"/>
              <w:adjustRightInd w:val="0"/>
              <w:spacing w:after="0"/>
              <w:textAlignment w:val="baseline"/>
              <w:rPr>
                <w:sz w:val="18"/>
                <w:szCs w:val="18"/>
              </w:rPr>
            </w:pPr>
            <w:r>
              <w:rPr>
                <w:sz w:val="18"/>
                <w:szCs w:val="18"/>
              </w:rPr>
              <w:t>Rank 1</w:t>
            </w:r>
          </w:p>
        </w:tc>
        <w:tc>
          <w:tcPr>
            <w:tcW w:w="1188" w:type="dxa"/>
          </w:tcPr>
          <w:p w14:paraId="79D13D7D">
            <w:pPr>
              <w:overflowPunct w:val="0"/>
              <w:autoSpaceDE w:val="0"/>
              <w:autoSpaceDN w:val="0"/>
              <w:adjustRightInd w:val="0"/>
              <w:spacing w:after="0"/>
              <w:textAlignment w:val="baseline"/>
              <w:rPr>
                <w:sz w:val="18"/>
                <w:szCs w:val="18"/>
              </w:rPr>
            </w:pPr>
            <w:r>
              <w:rPr>
                <w:sz w:val="18"/>
                <w:szCs w:val="18"/>
              </w:rPr>
              <w:t>16</w:t>
            </w:r>
          </w:p>
        </w:tc>
        <w:tc>
          <w:tcPr>
            <w:tcW w:w="3068" w:type="dxa"/>
          </w:tcPr>
          <w:p w14:paraId="743F2B0C">
            <w:pPr>
              <w:overflowPunct w:val="0"/>
              <w:autoSpaceDE w:val="0"/>
              <w:autoSpaceDN w:val="0"/>
              <w:adjustRightInd w:val="0"/>
              <w:spacing w:after="0"/>
              <w:textAlignment w:val="baseline"/>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14:paraId="6B387FDE">
            <w:pPr>
              <w:overflowPunct w:val="0"/>
              <w:autoSpaceDE w:val="0"/>
              <w:autoSpaceDN w:val="0"/>
              <w:adjustRightInd w:val="0"/>
              <w:spacing w:after="0"/>
              <w:textAlignment w:val="baseline"/>
              <w:rPr>
                <w:sz w:val="18"/>
                <w:szCs w:val="18"/>
              </w:rPr>
            </w:pPr>
            <w:r>
              <w:rPr>
                <w:sz w:val="18"/>
                <w:szCs w:val="18"/>
              </w:rPr>
              <w:t>Size 0</w:t>
            </w:r>
          </w:p>
        </w:tc>
      </w:tr>
      <w:tr w14:paraId="4B950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20D9F68A">
            <w:pPr>
              <w:overflowPunct w:val="0"/>
              <w:autoSpaceDE w:val="0"/>
              <w:autoSpaceDN w:val="0"/>
              <w:adjustRightInd w:val="0"/>
              <w:spacing w:after="0"/>
              <w:textAlignment w:val="baseline"/>
              <w:rPr>
                <w:sz w:val="18"/>
                <w:szCs w:val="18"/>
              </w:rPr>
            </w:pPr>
            <w:r>
              <w:rPr>
                <w:sz w:val="18"/>
                <w:szCs w:val="18"/>
              </w:rPr>
              <w:t>Rank 2</w:t>
            </w:r>
          </w:p>
        </w:tc>
        <w:tc>
          <w:tcPr>
            <w:tcW w:w="1188" w:type="dxa"/>
          </w:tcPr>
          <w:p w14:paraId="672C0790">
            <w:pPr>
              <w:overflowPunct w:val="0"/>
              <w:autoSpaceDE w:val="0"/>
              <w:autoSpaceDN w:val="0"/>
              <w:adjustRightInd w:val="0"/>
              <w:spacing w:after="0"/>
              <w:textAlignment w:val="baseline"/>
              <w:rPr>
                <w:sz w:val="18"/>
                <w:szCs w:val="18"/>
              </w:rPr>
            </w:pPr>
            <w:r>
              <w:rPr>
                <w:sz w:val="18"/>
                <w:szCs w:val="18"/>
              </w:rPr>
              <w:t>45</w:t>
            </w:r>
          </w:p>
        </w:tc>
        <w:tc>
          <w:tcPr>
            <w:tcW w:w="3068" w:type="dxa"/>
          </w:tcPr>
          <w:p w14:paraId="2D16CFA2">
            <w:pPr>
              <w:overflowPunct w:val="0"/>
              <w:autoSpaceDE w:val="0"/>
              <w:autoSpaceDN w:val="0"/>
              <w:adjustRightInd w:val="0"/>
              <w:spacing w:after="0"/>
              <w:textAlignment w:val="baseline"/>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14:paraId="7D0A320B">
            <w:pPr>
              <w:overflowPunct w:val="0"/>
              <w:autoSpaceDE w:val="0"/>
              <w:autoSpaceDN w:val="0"/>
              <w:adjustRightInd w:val="0"/>
              <w:spacing w:after="0"/>
              <w:textAlignment w:val="baseline"/>
              <w:rPr>
                <w:sz w:val="18"/>
                <w:szCs w:val="18"/>
              </w:rPr>
            </w:pPr>
            <w:r>
              <w:rPr>
                <w:sz w:val="18"/>
                <w:szCs w:val="18"/>
              </w:rPr>
              <w:t>Size 13:</w:t>
            </w:r>
          </w:p>
          <w:p w14:paraId="5F283611">
            <w:pPr>
              <w:overflowPunct w:val="0"/>
              <w:autoSpaceDE w:val="0"/>
              <w:autoSpaceDN w:val="0"/>
              <w:adjustRightInd w:val="0"/>
              <w:spacing w:after="0"/>
              <w:textAlignment w:val="baseline"/>
              <w:rPr>
                <w:rFonts w:ascii="Cambria Math" w:hAnsi="Cambria Math"/>
                <w:i/>
                <w:iCs/>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p w14:paraId="192064E5">
            <w:pPr>
              <w:overflowPunct w:val="0"/>
              <w:autoSpaceDE w:val="0"/>
              <w:autoSpaceDN w:val="0"/>
              <w:adjustRightInd w:val="0"/>
              <w:spacing w:after="0"/>
              <w:textAlignment w:val="baseline"/>
              <w:rPr>
                <w:sz w:val="18"/>
                <w:szCs w:val="18"/>
              </w:rPr>
            </w:pPr>
          </w:p>
        </w:tc>
      </w:tr>
      <w:tr w14:paraId="6BF9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1581EA3C">
            <w:pPr>
              <w:overflowPunct w:val="0"/>
              <w:autoSpaceDE w:val="0"/>
              <w:autoSpaceDN w:val="0"/>
              <w:adjustRightInd w:val="0"/>
              <w:spacing w:after="0"/>
              <w:textAlignment w:val="baseline"/>
              <w:rPr>
                <w:sz w:val="18"/>
                <w:szCs w:val="18"/>
              </w:rPr>
            </w:pPr>
            <w:r>
              <w:rPr>
                <w:sz w:val="18"/>
                <w:szCs w:val="18"/>
              </w:rPr>
              <w:t>Rank 3</w:t>
            </w:r>
          </w:p>
        </w:tc>
        <w:tc>
          <w:tcPr>
            <w:tcW w:w="1188" w:type="dxa"/>
          </w:tcPr>
          <w:p w14:paraId="0ECF24E2">
            <w:pPr>
              <w:overflowPunct w:val="0"/>
              <w:autoSpaceDE w:val="0"/>
              <w:autoSpaceDN w:val="0"/>
              <w:adjustRightInd w:val="0"/>
              <w:spacing w:after="0"/>
              <w:textAlignment w:val="baseline"/>
              <w:rPr>
                <w:sz w:val="18"/>
                <w:szCs w:val="18"/>
              </w:rPr>
            </w:pPr>
            <w:r>
              <w:rPr>
                <w:sz w:val="18"/>
                <w:szCs w:val="18"/>
              </w:rPr>
              <w:t>26</w:t>
            </w:r>
          </w:p>
        </w:tc>
        <w:tc>
          <w:tcPr>
            <w:tcW w:w="3068" w:type="dxa"/>
          </w:tcPr>
          <w:p w14:paraId="084CAA73">
            <w:pPr>
              <w:overflowPunct w:val="0"/>
              <w:autoSpaceDE w:val="0"/>
              <w:autoSpaceDN w:val="0"/>
              <w:adjustRightInd w:val="0"/>
              <w:spacing w:after="0"/>
              <w:textAlignment w:val="baseline"/>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14:paraId="3118E438">
            <w:pPr>
              <w:overflowPunct w:val="0"/>
              <w:autoSpaceDE w:val="0"/>
              <w:autoSpaceDN w:val="0"/>
              <w:adjustRightInd w:val="0"/>
              <w:spacing w:after="0"/>
              <w:textAlignment w:val="baseline"/>
              <w:rPr>
                <w:sz w:val="18"/>
                <w:szCs w:val="18"/>
              </w:rPr>
            </w:pPr>
            <w:r>
              <w:rPr>
                <w:sz w:val="18"/>
                <w:szCs w:val="18"/>
              </w:rPr>
              <w:t>Size 2:</w:t>
            </w:r>
          </w:p>
          <w:p w14:paraId="10EC6D53">
            <w:pPr>
              <w:overflowPunct w:val="0"/>
              <w:autoSpaceDE w:val="0"/>
              <w:autoSpaceDN w:val="0"/>
              <w:adjustRightInd w:val="0"/>
              <w:spacing w:after="0"/>
              <w:textAlignment w:val="baseline"/>
              <w:rPr>
                <w:sz w:val="18"/>
                <w:szCs w:val="18"/>
              </w:rPr>
            </w:pPr>
            <m:oMathPara>
              <m:oMathParaPr>
                <m:jc m:val="left"/>
              </m:oMathPara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m:oMathPara>
          </w:p>
        </w:tc>
      </w:tr>
      <w:tr w14:paraId="6B3CC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54D34133">
            <w:pPr>
              <w:overflowPunct w:val="0"/>
              <w:autoSpaceDE w:val="0"/>
              <w:autoSpaceDN w:val="0"/>
              <w:adjustRightInd w:val="0"/>
              <w:spacing w:after="0"/>
              <w:textAlignment w:val="baseline"/>
              <w:rPr>
                <w:sz w:val="18"/>
                <w:szCs w:val="18"/>
              </w:rPr>
            </w:pPr>
            <w:r>
              <w:rPr>
                <w:sz w:val="18"/>
                <w:szCs w:val="18"/>
              </w:rPr>
              <w:t>Rank 4</w:t>
            </w:r>
          </w:p>
        </w:tc>
        <w:tc>
          <w:tcPr>
            <w:tcW w:w="1188" w:type="dxa"/>
          </w:tcPr>
          <w:p w14:paraId="69DE5D0E">
            <w:pPr>
              <w:overflowPunct w:val="0"/>
              <w:autoSpaceDE w:val="0"/>
              <w:autoSpaceDN w:val="0"/>
              <w:adjustRightInd w:val="0"/>
              <w:spacing w:after="0"/>
              <w:textAlignment w:val="baseline"/>
              <w:rPr>
                <w:sz w:val="18"/>
                <w:szCs w:val="18"/>
              </w:rPr>
            </w:pPr>
            <w:r>
              <w:rPr>
                <w:sz w:val="18"/>
                <w:szCs w:val="18"/>
              </w:rPr>
              <w:t>14</w:t>
            </w:r>
          </w:p>
        </w:tc>
        <w:tc>
          <w:tcPr>
            <w:tcW w:w="3068" w:type="dxa"/>
          </w:tcPr>
          <w:p w14:paraId="446170E2">
            <w:pPr>
              <w:overflowPunct w:val="0"/>
              <w:autoSpaceDE w:val="0"/>
              <w:autoSpaceDN w:val="0"/>
              <w:adjustRightInd w:val="0"/>
              <w:spacing w:after="0"/>
              <w:textAlignment w:val="baseline"/>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14:paraId="57428601">
            <w:pPr>
              <w:overflowPunct w:val="0"/>
              <w:autoSpaceDE w:val="0"/>
              <w:autoSpaceDN w:val="0"/>
              <w:adjustRightInd w:val="0"/>
              <w:spacing w:after="0"/>
              <w:textAlignment w:val="baseline"/>
              <w:rPr>
                <w:sz w:val="18"/>
                <w:szCs w:val="18"/>
              </w:rPr>
            </w:pPr>
            <w:r>
              <w:rPr>
                <w:sz w:val="18"/>
                <w:szCs w:val="18"/>
              </w:rPr>
              <w:t>Size 2:</w:t>
            </w:r>
          </w:p>
          <w:p w14:paraId="4CE075E1">
            <w:pPr>
              <w:overflowPunct w:val="0"/>
              <w:autoSpaceDE w:val="0"/>
              <w:autoSpaceDN w:val="0"/>
              <w:adjustRightInd w:val="0"/>
              <w:spacing w:after="180"/>
              <w:textAlignment w:val="baseline"/>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14:paraId="7884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6DDBE530">
            <w:pPr>
              <w:overflowPunct w:val="0"/>
              <w:autoSpaceDE w:val="0"/>
              <w:autoSpaceDN w:val="0"/>
              <w:adjustRightInd w:val="0"/>
              <w:spacing w:after="0"/>
              <w:textAlignment w:val="baseline"/>
              <w:rPr>
                <w:sz w:val="18"/>
                <w:szCs w:val="18"/>
              </w:rPr>
            </w:pPr>
            <w:r>
              <w:rPr>
                <w:sz w:val="18"/>
                <w:szCs w:val="18"/>
              </w:rPr>
              <w:t>Rank 5</w:t>
            </w:r>
          </w:p>
        </w:tc>
        <w:tc>
          <w:tcPr>
            <w:tcW w:w="1188" w:type="dxa"/>
          </w:tcPr>
          <w:p w14:paraId="4C962753">
            <w:pPr>
              <w:overflowPunct w:val="0"/>
              <w:autoSpaceDE w:val="0"/>
              <w:autoSpaceDN w:val="0"/>
              <w:adjustRightInd w:val="0"/>
              <w:spacing w:after="0"/>
              <w:textAlignment w:val="baseline"/>
              <w:rPr>
                <w:sz w:val="18"/>
                <w:szCs w:val="18"/>
              </w:rPr>
            </w:pPr>
            <w:r>
              <w:rPr>
                <w:sz w:val="18"/>
                <w:szCs w:val="18"/>
              </w:rPr>
              <w:t>8</w:t>
            </w:r>
          </w:p>
        </w:tc>
        <w:tc>
          <w:tcPr>
            <w:tcW w:w="3068" w:type="dxa"/>
          </w:tcPr>
          <w:p w14:paraId="464D67DE">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14:paraId="3F5FDC22">
            <w:pPr>
              <w:overflowPunct w:val="0"/>
              <w:autoSpaceDE w:val="0"/>
              <w:autoSpaceDN w:val="0"/>
              <w:adjustRightInd w:val="0"/>
              <w:spacing w:after="0"/>
              <w:textAlignment w:val="baseline"/>
              <w:rPr>
                <w:sz w:val="18"/>
                <w:szCs w:val="18"/>
              </w:rPr>
            </w:pPr>
            <w:r>
              <w:rPr>
                <w:sz w:val="18"/>
                <w:szCs w:val="18"/>
              </w:rPr>
              <w:t>Size 0</w:t>
            </w:r>
          </w:p>
        </w:tc>
      </w:tr>
      <w:tr w14:paraId="093F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6E77EE9A">
            <w:pPr>
              <w:overflowPunct w:val="0"/>
              <w:autoSpaceDE w:val="0"/>
              <w:autoSpaceDN w:val="0"/>
              <w:adjustRightInd w:val="0"/>
              <w:spacing w:after="0"/>
              <w:textAlignment w:val="baseline"/>
              <w:rPr>
                <w:sz w:val="18"/>
                <w:szCs w:val="18"/>
              </w:rPr>
            </w:pPr>
            <w:r>
              <w:rPr>
                <w:sz w:val="18"/>
                <w:szCs w:val="18"/>
              </w:rPr>
              <w:t>Rank 6</w:t>
            </w:r>
          </w:p>
        </w:tc>
        <w:tc>
          <w:tcPr>
            <w:tcW w:w="1188" w:type="dxa"/>
          </w:tcPr>
          <w:p w14:paraId="48C98B34">
            <w:pPr>
              <w:overflowPunct w:val="0"/>
              <w:autoSpaceDE w:val="0"/>
              <w:autoSpaceDN w:val="0"/>
              <w:adjustRightInd w:val="0"/>
              <w:spacing w:after="0"/>
              <w:textAlignment w:val="baseline"/>
              <w:rPr>
                <w:sz w:val="18"/>
                <w:szCs w:val="18"/>
              </w:rPr>
            </w:pPr>
            <w:r>
              <w:rPr>
                <w:sz w:val="18"/>
                <w:szCs w:val="18"/>
              </w:rPr>
              <w:t>8</w:t>
            </w:r>
          </w:p>
        </w:tc>
        <w:tc>
          <w:tcPr>
            <w:tcW w:w="3068" w:type="dxa"/>
          </w:tcPr>
          <w:p w14:paraId="4A4F3221">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14:paraId="2DB7D007">
            <w:pPr>
              <w:overflowPunct w:val="0"/>
              <w:autoSpaceDE w:val="0"/>
              <w:autoSpaceDN w:val="0"/>
              <w:adjustRightInd w:val="0"/>
              <w:spacing w:after="0"/>
              <w:textAlignment w:val="baseline"/>
              <w:rPr>
                <w:sz w:val="18"/>
                <w:szCs w:val="18"/>
              </w:rPr>
            </w:pPr>
            <w:r>
              <w:rPr>
                <w:sz w:val="18"/>
                <w:szCs w:val="18"/>
              </w:rPr>
              <w:t xml:space="preserve">Size 0: </w:t>
            </w:r>
          </w:p>
        </w:tc>
      </w:tr>
      <w:tr w14:paraId="1D35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14CB00F8">
            <w:pPr>
              <w:overflowPunct w:val="0"/>
              <w:autoSpaceDE w:val="0"/>
              <w:autoSpaceDN w:val="0"/>
              <w:adjustRightInd w:val="0"/>
              <w:spacing w:after="0"/>
              <w:textAlignment w:val="baseline"/>
              <w:rPr>
                <w:sz w:val="18"/>
                <w:szCs w:val="18"/>
              </w:rPr>
            </w:pPr>
            <w:r>
              <w:rPr>
                <w:sz w:val="18"/>
                <w:szCs w:val="18"/>
              </w:rPr>
              <w:t>Rank 7</w:t>
            </w:r>
          </w:p>
        </w:tc>
        <w:tc>
          <w:tcPr>
            <w:tcW w:w="1188" w:type="dxa"/>
          </w:tcPr>
          <w:p w14:paraId="7669FC07">
            <w:pPr>
              <w:overflowPunct w:val="0"/>
              <w:autoSpaceDE w:val="0"/>
              <w:autoSpaceDN w:val="0"/>
              <w:adjustRightInd w:val="0"/>
              <w:spacing w:after="0"/>
              <w:textAlignment w:val="baseline"/>
              <w:rPr>
                <w:sz w:val="18"/>
                <w:szCs w:val="18"/>
              </w:rPr>
            </w:pPr>
            <w:r>
              <w:rPr>
                <w:sz w:val="18"/>
                <w:szCs w:val="18"/>
              </w:rPr>
              <w:t>8</w:t>
            </w:r>
          </w:p>
        </w:tc>
        <w:tc>
          <w:tcPr>
            <w:tcW w:w="3068" w:type="dxa"/>
          </w:tcPr>
          <w:p w14:paraId="1865A0E7">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14:paraId="00FB2C75">
            <w:pPr>
              <w:overflowPunct w:val="0"/>
              <w:autoSpaceDE w:val="0"/>
              <w:autoSpaceDN w:val="0"/>
              <w:adjustRightInd w:val="0"/>
              <w:spacing w:after="0"/>
              <w:textAlignment w:val="baseline"/>
              <w:rPr>
                <w:sz w:val="18"/>
                <w:szCs w:val="18"/>
              </w:rPr>
            </w:pPr>
            <w:r>
              <w:rPr>
                <w:sz w:val="18"/>
                <w:szCs w:val="18"/>
              </w:rPr>
              <w:t xml:space="preserve">Size 0: </w:t>
            </w:r>
          </w:p>
        </w:tc>
      </w:tr>
      <w:tr w14:paraId="34DA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14:paraId="73BAC2F6">
            <w:pPr>
              <w:overflowPunct w:val="0"/>
              <w:autoSpaceDE w:val="0"/>
              <w:autoSpaceDN w:val="0"/>
              <w:adjustRightInd w:val="0"/>
              <w:spacing w:after="0"/>
              <w:textAlignment w:val="baseline"/>
              <w:rPr>
                <w:sz w:val="18"/>
                <w:szCs w:val="18"/>
              </w:rPr>
            </w:pPr>
            <w:r>
              <w:rPr>
                <w:sz w:val="18"/>
                <w:szCs w:val="18"/>
              </w:rPr>
              <w:t>Rank 8</w:t>
            </w:r>
          </w:p>
        </w:tc>
        <w:tc>
          <w:tcPr>
            <w:tcW w:w="1188" w:type="dxa"/>
          </w:tcPr>
          <w:p w14:paraId="1353653F">
            <w:pPr>
              <w:overflowPunct w:val="0"/>
              <w:autoSpaceDE w:val="0"/>
              <w:autoSpaceDN w:val="0"/>
              <w:adjustRightInd w:val="0"/>
              <w:spacing w:after="0"/>
              <w:textAlignment w:val="baseline"/>
              <w:rPr>
                <w:sz w:val="18"/>
                <w:szCs w:val="18"/>
              </w:rPr>
            </w:pPr>
            <w:r>
              <w:rPr>
                <w:sz w:val="18"/>
                <w:szCs w:val="18"/>
              </w:rPr>
              <w:t>3</w:t>
            </w:r>
          </w:p>
        </w:tc>
        <w:tc>
          <w:tcPr>
            <w:tcW w:w="3068" w:type="dxa"/>
          </w:tcPr>
          <w:p w14:paraId="4791DE9F">
            <w:pPr>
              <w:overflowPunct w:val="0"/>
              <w:autoSpaceDE w:val="0"/>
              <w:autoSpaceDN w:val="0"/>
              <w:adjustRightInd w:val="0"/>
              <w:spacing w:after="0"/>
              <w:textAlignment w:val="baseline"/>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14:paraId="110825AE">
            <w:pPr>
              <w:overflowPunct w:val="0"/>
              <w:autoSpaceDE w:val="0"/>
              <w:autoSpaceDN w:val="0"/>
              <w:adjustRightInd w:val="0"/>
              <w:spacing w:after="0"/>
              <w:textAlignment w:val="baseline"/>
              <w:rPr>
                <w:sz w:val="18"/>
                <w:szCs w:val="18"/>
              </w:rPr>
            </w:pPr>
            <w:r>
              <w:rPr>
                <w:sz w:val="18"/>
                <w:szCs w:val="18"/>
              </w:rPr>
              <w:t xml:space="preserve">Size 0: </w:t>
            </w:r>
          </w:p>
        </w:tc>
      </w:tr>
      <w:tr w14:paraId="61B63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06" w:type="dxa"/>
          </w:tcPr>
          <w:p w14:paraId="77C045FD">
            <w:pPr>
              <w:overflowPunct w:val="0"/>
              <w:autoSpaceDE w:val="0"/>
              <w:autoSpaceDN w:val="0"/>
              <w:adjustRightInd w:val="0"/>
              <w:spacing w:after="0"/>
              <w:textAlignment w:val="baseline"/>
              <w:rPr>
                <w:sz w:val="18"/>
                <w:szCs w:val="18"/>
              </w:rPr>
            </w:pPr>
            <w:r>
              <w:rPr>
                <w:sz w:val="18"/>
                <w:szCs w:val="18"/>
              </w:rPr>
              <w:t>Sum</w:t>
            </w:r>
          </w:p>
        </w:tc>
        <w:tc>
          <w:tcPr>
            <w:tcW w:w="1188" w:type="dxa"/>
          </w:tcPr>
          <w:p w14:paraId="3FCB9C7C">
            <w:pPr>
              <w:overflowPunct w:val="0"/>
              <w:autoSpaceDE w:val="0"/>
              <w:autoSpaceDN w:val="0"/>
              <w:adjustRightInd w:val="0"/>
              <w:spacing w:after="0"/>
              <w:textAlignment w:val="baseline"/>
              <w:rPr>
                <w:sz w:val="18"/>
                <w:szCs w:val="18"/>
              </w:rPr>
            </w:pPr>
            <w:r>
              <w:rPr>
                <w:sz w:val="18"/>
                <w:szCs w:val="18"/>
              </w:rPr>
              <w:t>128</w:t>
            </w:r>
          </w:p>
        </w:tc>
        <w:tc>
          <w:tcPr>
            <w:tcW w:w="3068" w:type="dxa"/>
          </w:tcPr>
          <w:p w14:paraId="1AF2B775">
            <w:pPr>
              <w:overflowPunct w:val="0"/>
              <w:autoSpaceDE w:val="0"/>
              <w:autoSpaceDN w:val="0"/>
              <w:adjustRightInd w:val="0"/>
              <w:spacing w:after="0"/>
              <w:textAlignment w:val="baseline"/>
              <w:rPr>
                <w:sz w:val="18"/>
                <w:szCs w:val="18"/>
              </w:rPr>
            </w:pPr>
            <w:r>
              <w:rPr>
                <w:sz w:val="18"/>
                <w:szCs w:val="18"/>
              </w:rPr>
              <w:t>111</w:t>
            </w:r>
          </w:p>
        </w:tc>
        <w:tc>
          <w:tcPr>
            <w:tcW w:w="4188" w:type="dxa"/>
          </w:tcPr>
          <w:p w14:paraId="7E3EBC9E">
            <w:pPr>
              <w:overflowPunct w:val="0"/>
              <w:autoSpaceDE w:val="0"/>
              <w:autoSpaceDN w:val="0"/>
              <w:adjustRightInd w:val="0"/>
              <w:spacing w:after="0"/>
              <w:textAlignment w:val="baseline"/>
              <w:rPr>
                <w:sz w:val="18"/>
                <w:szCs w:val="18"/>
              </w:rPr>
            </w:pPr>
            <w:r>
              <w:rPr>
                <w:sz w:val="18"/>
                <w:szCs w:val="18"/>
              </w:rPr>
              <w:t>17</w:t>
            </w:r>
          </w:p>
        </w:tc>
      </w:tr>
    </w:tbl>
    <w:p w14:paraId="5DE2F86C">
      <w:pPr>
        <w:rPr>
          <w:rFonts w:eastAsia="MS Mincho" w:cs="Batang"/>
          <w:sz w:val="22"/>
          <w:szCs w:val="22"/>
        </w:rPr>
      </w:pPr>
    </w:p>
    <w:p w14:paraId="7EF0B257">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Qualcomm</w:t>
      </w:r>
      <w:r>
        <w:rPr>
          <w:rFonts w:eastAsia="MS Mincho" w:cs="Batang"/>
          <w:sz w:val="22"/>
          <w:szCs w:val="22"/>
        </w:rPr>
        <w:t>.</w:t>
      </w:r>
    </w:p>
    <w:p w14:paraId="2325A1AD">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14:paraId="6C615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14:paraId="17A9DB6B">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14:paraId="2D27D13E">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14:paraId="375B6F7E">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14:paraId="62E01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2190FFA2">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DOCOMO</w:t>
            </w:r>
          </w:p>
        </w:tc>
        <w:tc>
          <w:tcPr>
            <w:tcW w:w="1023" w:type="dxa"/>
          </w:tcPr>
          <w:p w14:paraId="03D81628">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N</w:t>
            </w:r>
          </w:p>
        </w:tc>
        <w:tc>
          <w:tcPr>
            <w:tcW w:w="6912" w:type="dxa"/>
          </w:tcPr>
          <w:p w14:paraId="1814E0A1">
            <w:pPr>
              <w:overflowPunct w:val="0"/>
              <w:autoSpaceDE w:val="0"/>
              <w:autoSpaceDN w:val="0"/>
              <w:adjustRightInd w:val="0"/>
              <w:spacing w:after="120" w:afterLines="50"/>
              <w:jc w:val="both"/>
              <w:textAlignment w:val="baseline"/>
              <w:rPr>
                <w:sz w:val="22"/>
                <w:lang w:val="en-US"/>
              </w:rPr>
            </w:pPr>
            <w:r>
              <w:rPr>
                <w:rFonts w:hint="eastAsia"/>
                <w:sz w:val="22"/>
                <w:lang w:val="en-US"/>
              </w:rPr>
              <w:t>It was proposed in Rel.18 8Tx, but no agreement was made.</w:t>
            </w:r>
          </w:p>
          <w:p w14:paraId="6350C3A3">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14:paraId="585F7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11B3ED5E">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ZTE</w:t>
            </w:r>
          </w:p>
        </w:tc>
        <w:tc>
          <w:tcPr>
            <w:tcW w:w="1023" w:type="dxa"/>
          </w:tcPr>
          <w:p w14:paraId="488E39EB">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14:paraId="18C67755">
            <w:pPr>
              <w:overflowPunct w:val="0"/>
              <w:autoSpaceDE w:val="0"/>
              <w:autoSpaceDN w:val="0"/>
              <w:adjustRightInd w:val="0"/>
              <w:spacing w:after="120" w:afterLines="50"/>
              <w:jc w:val="both"/>
              <w:textAlignment w:val="baseline"/>
              <w:rPr>
                <w:sz w:val="22"/>
                <w:lang w:val="en-US"/>
              </w:rPr>
            </w:pPr>
            <w:r>
              <w:rPr>
                <w:sz w:val="22"/>
                <w:lang w:val="en-US"/>
              </w:rPr>
              <w:t xml:space="preserve">Share the same views as DOCOMO. </w:t>
            </w:r>
          </w:p>
        </w:tc>
      </w:tr>
      <w:tr w14:paraId="48FC1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20911906">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14:paraId="0FB25CCE">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14:paraId="152E7B0D">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14:paraId="6F3D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79015250">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Qualcomm</w:t>
            </w:r>
          </w:p>
        </w:tc>
        <w:tc>
          <w:tcPr>
            <w:tcW w:w="1023" w:type="dxa"/>
          </w:tcPr>
          <w:p w14:paraId="0FAEF126">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Yes</w:t>
            </w:r>
          </w:p>
        </w:tc>
        <w:tc>
          <w:tcPr>
            <w:tcW w:w="6912" w:type="dxa"/>
          </w:tcPr>
          <w:p w14:paraId="6F54388E">
            <w:pPr>
              <w:overflowPunct w:val="0"/>
              <w:autoSpaceDE w:val="0"/>
              <w:autoSpaceDN w:val="0"/>
              <w:adjustRightInd w:val="0"/>
              <w:spacing w:after="120" w:afterLines="50"/>
              <w:jc w:val="both"/>
              <w:textAlignment w:val="baseline"/>
              <w:rPr>
                <w:sz w:val="22"/>
                <w:lang w:val="en-US"/>
              </w:rPr>
            </w:pPr>
            <w:r>
              <w:rPr>
                <w:sz w:val="22"/>
                <w:lang w:val="en-US"/>
              </w:rPr>
              <w:t xml:space="preserve">To Docomo: “DFT codebook is vulnerable to Tx phase misalignment”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14:paraId="4806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1591B40C">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14:paraId="45302A52">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14:paraId="5E93BB45">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14:paraId="622C0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58B33E17">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14:paraId="4F20F100">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14:paraId="48D2E29A">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14:paraId="572D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2FF5462E">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14:paraId="0C6C6613">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912" w:type="dxa"/>
          </w:tcPr>
          <w:p w14:paraId="70F3FC11">
            <w:pPr>
              <w:overflowPunct w:val="0"/>
              <w:autoSpaceDE w:val="0"/>
              <w:autoSpaceDN w:val="0"/>
              <w:adjustRightInd w:val="0"/>
              <w:spacing w:after="120" w:afterLines="50"/>
              <w:jc w:val="both"/>
              <w:textAlignment w:val="baseline"/>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14:paraId="5273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Align w:val="top"/>
          </w:tcPr>
          <w:p w14:paraId="17B272FD">
            <w:pPr>
              <w:overflowPunct w:val="0"/>
              <w:autoSpaceDE w:val="0"/>
              <w:autoSpaceDN w:val="0"/>
              <w:adjustRightInd w:val="0"/>
              <w:spacing w:after="120" w:afterLines="50"/>
              <w:jc w:val="both"/>
              <w:textAlignment w:val="baseline"/>
              <w:rPr>
                <w:rFonts w:hint="eastAsia" w:eastAsia="Malgun Gothic"/>
                <w:sz w:val="22"/>
                <w:lang w:val="en-US" w:eastAsia="ko-KR"/>
              </w:rPr>
            </w:pPr>
            <w:r>
              <w:rPr>
                <w:rFonts w:hint="eastAsia" w:eastAsiaTheme="minorEastAsia"/>
                <w:sz w:val="22"/>
                <w:lang w:val="en-US" w:eastAsia="zh-CN"/>
              </w:rPr>
              <w:t>CATT</w:t>
            </w:r>
          </w:p>
        </w:tc>
        <w:tc>
          <w:tcPr>
            <w:tcW w:w="1023" w:type="dxa"/>
            <w:vAlign w:val="top"/>
          </w:tcPr>
          <w:p w14:paraId="4B78472B">
            <w:pPr>
              <w:overflowPunct w:val="0"/>
              <w:autoSpaceDE w:val="0"/>
              <w:autoSpaceDN w:val="0"/>
              <w:adjustRightInd w:val="0"/>
              <w:spacing w:after="120" w:afterLines="50"/>
              <w:jc w:val="both"/>
              <w:textAlignment w:val="baseline"/>
              <w:rPr>
                <w:rFonts w:hint="eastAsia" w:eastAsia="Malgun Gothic"/>
                <w:sz w:val="22"/>
                <w:lang w:val="en-US" w:eastAsia="ko-KR"/>
              </w:rPr>
            </w:pPr>
            <w:r>
              <w:rPr>
                <w:rFonts w:hint="eastAsia" w:eastAsiaTheme="minorEastAsia"/>
                <w:sz w:val="22"/>
                <w:lang w:val="en-US" w:eastAsia="zh-CN"/>
              </w:rPr>
              <w:t>No</w:t>
            </w:r>
          </w:p>
        </w:tc>
        <w:tc>
          <w:tcPr>
            <w:tcW w:w="6912" w:type="dxa"/>
            <w:vAlign w:val="top"/>
          </w:tcPr>
          <w:p w14:paraId="7EF93F20">
            <w:pPr>
              <w:overflowPunct w:val="0"/>
              <w:autoSpaceDE w:val="0"/>
              <w:autoSpaceDN w:val="0"/>
              <w:adjustRightInd w:val="0"/>
              <w:spacing w:after="120" w:afterLines="50"/>
              <w:jc w:val="both"/>
              <w:textAlignment w:val="baseline"/>
              <w:rPr>
                <w:sz w:val="22"/>
                <w:lang w:val="en-US"/>
              </w:rPr>
            </w:pPr>
            <w:r>
              <w:rPr>
                <w:rFonts w:hint="eastAsia" w:eastAsia="宋体"/>
                <w:sz w:val="22"/>
                <w:lang w:val="en-US" w:eastAsia="zh-CN"/>
              </w:rPr>
              <w:t>It was discussed in Rel-18 8Tx codebook design, but cannot reach consensus. Additionally, the selection of non-DFT precoders is not a simple task; it involves a significant amount of work and requires simulation evaluation.</w:t>
            </w:r>
          </w:p>
        </w:tc>
      </w:tr>
    </w:tbl>
    <w:p w14:paraId="57824DD2">
      <w:pPr>
        <w:rPr>
          <w:b/>
        </w:rPr>
      </w:pPr>
    </w:p>
    <w:p w14:paraId="388E5941">
      <w:pPr>
        <w:rPr>
          <w:b/>
        </w:rPr>
      </w:pPr>
    </w:p>
    <w:p w14:paraId="405541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Dynamic fallback for SRS antenna switching</w:t>
      </w:r>
    </w:p>
    <w:p w14:paraId="16D369CF">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14:paraId="1C3D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65BC17F1">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[7</w:t>
            </w:r>
            <w:r>
              <w:rPr>
                <w:rFonts w:ascii="Arial" w:hAnsi="Arial" w:eastAsia="MS Mincho"/>
                <w:sz w:val="22"/>
                <w:szCs w:val="22"/>
                <w:lang w:val="en-US"/>
              </w:rPr>
              <w:t>]</w:t>
            </w:r>
          </w:p>
        </w:tc>
        <w:tc>
          <w:tcPr>
            <w:tcW w:w="9066" w:type="dxa"/>
          </w:tcPr>
          <w:p w14:paraId="39C362B5">
            <w:pPr>
              <w:overflowPunct w:val="0"/>
              <w:autoSpaceDE w:val="0"/>
              <w:autoSpaceDN w:val="0"/>
              <w:adjustRightInd w:val="0"/>
              <w:spacing w:after="180"/>
              <w:textAlignment w:val="baseline"/>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1648F7CA">
            <w:pPr>
              <w:overflowPunct w:val="0"/>
              <w:autoSpaceDE w:val="0"/>
              <w:autoSpaceDN w:val="0"/>
              <w:adjustRightInd w:val="0"/>
              <w:spacing w:after="180"/>
              <w:textAlignment w:val="baseline"/>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30DE4044">
            <w:pPr>
              <w:overflowPunct w:val="0"/>
              <w:autoSpaceDE w:val="0"/>
              <w:autoSpaceDN w:val="0"/>
              <w:adjustRightInd w:val="0"/>
              <w:spacing w:after="180"/>
              <w:jc w:val="center"/>
              <w:textAlignment w:val="baseline"/>
              <w:rPr>
                <w:sz w:val="18"/>
                <w:szCs w:val="18"/>
              </w:rPr>
            </w:pPr>
            <w:r>
              <w:rPr>
                <w:sz w:val="18"/>
                <w:szCs w:val="18"/>
                <w:lang w:val="en-US" w:eastAsia="zh-CN"/>
              </w:rPr>
              <w:drawing>
                <wp:inline distT="0" distB="0" distL="0" distR="0">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6AED2D1D">
            <w:pPr>
              <w:pStyle w:val="21"/>
              <w:overflowPunct w:val="0"/>
              <w:autoSpaceDE w:val="0"/>
              <w:autoSpaceDN w:val="0"/>
              <w:adjustRightInd w:val="0"/>
              <w:jc w:val="center"/>
              <w:textAlignment w:val="baseline"/>
              <w:rPr>
                <w:rFonts w:eastAsia="等线"/>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60799976">
            <w:pPr>
              <w:overflowPunct w:val="0"/>
              <w:autoSpaceDE w:val="0"/>
              <w:autoSpaceDN w:val="0"/>
              <w:adjustRightInd w:val="0"/>
              <w:spacing w:after="180"/>
              <w:textAlignment w:val="baseline"/>
              <w:rPr>
                <w:sz w:val="18"/>
                <w:szCs w:val="18"/>
              </w:rPr>
            </w:pPr>
            <w:r>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1ED5414F">
            <w:pPr>
              <w:overflowPunct w:val="0"/>
              <w:autoSpaceDE w:val="0"/>
              <w:autoSpaceDN w:val="0"/>
              <w:adjustRightInd w:val="0"/>
              <w:spacing w:after="180"/>
              <w:textAlignment w:val="baseline"/>
              <w:rPr>
                <w:b/>
                <w:bCs/>
                <w:sz w:val="18"/>
                <w:szCs w:val="18"/>
              </w:rPr>
            </w:pPr>
            <w:r>
              <w:rPr>
                <w:b/>
                <w:bCs/>
                <w:sz w:val="18"/>
                <w:szCs w:val="18"/>
                <w:u w:val="single"/>
              </w:rPr>
              <w:t>Proposal 7</w:t>
            </w:r>
            <w:r>
              <w:rPr>
                <w:b/>
                <w:bCs/>
                <w:sz w:val="18"/>
                <w:szCs w:val="18"/>
              </w:rPr>
              <w:t>:  For a UE supporting UlTxSw and 2T4R SRS antenna switching, subject to a dedicated UE capability, the UE dynamically fallback to 1T4R antenna switching based on UlTxSw status, i.e., the UE performs 2T4R antenna switching on TDD carrier(s) if 2T are available; otherwise the UE performs 1T4R antenna switching.  </w:t>
            </w:r>
          </w:p>
          <w:p w14:paraId="2E4E9DE2">
            <w:pPr>
              <w:overflowPunct w:val="0"/>
              <w:autoSpaceDE w:val="0"/>
              <w:autoSpaceDN w:val="0"/>
              <w:adjustRightInd w:val="0"/>
              <w:spacing w:before="120" w:after="120"/>
              <w:jc w:val="both"/>
              <w:textAlignment w:val="baseline"/>
              <w:rPr>
                <w:rFonts w:ascii="Arial" w:hAnsi="Arial" w:eastAsia="Calibri" w:cs="Arial"/>
                <w:b/>
                <w:bCs/>
                <w:sz w:val="18"/>
                <w:szCs w:val="18"/>
              </w:rPr>
            </w:pPr>
          </w:p>
        </w:tc>
      </w:tr>
    </w:tbl>
    <w:p w14:paraId="4BC3F53D">
      <w:pPr>
        <w:rPr>
          <w:b/>
        </w:rPr>
      </w:pPr>
    </w:p>
    <w:p w14:paraId="2B434A04">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14:paraId="3580F16A">
      <w:pPr>
        <w:rPr>
          <w:rFonts w:ascii="Arial" w:hAnsi="Arial" w:eastAsia="MS Mincho"/>
          <w:sz w:val="32"/>
          <w:szCs w:val="32"/>
        </w:rPr>
      </w:pPr>
    </w:p>
    <w:p w14:paraId="2E1D5D7E">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13</w:t>
      </w:r>
    </w:p>
    <w:p w14:paraId="783121A0">
      <w:pPr>
        <w:pStyle w:val="108"/>
        <w:numPr>
          <w:ilvl w:val="0"/>
          <w:numId w:val="20"/>
        </w:numPr>
        <w:ind w:leftChars="0"/>
        <w:jc w:val="both"/>
        <w:rPr>
          <w:b/>
        </w:rPr>
      </w:pPr>
      <w:r>
        <w:rPr>
          <w:b/>
        </w:rPr>
        <w:t xml:space="preserve">For a UE supporting UlTxSw and 2T4R SRS antenna switching, </w:t>
      </w:r>
      <w:r>
        <w:rPr>
          <w:rFonts w:hint="eastAsia"/>
          <w:b/>
        </w:rPr>
        <w:t xml:space="preserve">support the UE dynamic fallback to </w:t>
      </w:r>
      <w:r>
        <w:rPr>
          <w:b/>
        </w:rPr>
        <w:t>1T4R antenna switching based on UlTxSw status subject to a dedicated UE capability</w:t>
      </w:r>
    </w:p>
    <w:p w14:paraId="1719EF39">
      <w:pPr>
        <w:pStyle w:val="108"/>
        <w:numPr>
          <w:ilvl w:val="1"/>
          <w:numId w:val="20"/>
        </w:numPr>
        <w:ind w:leftChars="0"/>
        <w:jc w:val="both"/>
        <w:rPr>
          <w:b/>
        </w:rPr>
      </w:pPr>
      <w:r>
        <w:rPr>
          <w:b/>
        </w:rPr>
        <w:t xml:space="preserve">i.e., the UE performs 2T4R antenna switching on TDD carrier(s) if 2T are available; otherwise the UE performs 1T4R antenna switching.  </w:t>
      </w:r>
    </w:p>
    <w:p w14:paraId="3A7FF243">
      <w:pPr>
        <w:rPr>
          <w:rFonts w:eastAsia="MS Mincho" w:cs="Batang"/>
          <w:sz w:val="22"/>
          <w:szCs w:val="22"/>
        </w:rPr>
      </w:pPr>
    </w:p>
    <w:p w14:paraId="2B2E9D0B">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Qualcomm</w:t>
      </w:r>
      <w:r>
        <w:rPr>
          <w:rFonts w:eastAsia="MS Mincho" w:cs="Batang"/>
          <w:sz w:val="22"/>
          <w:szCs w:val="22"/>
        </w:rPr>
        <w:t>.</w:t>
      </w:r>
    </w:p>
    <w:p w14:paraId="3339CFFC">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121"/>
        <w:gridCol w:w="6912"/>
      </w:tblGrid>
      <w:tr w14:paraId="760C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3" w:type="dxa"/>
            <w:shd w:val="clear" w:color="auto" w:fill="F1F1F1" w:themeFill="background1" w:themeFillShade="F2"/>
          </w:tcPr>
          <w:p w14:paraId="2EBE97F0">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14:paraId="68D0ACEA">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14:paraId="481ECBAB">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14:paraId="01F14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26B694D4">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14:paraId="5698412E">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14:paraId="7AA91499">
            <w:pPr>
              <w:overflowPunct w:val="0"/>
              <w:autoSpaceDE w:val="0"/>
              <w:autoSpaceDN w:val="0"/>
              <w:adjustRightInd w:val="0"/>
              <w:spacing w:after="120" w:afterLines="50"/>
              <w:jc w:val="both"/>
              <w:textAlignment w:val="baseline"/>
              <w:rPr>
                <w:sz w:val="22"/>
                <w:lang w:val="en-US"/>
              </w:rPr>
            </w:pPr>
            <w:r>
              <w:rPr>
                <w:sz w:val="22"/>
                <w:lang w:val="en-US"/>
              </w:rPr>
              <w:t>Given that the UL traffic on FDD band is dynamic, the proposed dynamic fallback may happen irregularly, which makes gNB-side implementation over-complicated.</w:t>
            </w:r>
          </w:p>
          <w:p w14:paraId="658D8A4C">
            <w:pPr>
              <w:overflowPunct w:val="0"/>
              <w:autoSpaceDE w:val="0"/>
              <w:autoSpaceDN w:val="0"/>
              <w:adjustRightInd w:val="0"/>
              <w:spacing w:after="120" w:afterLines="50"/>
              <w:jc w:val="both"/>
              <w:textAlignment w:val="baseline"/>
              <w:rPr>
                <w:sz w:val="22"/>
                <w:lang w:val="en-US"/>
              </w:rPr>
            </w:pPr>
            <w:r>
              <w:rPr>
                <w:sz w:val="22"/>
                <w:szCs w:val="22"/>
                <w:lang w:eastAsia="zh-CN"/>
              </w:rPr>
              <w:t>If UL traffic on FDD band is the one being attached great importance, a simple solution is just configure 1T4R; while if SRS transmission on TDD band is the one, a simple solution is just configure 2T4R (taking the SRS periodicity into consideration, the mentioned ‘overlap’ will not happen that frequently), which means the proposed issue is not essential.</w:t>
            </w:r>
          </w:p>
        </w:tc>
      </w:tr>
      <w:tr w14:paraId="0D981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14E13831">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QC</w:t>
            </w:r>
          </w:p>
        </w:tc>
        <w:tc>
          <w:tcPr>
            <w:tcW w:w="1023" w:type="dxa"/>
          </w:tcPr>
          <w:p w14:paraId="56A10A29">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14:paraId="1368EBDA">
            <w:pPr>
              <w:overflowPunct w:val="0"/>
              <w:autoSpaceDE w:val="0"/>
              <w:autoSpaceDN w:val="0"/>
              <w:adjustRightInd w:val="0"/>
              <w:spacing w:after="120" w:afterLines="50"/>
              <w:jc w:val="both"/>
              <w:textAlignment w:val="baseline"/>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14:paraId="371F4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0B609463">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14:paraId="0D9392D8">
            <w:pPr>
              <w:overflowPunct w:val="0"/>
              <w:autoSpaceDE w:val="0"/>
              <w:autoSpaceDN w:val="0"/>
              <w:adjustRightInd w:val="0"/>
              <w:spacing w:after="120" w:afterLines="50"/>
              <w:jc w:val="both"/>
              <w:textAlignment w:val="baseline"/>
              <w:rPr>
                <w:sz w:val="22"/>
                <w:lang w:val="en-US"/>
              </w:rPr>
            </w:pPr>
          </w:p>
        </w:tc>
        <w:tc>
          <w:tcPr>
            <w:tcW w:w="6912" w:type="dxa"/>
          </w:tcPr>
          <w:p w14:paraId="5CD03C76">
            <w:pPr>
              <w:overflowPunct w:val="0"/>
              <w:autoSpaceDE w:val="0"/>
              <w:autoSpaceDN w:val="0"/>
              <w:adjustRightInd w:val="0"/>
              <w:spacing w:after="120" w:afterLines="50"/>
              <w:jc w:val="both"/>
              <w:textAlignment w:val="baseline"/>
              <w:rPr>
                <w:sz w:val="22"/>
                <w:lang w:val="en-US"/>
              </w:rPr>
            </w:pPr>
            <w:r>
              <w:rPr>
                <w:rFonts w:eastAsiaTheme="minorEastAsia"/>
                <w:lang w:eastAsia="zh-CN"/>
              </w:rPr>
              <w:t>If SRS for codebook and antenna switching are shared then this proposal doesn’t work.</w:t>
            </w:r>
          </w:p>
        </w:tc>
      </w:tr>
      <w:tr w14:paraId="48D4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1229DF42">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14:paraId="53828F61">
            <w:pPr>
              <w:overflowPunct w:val="0"/>
              <w:autoSpaceDE w:val="0"/>
              <w:autoSpaceDN w:val="0"/>
              <w:adjustRightInd w:val="0"/>
              <w:spacing w:after="120" w:afterLines="50"/>
              <w:jc w:val="both"/>
              <w:textAlignment w:val="baseline"/>
              <w:rPr>
                <w:sz w:val="22"/>
                <w:lang w:val="en-US"/>
              </w:rPr>
            </w:pPr>
            <w:r>
              <w:rPr>
                <w:sz w:val="22"/>
                <w:lang w:val="en-US"/>
              </w:rPr>
              <w:t>N</w:t>
            </w:r>
          </w:p>
        </w:tc>
        <w:tc>
          <w:tcPr>
            <w:tcW w:w="6912" w:type="dxa"/>
          </w:tcPr>
          <w:p w14:paraId="736F07B3">
            <w:pPr>
              <w:overflowPunct w:val="0"/>
              <w:autoSpaceDE w:val="0"/>
              <w:autoSpaceDN w:val="0"/>
              <w:adjustRightInd w:val="0"/>
              <w:spacing w:after="120" w:afterLines="50"/>
              <w:jc w:val="both"/>
              <w:textAlignment w:val="baseline"/>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14:paraId="05CD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0ABA7F28">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Ericsson</w:t>
            </w:r>
          </w:p>
        </w:tc>
        <w:tc>
          <w:tcPr>
            <w:tcW w:w="1023" w:type="dxa"/>
          </w:tcPr>
          <w:p w14:paraId="5AF8D5DC">
            <w:pPr>
              <w:overflowPunct w:val="0"/>
              <w:autoSpaceDE w:val="0"/>
              <w:autoSpaceDN w:val="0"/>
              <w:adjustRightInd w:val="0"/>
              <w:spacing w:after="120" w:afterLines="50"/>
              <w:jc w:val="both"/>
              <w:textAlignment w:val="baseline"/>
              <w:rPr>
                <w:sz w:val="22"/>
                <w:lang w:val="en-US"/>
              </w:rPr>
            </w:pPr>
            <w:r>
              <w:rPr>
                <w:sz w:val="22"/>
                <w:lang w:val="en-US"/>
              </w:rPr>
              <w:t>See comments</w:t>
            </w:r>
          </w:p>
        </w:tc>
        <w:tc>
          <w:tcPr>
            <w:tcW w:w="6912" w:type="dxa"/>
          </w:tcPr>
          <w:p w14:paraId="7919555F">
            <w:pPr>
              <w:overflowPunct w:val="0"/>
              <w:autoSpaceDE w:val="0"/>
              <w:autoSpaceDN w:val="0"/>
              <w:adjustRightInd w:val="0"/>
              <w:spacing w:after="120" w:afterLines="50"/>
              <w:jc w:val="both"/>
              <w:textAlignment w:val="baseline"/>
              <w:rPr>
                <w:sz w:val="22"/>
                <w:lang w:val="en-US"/>
              </w:rPr>
            </w:pPr>
            <w:r>
              <w:rPr>
                <w:sz w:val="22"/>
                <w:lang w:val="en-US"/>
              </w:rPr>
              <w:t>We would like some clarification on the details of how this might work for aperiodic vs. periodic/semi-persistent cases, and some idea of the specification impact.</w:t>
            </w:r>
          </w:p>
        </w:tc>
      </w:tr>
    </w:tbl>
    <w:p w14:paraId="5D471C0F">
      <w:pPr>
        <w:rPr>
          <w:b/>
        </w:rPr>
      </w:pPr>
    </w:p>
    <w:p w14:paraId="23242E97">
      <w:pPr>
        <w:rPr>
          <w:b/>
        </w:rPr>
      </w:pPr>
    </w:p>
    <w:p w14:paraId="0B6550C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EPRE signaling for PDCCH</w:t>
      </w:r>
    </w:p>
    <w:p w14:paraId="27CB71AF">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14:paraId="1C894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21FB59A5">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[7</w:t>
            </w:r>
            <w:r>
              <w:rPr>
                <w:rFonts w:ascii="Arial" w:hAnsi="Arial" w:eastAsia="MS Mincho"/>
                <w:sz w:val="22"/>
                <w:szCs w:val="22"/>
                <w:lang w:val="en-US"/>
              </w:rPr>
              <w:t>]</w:t>
            </w:r>
          </w:p>
        </w:tc>
        <w:tc>
          <w:tcPr>
            <w:tcW w:w="9066" w:type="dxa"/>
          </w:tcPr>
          <w:p w14:paraId="20484470">
            <w:pPr>
              <w:overflowPunct w:val="0"/>
              <w:autoSpaceDE w:val="0"/>
              <w:autoSpaceDN w:val="0"/>
              <w:adjustRightInd w:val="0"/>
              <w:spacing w:after="180"/>
              <w:textAlignment w:val="baseline"/>
              <w:rPr>
                <w:sz w:val="18"/>
                <w:szCs w:val="18"/>
              </w:rPr>
            </w:pPr>
            <w:r>
              <w:rPr>
                <w:sz w:val="18"/>
                <w:szCs w:val="18"/>
              </w:rPr>
              <w:t xml:space="preserve">In current specification TS 38.213 Section 4.1, the EPRE ratio between SSS and coreset 0 PDCCH DMRS is specified as the following. </w:t>
            </w:r>
          </w:p>
          <w:p w14:paraId="51DE6656">
            <w:pPr>
              <w:overflowPunct w:val="0"/>
              <w:autoSpaceDE w:val="0"/>
              <w:autoSpaceDN w:val="0"/>
              <w:adjustRightInd w:val="0"/>
              <w:spacing w:after="180"/>
              <w:textAlignment w:val="baseline"/>
              <w:rPr>
                <w:sz w:val="18"/>
                <w:szCs w:val="18"/>
              </w:rPr>
            </w:pPr>
          </w:p>
          <w:p w14:paraId="6F0B4888">
            <w:pPr>
              <w:overflowPunct w:val="0"/>
              <w:autoSpaceDE w:val="0"/>
              <w:autoSpaceDN w:val="0"/>
              <w:adjustRightInd w:val="0"/>
              <w:spacing w:after="180"/>
              <w:textAlignment w:val="baseline"/>
              <w:rPr>
                <w:sz w:val="18"/>
                <w:szCs w:val="18"/>
              </w:rPr>
            </w:pPr>
            <w:r>
              <w:rPr>
                <w:sz w:val="18"/>
                <w:szCs w:val="18"/>
                <w:lang w:val="en-US" w:eastAsia="zh-CN"/>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6D62E9D0">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20597.15pt;height:78pt;width:497.5pt;mso-position-horizontal:left;mso-position-horizontal-relative:margin;mso-wrap-distance-bottom:3.6pt;mso-wrap-distance-left:9pt;mso-wrap-distance-right:9pt;mso-wrap-distance-top:3.6pt;z-index:251661312;mso-width-relative:page;mso-height-relative:page;" fillcolor="#FFFFFF" filled="t" stroked="t" coordsize="21600,21600" o:gfxdata="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x9rldoAAAAMAQAADwAAAAAAAAABACAAAAAiAAAAZHJzL2Rvd25yZXYueG1s&#10;UEsBAhQAFAAAAAgAh07iQPsRZCUvAgAAgQQAAA4AAAAAAAAAAQAgAAAAKQEAAGRycy9lMm9Eb2Mu&#10;eG1sUEsFBgAAAAAGAAYAWQEAAMoFAAAAAA==&#10;">
                      <v:fill on="t" focussize="0,0"/>
                      <v:stroke color="#000000" miterlimit="8" joinstyle="miter"/>
                      <v:imagedata o:title=""/>
                      <o:lock v:ext="edit" aspectratio="f"/>
                      <v:textbox>
                        <w:txbxContent>
                          <w:p w14:paraId="6D62E9D0">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v:shape>
                  </w:pict>
                </mc:Fallback>
              </mc:AlternateContent>
            </w:r>
          </w:p>
          <w:p w14:paraId="3E962E4D">
            <w:pPr>
              <w:overflowPunct w:val="0"/>
              <w:autoSpaceDE w:val="0"/>
              <w:autoSpaceDN w:val="0"/>
              <w:adjustRightInd w:val="0"/>
              <w:spacing w:after="180"/>
              <w:textAlignment w:val="baseline"/>
              <w:rPr>
                <w:sz w:val="18"/>
                <w:szCs w:val="18"/>
              </w:rPr>
            </w:pPr>
            <w:r>
              <w:rPr>
                <w:sz w:val="18"/>
                <w:szCs w:val="18"/>
              </w:rPr>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52CBF871">
            <w:pPr>
              <w:overflowPunct w:val="0"/>
              <w:autoSpaceDE w:val="0"/>
              <w:autoSpaceDN w:val="0"/>
              <w:adjustRightInd w:val="0"/>
              <w:spacing w:after="180"/>
              <w:textAlignment w:val="baseline"/>
              <w:rPr>
                <w:sz w:val="18"/>
                <w:szCs w:val="18"/>
              </w:rPr>
            </w:pPr>
            <w:r>
              <w:rPr>
                <w:sz w:val="18"/>
                <w:szCs w:val="18"/>
              </w:rPr>
              <w:t xml:space="preserve">To solve this issue, first of all, it is needed to specify EPRE ratio to cover all DCIs. Secondly, it is preferred to define specific allowed EPRE ratio values or introduce tightened range smaller than [-8,+8]dB. </w:t>
            </w:r>
          </w:p>
          <w:p w14:paraId="3DAF83AB">
            <w:pPr>
              <w:overflowPunct w:val="0"/>
              <w:autoSpaceDE w:val="0"/>
              <w:autoSpaceDN w:val="0"/>
              <w:adjustRightInd w:val="0"/>
              <w:spacing w:after="180"/>
              <w:textAlignment w:val="baseline"/>
              <w:rPr>
                <w:sz w:val="18"/>
                <w:szCs w:val="18"/>
              </w:rPr>
            </w:pPr>
            <w:r>
              <w:rPr>
                <w:sz w:val="18"/>
                <w:szCs w:val="18"/>
              </w:rPr>
              <w:t xml:space="preserve">With the above rationale, we have the following proposal. </w:t>
            </w:r>
          </w:p>
          <w:p w14:paraId="3D0B4DD2">
            <w:pPr>
              <w:overflowPunct w:val="0"/>
              <w:autoSpaceDE w:val="0"/>
              <w:autoSpaceDN w:val="0"/>
              <w:adjustRightInd w:val="0"/>
              <w:spacing w:after="180"/>
              <w:textAlignment w:val="baseline"/>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6F094CAF">
            <w:pPr>
              <w:numPr>
                <w:ilvl w:val="0"/>
                <w:numId w:val="46"/>
              </w:numPr>
              <w:overflowPunct w:val="0"/>
              <w:autoSpaceDE w:val="0"/>
              <w:autoSpaceDN w:val="0"/>
              <w:adjustRightInd w:val="0"/>
              <w:spacing w:after="180"/>
              <w:textAlignment w:val="baseline"/>
              <w:rPr>
                <w:b/>
                <w:sz w:val="18"/>
                <w:szCs w:val="18"/>
              </w:rPr>
            </w:pPr>
            <w:r>
              <w:rPr>
                <w:b/>
                <w:bCs/>
                <w:sz w:val="18"/>
                <w:szCs w:val="18"/>
              </w:rPr>
              <w:t xml:space="preserve">Separate ratios can be configured for CSS and UESS to a UE. </w:t>
            </w:r>
          </w:p>
          <w:p w14:paraId="6937319B">
            <w:pPr>
              <w:overflowPunct w:val="0"/>
              <w:autoSpaceDE w:val="0"/>
              <w:autoSpaceDN w:val="0"/>
              <w:adjustRightInd w:val="0"/>
              <w:spacing w:after="180"/>
              <w:textAlignment w:val="baseline"/>
              <w:rPr>
                <w:sz w:val="18"/>
                <w:szCs w:val="18"/>
              </w:rPr>
            </w:pPr>
            <w:r>
              <w:rPr>
                <w:sz w:val="18"/>
                <w:szCs w:val="18"/>
              </w:rPr>
              <w:t xml:space="preserve">Besides the unknown EPRE between SSS and PDCCH DMRS, the EPRE between PDCCH DMRS and PDCCH data is also unknown, which degrades the PDCCH demod/decode performance with an unknown SNR difference between PDCCH DMRS tone and PDCCH data tone. One side note is that EPRE between PDSCH DMRS and PDSCH data was specified. </w:t>
            </w:r>
          </w:p>
          <w:p w14:paraId="5C040594">
            <w:pPr>
              <w:overflowPunct w:val="0"/>
              <w:autoSpaceDE w:val="0"/>
              <w:autoSpaceDN w:val="0"/>
              <w:adjustRightInd w:val="0"/>
              <w:spacing w:after="180"/>
              <w:textAlignment w:val="baseline"/>
              <w:rPr>
                <w:sz w:val="18"/>
                <w:szCs w:val="18"/>
              </w:rPr>
            </w:pPr>
            <w:r>
              <w:rPr>
                <w:sz w:val="18"/>
                <w:szCs w:val="18"/>
              </w:rPr>
              <w:t xml:space="preserve">To solve this issue, we have the following proposal. </w:t>
            </w:r>
          </w:p>
          <w:p w14:paraId="03294676">
            <w:pPr>
              <w:overflowPunct w:val="0"/>
              <w:autoSpaceDE w:val="0"/>
              <w:autoSpaceDN w:val="0"/>
              <w:adjustRightInd w:val="0"/>
              <w:spacing w:after="180"/>
              <w:textAlignment w:val="baseline"/>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28171B02">
            <w:pPr>
              <w:numPr>
                <w:ilvl w:val="0"/>
                <w:numId w:val="46"/>
              </w:numPr>
              <w:overflowPunct w:val="0"/>
              <w:autoSpaceDE w:val="0"/>
              <w:autoSpaceDN w:val="0"/>
              <w:adjustRightInd w:val="0"/>
              <w:spacing w:after="180"/>
              <w:textAlignment w:val="baseline"/>
              <w:rPr>
                <w:b/>
                <w:bCs/>
                <w:sz w:val="18"/>
                <w:szCs w:val="18"/>
              </w:rPr>
            </w:pPr>
            <w:r>
              <w:rPr>
                <w:b/>
                <w:bCs/>
                <w:sz w:val="18"/>
                <w:szCs w:val="18"/>
              </w:rPr>
              <w:t xml:space="preserve">Separate ratios can be configured for CSS and UESS to a UE. </w:t>
            </w:r>
          </w:p>
          <w:p w14:paraId="3F683FF1">
            <w:pPr>
              <w:overflowPunct w:val="0"/>
              <w:autoSpaceDE w:val="0"/>
              <w:autoSpaceDN w:val="0"/>
              <w:adjustRightInd w:val="0"/>
              <w:spacing w:before="120" w:after="120"/>
              <w:jc w:val="both"/>
              <w:textAlignment w:val="baseline"/>
              <w:rPr>
                <w:rFonts w:ascii="Arial" w:hAnsi="Arial" w:eastAsia="Calibri" w:cs="Arial"/>
                <w:b/>
                <w:bCs/>
                <w:sz w:val="20"/>
                <w:szCs w:val="22"/>
                <w:lang w:val="en-US"/>
              </w:rPr>
            </w:pPr>
          </w:p>
        </w:tc>
      </w:tr>
    </w:tbl>
    <w:p w14:paraId="2F34357C">
      <w:pPr>
        <w:rPr>
          <w:b/>
        </w:rPr>
      </w:pPr>
    </w:p>
    <w:p w14:paraId="1D937457">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14:paraId="23ED35A7">
      <w:pPr>
        <w:rPr>
          <w:rFonts w:ascii="Arial" w:hAnsi="Arial" w:eastAsia="MS Mincho"/>
          <w:sz w:val="32"/>
          <w:szCs w:val="32"/>
        </w:rPr>
      </w:pPr>
    </w:p>
    <w:p w14:paraId="36BB198A">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14</w:t>
      </w:r>
    </w:p>
    <w:p w14:paraId="03AFC9FF">
      <w:pPr>
        <w:pStyle w:val="108"/>
        <w:numPr>
          <w:ilvl w:val="0"/>
          <w:numId w:val="20"/>
        </w:numPr>
        <w:ind w:leftChars="0"/>
        <w:jc w:val="both"/>
        <w:rPr>
          <w:b/>
        </w:rPr>
      </w:pPr>
      <w:r>
        <w:rPr>
          <w:rFonts w:hint="eastAsia"/>
          <w:b/>
        </w:rPr>
        <w:t>Specify the following EPRE ratio.</w:t>
      </w:r>
    </w:p>
    <w:p w14:paraId="2F6B838B">
      <w:pPr>
        <w:pStyle w:val="108"/>
        <w:numPr>
          <w:ilvl w:val="1"/>
          <w:numId w:val="20"/>
        </w:numPr>
        <w:ind w:leftChars="0"/>
        <w:jc w:val="both"/>
        <w:rPr>
          <w:b/>
        </w:rPr>
      </w:pPr>
      <w:r>
        <w:rPr>
          <w:b/>
        </w:rPr>
        <w:t>EPRE ratio between SSS and PDCCH DMRS which applies to all DCI formats and all RNTIs</w:t>
      </w:r>
      <w:r>
        <w:rPr>
          <w:rFonts w:hint="eastAsia"/>
          <w:b/>
        </w:rPr>
        <w:t>.</w:t>
      </w:r>
    </w:p>
    <w:p w14:paraId="52F45A1E">
      <w:pPr>
        <w:pStyle w:val="108"/>
        <w:numPr>
          <w:ilvl w:val="1"/>
          <w:numId w:val="20"/>
        </w:numPr>
        <w:ind w:leftChars="0"/>
        <w:jc w:val="both"/>
        <w:rPr>
          <w:b/>
        </w:rPr>
      </w:pPr>
      <w:r>
        <w:rPr>
          <w:b/>
        </w:rPr>
        <w:t>EPRE ratio between PDCCH DMRS and PDCCH data</w:t>
      </w:r>
      <w:r>
        <w:rPr>
          <w:rFonts w:hint="eastAsia"/>
          <w:b/>
        </w:rPr>
        <w:t>.</w:t>
      </w:r>
    </w:p>
    <w:p w14:paraId="21436123">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79046100">
      <w:pPr>
        <w:rPr>
          <w:rFonts w:eastAsia="MS Mincho" w:cs="Batang"/>
          <w:sz w:val="22"/>
          <w:szCs w:val="22"/>
        </w:rPr>
      </w:pPr>
    </w:p>
    <w:p w14:paraId="623543DA">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Qualcomm</w:t>
      </w:r>
      <w:r>
        <w:rPr>
          <w:rFonts w:eastAsia="MS Mincho" w:cs="Batang"/>
          <w:sz w:val="22"/>
          <w:szCs w:val="22"/>
        </w:rPr>
        <w:t>.</w:t>
      </w:r>
    </w:p>
    <w:p w14:paraId="351DE948">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14:paraId="48AC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14:paraId="6BD8EB5E">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14:paraId="1C03905F">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14:paraId="572B98BC">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14:paraId="6B54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5057DFF3">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DOCOMO</w:t>
            </w:r>
          </w:p>
        </w:tc>
        <w:tc>
          <w:tcPr>
            <w:tcW w:w="1023" w:type="dxa"/>
          </w:tcPr>
          <w:p w14:paraId="28DE09F7">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N</w:t>
            </w:r>
          </w:p>
        </w:tc>
        <w:tc>
          <w:tcPr>
            <w:tcW w:w="6912" w:type="dxa"/>
          </w:tcPr>
          <w:p w14:paraId="386E95E7">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50AF952A">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in order to properly maintain radio link by using radio link </w:t>
            </w:r>
            <w:r>
              <w:rPr>
                <w:sz w:val="22"/>
                <w:lang w:val="en-US"/>
              </w:rPr>
              <w:t>monitoring</w:t>
            </w:r>
            <w:r>
              <w:rPr>
                <w:rFonts w:hint="eastAsia"/>
                <w:sz w:val="22"/>
                <w:lang w:val="en-US"/>
              </w:rPr>
              <w:t>.</w:t>
            </w:r>
          </w:p>
        </w:tc>
      </w:tr>
      <w:tr w14:paraId="1CA76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70C792D1">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14:paraId="756220D0">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912" w:type="dxa"/>
          </w:tcPr>
          <w:p w14:paraId="58B9EC6D">
            <w:pPr>
              <w:overflowPunct w:val="0"/>
              <w:autoSpaceDE w:val="0"/>
              <w:autoSpaceDN w:val="0"/>
              <w:adjustRightInd w:val="0"/>
              <w:spacing w:after="120" w:afterLines="50"/>
              <w:jc w:val="both"/>
              <w:textAlignment w:val="baseline"/>
              <w:rPr>
                <w:rFonts w:eastAsia="宋体"/>
                <w:sz w:val="20"/>
                <w:lang w:eastAsia="zh-CN"/>
              </w:rPr>
            </w:pPr>
            <w:r>
              <w:rPr>
                <w:sz w:val="22"/>
                <w:lang w:val="en-US"/>
              </w:rPr>
              <w:t>It may somehow relate the chipset implementation with the cost of less NW flexibility. But it is workable without this change, and already workable from LTE.</w:t>
            </w:r>
          </w:p>
        </w:tc>
      </w:tr>
      <w:tr w14:paraId="3487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54370844">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MediaTek</w:t>
            </w:r>
          </w:p>
        </w:tc>
        <w:tc>
          <w:tcPr>
            <w:tcW w:w="1023" w:type="dxa"/>
          </w:tcPr>
          <w:p w14:paraId="004FE2CA">
            <w:pPr>
              <w:overflowPunct w:val="0"/>
              <w:autoSpaceDE w:val="0"/>
              <w:autoSpaceDN w:val="0"/>
              <w:adjustRightInd w:val="0"/>
              <w:spacing w:after="120" w:afterLines="50"/>
              <w:jc w:val="both"/>
              <w:textAlignment w:val="baseline"/>
              <w:rPr>
                <w:sz w:val="22"/>
                <w:lang w:val="en-US"/>
              </w:rPr>
            </w:pPr>
          </w:p>
        </w:tc>
        <w:tc>
          <w:tcPr>
            <w:tcW w:w="6912" w:type="dxa"/>
          </w:tcPr>
          <w:p w14:paraId="19CAE7BE">
            <w:pPr>
              <w:overflowPunct w:val="0"/>
              <w:autoSpaceDE w:val="0"/>
              <w:autoSpaceDN w:val="0"/>
              <w:adjustRightInd w:val="0"/>
              <w:spacing w:after="120" w:afterLines="50"/>
              <w:jc w:val="both"/>
              <w:textAlignment w:val="baseline"/>
              <w:rPr>
                <w:sz w:val="22"/>
                <w:lang w:val="en-US"/>
              </w:rPr>
            </w:pPr>
            <w:r>
              <w:rPr>
                <w:sz w:val="22"/>
                <w:lang w:val="en-US"/>
              </w:rPr>
              <w:t>Regarding specifying EPRE ratio between PDCCH DMRS and data, we have not observed any issues that would suggest more specification of this is essential.</w:t>
            </w:r>
          </w:p>
        </w:tc>
      </w:tr>
      <w:tr w14:paraId="0271B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17DFE2A6">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14:paraId="2F592B23">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912" w:type="dxa"/>
          </w:tcPr>
          <w:p w14:paraId="6DEE2FEA">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Malgun Gothic"/>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n current spec, EPRE ratio between SSS and PDCCH DMRS is specified for initial access in order to help AGC during initial access. On the other hand, after initial access, AGC setting of PDCCH DMRS can be done by utilizing any other RSs including SSB which can be received to a UE. Also, no problem has been identified and a gNB is unlikely to semi-statically change EPRE for other RNTIs.</w:t>
            </w:r>
          </w:p>
          <w:p w14:paraId="22CDA159">
            <w:pPr>
              <w:overflowPunct w:val="0"/>
              <w:autoSpaceDE w:val="0"/>
              <w:autoSpaceDN w:val="0"/>
              <w:adjustRightInd w:val="0"/>
              <w:spacing w:after="120" w:afterLines="50"/>
              <w:jc w:val="both"/>
              <w:textAlignment w:val="baseline"/>
              <w:rPr>
                <w:sz w:val="22"/>
                <w:lang w:val="en-US"/>
              </w:rPr>
            </w:pPr>
            <w:r>
              <w:rPr>
                <w:sz w:val="22"/>
                <w:lang w:val="en-US"/>
              </w:rPr>
              <w:t>Regarding the second sub-bullet, a beta value was specified but it is not indicated to a UE and it does not cause any issue because PDCCH modulation is QPSK.</w:t>
            </w:r>
          </w:p>
        </w:tc>
      </w:tr>
      <w:tr w14:paraId="2DDB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011B290C">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Ericsson</w:t>
            </w:r>
          </w:p>
        </w:tc>
        <w:tc>
          <w:tcPr>
            <w:tcW w:w="1023" w:type="dxa"/>
          </w:tcPr>
          <w:p w14:paraId="23325F12">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N</w:t>
            </w:r>
          </w:p>
        </w:tc>
        <w:tc>
          <w:tcPr>
            <w:tcW w:w="6912" w:type="dxa"/>
          </w:tcPr>
          <w:p w14:paraId="47982153">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bl>
    <w:p w14:paraId="5BBEE01F">
      <w:pPr>
        <w:rPr>
          <w:b/>
        </w:rPr>
      </w:pPr>
    </w:p>
    <w:p w14:paraId="2DB2FBCF">
      <w:pPr>
        <w:rPr>
          <w:b/>
        </w:rPr>
      </w:pPr>
    </w:p>
    <w:p w14:paraId="67A28E3C">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MS Mincho"/>
          <w:sz w:val="28"/>
          <w:szCs w:val="32"/>
          <w:lang w:val="en-US"/>
        </w:rPr>
      </w:pPr>
      <w:r>
        <w:rPr>
          <w:rFonts w:ascii="Arial" w:hAnsi="Arial" w:eastAsia="MS Mincho"/>
          <w:sz w:val="28"/>
          <w:szCs w:val="32"/>
          <w:lang w:val="en-US"/>
        </w:rPr>
        <w:t>Different TRS location in two consecutive slo</w:t>
      </w:r>
      <w:r>
        <w:rPr>
          <w:rFonts w:hint="eastAsia" w:ascii="Arial" w:hAnsi="Arial" w:eastAsia="MS Mincho"/>
          <w:sz w:val="28"/>
          <w:szCs w:val="32"/>
          <w:lang w:val="en-US"/>
        </w:rPr>
        <w:t>ts</w:t>
      </w:r>
    </w:p>
    <w:p w14:paraId="771D19C3">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9412"/>
      </w:tblGrid>
      <w:tr w14:paraId="07C1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1ECBCD60">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[7</w:t>
            </w:r>
            <w:r>
              <w:rPr>
                <w:rFonts w:ascii="Arial" w:hAnsi="Arial" w:eastAsia="MS Mincho"/>
                <w:sz w:val="22"/>
                <w:szCs w:val="22"/>
                <w:lang w:val="en-US"/>
              </w:rPr>
              <w:t>]</w:t>
            </w:r>
          </w:p>
        </w:tc>
        <w:tc>
          <w:tcPr>
            <w:tcW w:w="9066" w:type="dxa"/>
          </w:tcPr>
          <w:p w14:paraId="1C112D7D">
            <w:pPr>
              <w:overflowPunct w:val="0"/>
              <w:autoSpaceDE w:val="0"/>
              <w:autoSpaceDN w:val="0"/>
              <w:adjustRightInd w:val="0"/>
              <w:spacing w:after="180"/>
              <w:textAlignment w:val="baseline"/>
              <w:rPr>
                <w:sz w:val="18"/>
                <w:szCs w:val="18"/>
              </w:rPr>
            </w:pPr>
            <w:r>
              <w:rPr>
                <w:sz w:val="18"/>
                <w:szCs w:val="18"/>
              </w:rPr>
              <w:t xml:space="preserve">In current specification, when TRS is configured on two back-to-back slots, the same TRP location pattern has to be used on the two slots, as shown in the following (highlighted in green).  </w:t>
            </w:r>
          </w:p>
          <w:p w14:paraId="0F9632C5">
            <w:pPr>
              <w:overflowPunct w:val="0"/>
              <w:autoSpaceDE w:val="0"/>
              <w:autoSpaceDN w:val="0"/>
              <w:adjustRightInd w:val="0"/>
              <w:spacing w:after="180"/>
              <w:textAlignment w:val="baseline"/>
              <w:rPr>
                <w:sz w:val="18"/>
                <w:szCs w:val="18"/>
              </w:rPr>
            </w:pPr>
            <w:r>
              <w:rPr>
                <w:sz w:val="18"/>
                <w:szCs w:val="18"/>
                <w:lang w:val="en-US" w:eastAsia="zh-CN"/>
              </w:rPr>
              <mc:AlternateContent>
                <mc:Choice Requires="wps">
                  <w:drawing>
                    <wp:anchor distT="45720" distB="45720" distL="114300" distR="114300" simplePos="0" relativeHeight="251663360" behindDoc="0" locked="0" layoutInCell="1" allowOverlap="1">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64A2697F">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653897E5">
                                  <w:pPr>
                                    <w:pStyle w:val="72"/>
                                    <w:rPr>
                                      <w:color w:val="000000"/>
                                    </w:rPr>
                                  </w:pPr>
                                  <w:r>
                                    <w:rPr>
                                      <w:color w:val="000000"/>
                                    </w:rPr>
                                    <w:t>-</w:t>
                                  </w:r>
                                  <w:r>
                                    <w:rPr>
                                      <w:color w:val="000000"/>
                                    </w:rPr>
                                    <w:tab/>
                                  </w:r>
                                  <w:r>
                                    <w:rPr>
                                      <w:color w:val="000000"/>
                                    </w:rPr>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401BCD53">
                                  <w:pPr>
                                    <w:pStyle w:val="83"/>
                                  </w:pPr>
                                  <w:r>
                                    <w:t>-</w:t>
                                  </w:r>
                                  <w:r>
                                    <w:tab/>
                                  </w:r>
                                  <w:r>
                                    <w:rPr>
                                      <w:position w:val="-10"/>
                                    </w:rPr>
                                    <w:object>
                                      <v:shape id="_x0000_i1025" o:spt="75" type="#_x0000_t75" style="height:15.35pt;width:34.65pt;" o:ole="t" filled="f" o:preferrelative="t" stroked="f" coordsize="21600,21600">
                                        <v:path/>
                                        <v:fill on="f" focussize="0,0"/>
                                        <v:stroke on="f" joinstyle="miter"/>
                                        <v:imagedata r:id="rId30" o:title=""/>
                                        <o:lock v:ext="edit" aspectratio="t"/>
                                        <w10:wrap type="none"/>
                                        <w10:anchorlock/>
                                      </v:shape>
                                      <o:OLEObject Type="Embed" ProgID="Equation.3" ShapeID="_x0000_i1025" DrawAspect="Content" ObjectID="_1468075725" r:id="rId29">
                                        <o:LockedField>false</o:LockedField>
                                      </o:OLEObject>
                                    </w:object>
                                  </w:r>
                                  <w:r>
                                    <w:t xml:space="preserve">, </w:t>
                                  </w:r>
                                  <w:r>
                                    <w:rPr>
                                      <w:position w:val="-10"/>
                                    </w:rPr>
                                    <w:object>
                                      <v:shape id="_x0000_i1026" o:spt="75" type="#_x0000_t75" style="height:15.35pt;width:34.65pt;" o:ole="t" filled="f" o:preferrelative="t" stroked="f" coordsize="21600,21600">
                                        <v:path/>
                                        <v:fill on="f" focussize="0,0"/>
                                        <v:stroke on="f" joinstyle="miter"/>
                                        <v:imagedata r:id="rId32" o:title=""/>
                                        <o:lock v:ext="edit" aspectratio="t"/>
                                        <w10:wrap type="none"/>
                                        <w10:anchorlock/>
                                      </v:shape>
                                      <o:OLEObject Type="Embed" ProgID="Equation.3" ShapeID="_x0000_i1026" DrawAspect="Content" ObjectID="_1468075726" r:id="rId31">
                                        <o:LockedField>false</o:LockedField>
                                      </o:OLEObject>
                                    </w:object>
                                  </w:r>
                                  <w:r>
                                    <w:t>, or</w:t>
                                  </w:r>
                                  <w:r>
                                    <w:rPr>
                                      <w:position w:val="-10"/>
                                    </w:rPr>
                                    <w:object>
                                      <v:shape id="_x0000_i1027" o:spt="75" type="#_x0000_t75" style="height:15.35pt;width:40.65pt;" o:ole="t" filled="f" o:preferrelative="t" stroked="f" coordsize="21600,21600">
                                        <v:path/>
                                        <v:fill on="f" focussize="0,0"/>
                                        <v:stroke on="f" joinstyle="miter"/>
                                        <v:imagedata r:id="rId34" o:title=""/>
                                        <o:lock v:ext="edit" aspectratio="t"/>
                                        <w10:wrap type="none"/>
                                        <w10:anchorlock/>
                                      </v:shape>
                                      <o:OLEObject Type="Embed" ProgID="Equation.3" ShapeID="_x0000_i1027" DrawAspect="Content" ObjectID="_1468075727" r:id="rId33">
                                        <o:LockedField>false</o:LockedField>
                                      </o:OLEObject>
                                    </w:object>
                                  </w:r>
                                  <w:r>
                                    <w:t xml:space="preserve"> for frequency range 1 and frequency range 2,</w:t>
                                  </w:r>
                                </w:p>
                                <w:p w14:paraId="5B5B2A4B">
                                  <w:pPr>
                                    <w:pStyle w:val="83"/>
                                  </w:pPr>
                                  <w:r>
                                    <w:t>-</w:t>
                                  </w:r>
                                  <w:r>
                                    <w:tab/>
                                  </w:r>
                                  <w:r>
                                    <w:rPr>
                                      <w:position w:val="-10"/>
                                    </w:rPr>
                                    <w:object>
                                      <v:shape id="_x0000_i1028" o:spt="75" type="#_x0000_t75" style="height:15.35pt;width:34.65pt;" o:ole="t" filled="f" o:preferrelative="t" stroked="f" coordsize="21600,21600">
                                        <v:path/>
                                        <v:fill on="f" focussize="0,0"/>
                                        <v:stroke on="f" joinstyle="miter"/>
                                        <v:imagedata r:id="rId36" o:title=""/>
                                        <o:lock v:ext="edit" aspectratio="t"/>
                                        <w10:wrap type="none"/>
                                        <w10:anchorlock/>
                                      </v:shape>
                                      <o:OLEObject Type="Embed" ProgID="Equation.3" ShapeID="_x0000_i1028" DrawAspect="Content" ObjectID="_1468075728" r:id="rId35">
                                        <o:LockedField>false</o:LockedField>
                                      </o:OLEObject>
                                    </w:object>
                                  </w:r>
                                  <w:r>
                                    <w:t xml:space="preserve">, </w:t>
                                  </w:r>
                                  <w:r>
                                    <w:rPr>
                                      <w:position w:val="-10"/>
                                    </w:rPr>
                                    <w:object>
                                      <v:shape id="_x0000_i1029" o:spt="75" type="#_x0000_t75" style="height:15.35pt;width:30pt;" o:ole="t" filled="f" o:preferrelative="t" stroked="f" coordsize="21600,21600">
                                        <v:path/>
                                        <v:fill on="f" focussize="0,0"/>
                                        <v:stroke on="f" joinstyle="miter"/>
                                        <v:imagedata r:id="rId38" o:title=""/>
                                        <o:lock v:ext="edit" aspectratio="t"/>
                                        <w10:wrap type="none"/>
                                        <w10:anchorlock/>
                                      </v:shape>
                                      <o:OLEObject Type="Embed" ProgID="Equation.3" ShapeID="_x0000_i1029" DrawAspect="Content" ObjectID="_1468075729" r:id="rId37">
                                        <o:LockedField>false</o:LockedField>
                                      </o:OLEObject>
                                    </w:object>
                                  </w:r>
                                  <w:r>
                                    <w:t xml:space="preserve">, </w:t>
                                  </w:r>
                                  <w:r>
                                    <w:rPr>
                                      <w:position w:val="-10"/>
                                    </w:rPr>
                                    <w:object>
                                      <v:shape id="_x0000_i1030" o:spt="75" type="#_x0000_t75" style="height:15.35pt;width:34.65pt;" o:ole="t" filled="f" o:preferrelative="t" stroked="f" coordsize="21600,21600">
                                        <v:path/>
                                        <v:fill on="f" focussize="0,0"/>
                                        <v:stroke on="f" joinstyle="miter"/>
                                        <v:imagedata r:id="rId40" o:title=""/>
                                        <o:lock v:ext="edit" aspectratio="t"/>
                                        <w10:wrap type="none"/>
                                        <w10:anchorlock/>
                                      </v:shape>
                                      <o:OLEObject Type="Embed" ProgID="Equation.3" ShapeID="_x0000_i1030" DrawAspect="Content" ObjectID="_1468075730" r:id="rId39">
                                        <o:LockedField>false</o:LockedField>
                                      </o:OLEObject>
                                    </w:object>
                                  </w:r>
                                  <w:r>
                                    <w:t xml:space="preserve">, </w:t>
                                  </w:r>
                                  <w:r>
                                    <w:rPr>
                                      <w:position w:val="-10"/>
                                    </w:rPr>
                                    <w:object>
                                      <v:shape id="_x0000_i1031" o:spt="75" type="#_x0000_t75" style="height:15.35pt;width:34.65pt;" o:ole="t" filled="f" o:preferrelative="t" stroked="f" coordsize="21600,21600">
                                        <v:path/>
                                        <v:fill on="f" focussize="0,0"/>
                                        <v:stroke on="f" joinstyle="miter"/>
                                        <v:imagedata r:id="rId42" o:title=""/>
                                        <o:lock v:ext="edit" aspectratio="t"/>
                                        <w10:wrap type="none"/>
                                        <w10:anchorlock/>
                                      </v:shape>
                                      <o:OLEObject Type="Embed" ProgID="Equation.3" ShapeID="_x0000_i1031" DrawAspect="Content" ObjectID="_1468075731" r:id="rId41">
                                        <o:LockedField>false</o:LockedField>
                                      </o:OLEObject>
                                    </w:object>
                                  </w:r>
                                  <w:r>
                                    <w:t xml:space="preserve">, </w:t>
                                  </w:r>
                                  <w:r>
                                    <w:rPr>
                                      <w:position w:val="-10"/>
                                    </w:rPr>
                                    <w:object>
                                      <v:shape id="_x0000_i1032" o:spt="75" type="#_x0000_t75" style="height:15.35pt;width:38.65pt;" o:ole="t" filled="f" o:preferrelative="t" stroked="f" coordsize="21600,21600">
                                        <v:path/>
                                        <v:fill on="f" focussize="0,0"/>
                                        <v:stroke on="f" joinstyle="miter"/>
                                        <v:imagedata r:id="rId44" o:title=""/>
                                        <o:lock v:ext="edit" aspectratio="t"/>
                                        <w10:wrap type="none"/>
                                        <w10:anchorlock/>
                                      </v:shape>
                                      <o:OLEObject Type="Embed" ProgID="Equation.3" ShapeID="_x0000_i1032" DrawAspect="Content" ObjectID="_1468075732" r:id="rId43">
                                        <o:LockedField>false</o:LockedField>
                                      </o:OLEObject>
                                    </w:object>
                                  </w:r>
                                  <w:r>
                                    <w:t xml:space="preserve">, </w:t>
                                  </w:r>
                                  <w:r>
                                    <w:rPr>
                                      <w:position w:val="-10"/>
                                    </w:rPr>
                                    <w:object>
                                      <v:shape id="_x0000_i1033" o:spt="75" type="#_x0000_t75" style="height:15.35pt;width:38.65pt;" o:ole="t" filled="f" o:preferrelative="t" stroked="f" coordsize="21600,21600">
                                        <v:path/>
                                        <v:fill on="f" focussize="0,0"/>
                                        <v:stroke on="f" joinstyle="miter"/>
                                        <v:imagedata r:id="rId46" o:title=""/>
                                        <o:lock v:ext="edit" aspectratio="t"/>
                                        <w10:wrap type="none"/>
                                        <w10:anchorlock/>
                                      </v:shape>
                                      <o:OLEObject Type="Embed" ProgID="Equation.3" ShapeID="_x0000_i1033" DrawAspect="Content" ObjectID="_1468075733" r:id="rId45">
                                        <o:LockedField>false</o:LockedField>
                                      </o:OLEObject>
                                    </w:object>
                                  </w:r>
                                  <w:r>
                                    <w:t xml:space="preserve"> or </w:t>
                                  </w:r>
                                  <w:r>
                                    <w:rPr>
                                      <w:position w:val="-10"/>
                                    </w:rPr>
                                    <w:object>
                                      <v:shape id="_x0000_i1034" o:spt="75" type="#_x0000_t75" style="height:15.35pt;width:38.65pt;" o:ole="t" filled="f" o:preferrelative="t" stroked="f" coordsize="21600,21600">
                                        <v:path/>
                                        <v:fill on="f" focussize="0,0"/>
                                        <v:stroke on="f" joinstyle="miter"/>
                                        <v:imagedata r:id="rId48" o:title=""/>
                                        <o:lock v:ext="edit" aspectratio="t"/>
                                        <w10:wrap type="none"/>
                                        <w10:anchorlock/>
                                      </v:shape>
                                      <o:OLEObject Type="Embed" ProgID="Equation.3" ShapeID="_x0000_i1034" DrawAspect="Content" ObjectID="_1468075734" r:id="rId47">
                                        <o:LockedField>false</o:LockedField>
                                      </o:OLEObject>
                                    </w:object>
                                  </w:r>
                                  <w:r>
                                    <w:t xml:space="preserve"> for frequency range 2.</w:t>
                                  </w:r>
                                </w:p>
                                <w:p w14:paraId="53985C03"/>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4.15pt;margin-top:-40.6pt;height:122.5pt;width:498pt;mso-position-horizontal-relative:margin;mso-wrap-distance-bottom:3.6pt;mso-wrap-distance-left:9pt;mso-wrap-distance-right:9pt;mso-wrap-distance-top:3.6pt;z-index:251663360;mso-width-relative:page;mso-height-relative:page;" fillcolor="#FFFFFF" filled="t" stroked="t" coordsize="21600,21600" o:gfxdata="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1a+H9oAAAALAQAADwAAAAAAAAABACAAAAAiAAAAZHJzL2Rvd25yZXYueG1s&#10;UEsBAhQAFAAAAAgAh07iQI1L1pkvAgAAgwQAAA4AAAAAAAAAAQAgAAAAKQEAAGRycy9lMm9Eb2Mu&#10;eG1sUEsFBgAAAAAGAAYAWQEAAMoFAAAAAA==&#10;">
                      <v:fill on="t" focussize="0,0"/>
                      <v:stroke color="#000000" miterlimit="8" joinstyle="miter"/>
                      <v:imagedata o:title=""/>
                      <o:lock v:ext="edit" aspectratio="f"/>
                      <v:textbox>
                        <w:txbxContent>
                          <w:p w14:paraId="64A2697F">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653897E5">
                            <w:pPr>
                              <w:pStyle w:val="72"/>
                              <w:rPr>
                                <w:color w:val="000000"/>
                              </w:rPr>
                            </w:pPr>
                            <w:r>
                              <w:rPr>
                                <w:color w:val="000000"/>
                              </w:rPr>
                              <w:t>-</w:t>
                            </w:r>
                            <w:r>
                              <w:rPr>
                                <w:color w:val="000000"/>
                              </w:rPr>
                              <w:tab/>
                            </w:r>
                            <w:r>
                              <w:rPr>
                                <w:color w:val="000000"/>
                              </w:rPr>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401BCD53">
                            <w:pPr>
                              <w:pStyle w:val="83"/>
                            </w:pPr>
                            <w:r>
                              <w:t>-</w:t>
                            </w:r>
                            <w:r>
                              <w:tab/>
                            </w:r>
                            <w:r>
                              <w:rPr>
                                <w:position w:val="-10"/>
                              </w:rPr>
                              <w:object>
                                <v:shape id="_x0000_i1025" o:spt="75" type="#_x0000_t75" style="height:15.35pt;width:34.65pt;" o:ole="t" filled="f" o:preferrelative="t" stroked="f" coordsize="21600,21600">
                                  <v:path/>
                                  <v:fill on="f" focussize="0,0"/>
                                  <v:stroke on="f" joinstyle="miter"/>
                                  <v:imagedata r:id="rId30" o:title=""/>
                                  <o:lock v:ext="edit" aspectratio="t"/>
                                  <w10:wrap type="none"/>
                                  <w10:anchorlock/>
                                </v:shape>
                                <o:OLEObject Type="Embed" ProgID="Equation.3" ShapeID="_x0000_i1025" DrawAspect="Content" ObjectID="_1468075735" r:id="rId49">
                                  <o:LockedField>false</o:LockedField>
                                </o:OLEObject>
                              </w:object>
                            </w:r>
                            <w:r>
                              <w:t xml:space="preserve">, </w:t>
                            </w:r>
                            <w:r>
                              <w:rPr>
                                <w:position w:val="-10"/>
                              </w:rPr>
                              <w:object>
                                <v:shape id="_x0000_i1026" o:spt="75" type="#_x0000_t75" style="height:15.35pt;width:34.65pt;" o:ole="t" filled="f" o:preferrelative="t" stroked="f" coordsize="21600,21600">
                                  <v:path/>
                                  <v:fill on="f" focussize="0,0"/>
                                  <v:stroke on="f" joinstyle="miter"/>
                                  <v:imagedata r:id="rId32" o:title=""/>
                                  <o:lock v:ext="edit" aspectratio="t"/>
                                  <w10:wrap type="none"/>
                                  <w10:anchorlock/>
                                </v:shape>
                                <o:OLEObject Type="Embed" ProgID="Equation.3" ShapeID="_x0000_i1026" DrawAspect="Content" ObjectID="_1468075736" r:id="rId50">
                                  <o:LockedField>false</o:LockedField>
                                </o:OLEObject>
                              </w:object>
                            </w:r>
                            <w:r>
                              <w:t>, or</w:t>
                            </w:r>
                            <w:r>
                              <w:rPr>
                                <w:position w:val="-10"/>
                              </w:rPr>
                              <w:object>
                                <v:shape id="_x0000_i1027" o:spt="75" type="#_x0000_t75" style="height:15.35pt;width:40.65pt;" o:ole="t" filled="f" o:preferrelative="t" stroked="f" coordsize="21600,21600">
                                  <v:path/>
                                  <v:fill on="f" focussize="0,0"/>
                                  <v:stroke on="f" joinstyle="miter"/>
                                  <v:imagedata r:id="rId34" o:title=""/>
                                  <o:lock v:ext="edit" aspectratio="t"/>
                                  <w10:wrap type="none"/>
                                  <w10:anchorlock/>
                                </v:shape>
                                <o:OLEObject Type="Embed" ProgID="Equation.3" ShapeID="_x0000_i1027" DrawAspect="Content" ObjectID="_1468075737" r:id="rId51">
                                  <o:LockedField>false</o:LockedField>
                                </o:OLEObject>
                              </w:object>
                            </w:r>
                            <w:r>
                              <w:t xml:space="preserve"> for frequency range 1 and frequency range 2,</w:t>
                            </w:r>
                          </w:p>
                          <w:p w14:paraId="5B5B2A4B">
                            <w:pPr>
                              <w:pStyle w:val="83"/>
                            </w:pPr>
                            <w:r>
                              <w:t>-</w:t>
                            </w:r>
                            <w:r>
                              <w:tab/>
                            </w:r>
                            <w:r>
                              <w:rPr>
                                <w:position w:val="-10"/>
                              </w:rPr>
                              <w:object>
                                <v:shape id="_x0000_i1028" o:spt="75" type="#_x0000_t75" style="height:15.35pt;width:34.65pt;" o:ole="t" filled="f" o:preferrelative="t" stroked="f" coordsize="21600,21600">
                                  <v:path/>
                                  <v:fill on="f" focussize="0,0"/>
                                  <v:stroke on="f" joinstyle="miter"/>
                                  <v:imagedata r:id="rId36" o:title=""/>
                                  <o:lock v:ext="edit" aspectratio="t"/>
                                  <w10:wrap type="none"/>
                                  <w10:anchorlock/>
                                </v:shape>
                                <o:OLEObject Type="Embed" ProgID="Equation.3" ShapeID="_x0000_i1028" DrawAspect="Content" ObjectID="_1468075738" r:id="rId52">
                                  <o:LockedField>false</o:LockedField>
                                </o:OLEObject>
                              </w:object>
                            </w:r>
                            <w:r>
                              <w:t xml:space="preserve">, </w:t>
                            </w:r>
                            <w:r>
                              <w:rPr>
                                <w:position w:val="-10"/>
                              </w:rPr>
                              <w:object>
                                <v:shape id="_x0000_i1029" o:spt="75" type="#_x0000_t75" style="height:15.35pt;width:30pt;" o:ole="t" filled="f" o:preferrelative="t" stroked="f" coordsize="21600,21600">
                                  <v:path/>
                                  <v:fill on="f" focussize="0,0"/>
                                  <v:stroke on="f" joinstyle="miter"/>
                                  <v:imagedata r:id="rId38" o:title=""/>
                                  <o:lock v:ext="edit" aspectratio="t"/>
                                  <w10:wrap type="none"/>
                                  <w10:anchorlock/>
                                </v:shape>
                                <o:OLEObject Type="Embed" ProgID="Equation.3" ShapeID="_x0000_i1029" DrawAspect="Content" ObjectID="_1468075739" r:id="rId53">
                                  <o:LockedField>false</o:LockedField>
                                </o:OLEObject>
                              </w:object>
                            </w:r>
                            <w:r>
                              <w:t xml:space="preserve">, </w:t>
                            </w:r>
                            <w:r>
                              <w:rPr>
                                <w:position w:val="-10"/>
                              </w:rPr>
                              <w:object>
                                <v:shape id="_x0000_i1030" o:spt="75" type="#_x0000_t75" style="height:15.35pt;width:34.65pt;" o:ole="t" filled="f" o:preferrelative="t" stroked="f" coordsize="21600,21600">
                                  <v:path/>
                                  <v:fill on="f" focussize="0,0"/>
                                  <v:stroke on="f" joinstyle="miter"/>
                                  <v:imagedata r:id="rId40" o:title=""/>
                                  <o:lock v:ext="edit" aspectratio="t"/>
                                  <w10:wrap type="none"/>
                                  <w10:anchorlock/>
                                </v:shape>
                                <o:OLEObject Type="Embed" ProgID="Equation.3" ShapeID="_x0000_i1030" DrawAspect="Content" ObjectID="_1468075740" r:id="rId54">
                                  <o:LockedField>false</o:LockedField>
                                </o:OLEObject>
                              </w:object>
                            </w:r>
                            <w:r>
                              <w:t xml:space="preserve">, </w:t>
                            </w:r>
                            <w:r>
                              <w:rPr>
                                <w:position w:val="-10"/>
                              </w:rPr>
                              <w:object>
                                <v:shape id="_x0000_i1031" o:spt="75" type="#_x0000_t75" style="height:15.35pt;width:34.65pt;" o:ole="t" filled="f" o:preferrelative="t" stroked="f" coordsize="21600,21600">
                                  <v:path/>
                                  <v:fill on="f" focussize="0,0"/>
                                  <v:stroke on="f" joinstyle="miter"/>
                                  <v:imagedata r:id="rId42" o:title=""/>
                                  <o:lock v:ext="edit" aspectratio="t"/>
                                  <w10:wrap type="none"/>
                                  <w10:anchorlock/>
                                </v:shape>
                                <o:OLEObject Type="Embed" ProgID="Equation.3" ShapeID="_x0000_i1031" DrawAspect="Content" ObjectID="_1468075741" r:id="rId55">
                                  <o:LockedField>false</o:LockedField>
                                </o:OLEObject>
                              </w:object>
                            </w:r>
                            <w:r>
                              <w:t xml:space="preserve">, </w:t>
                            </w:r>
                            <w:r>
                              <w:rPr>
                                <w:position w:val="-10"/>
                              </w:rPr>
                              <w:object>
                                <v:shape id="_x0000_i1032" o:spt="75" type="#_x0000_t75" style="height:15.35pt;width:38.65pt;" o:ole="t" filled="f" o:preferrelative="t" stroked="f" coordsize="21600,21600">
                                  <v:path/>
                                  <v:fill on="f" focussize="0,0"/>
                                  <v:stroke on="f" joinstyle="miter"/>
                                  <v:imagedata r:id="rId44" o:title=""/>
                                  <o:lock v:ext="edit" aspectratio="t"/>
                                  <w10:wrap type="none"/>
                                  <w10:anchorlock/>
                                </v:shape>
                                <o:OLEObject Type="Embed" ProgID="Equation.3" ShapeID="_x0000_i1032" DrawAspect="Content" ObjectID="_1468075742" r:id="rId56">
                                  <o:LockedField>false</o:LockedField>
                                </o:OLEObject>
                              </w:object>
                            </w:r>
                            <w:r>
                              <w:t xml:space="preserve">, </w:t>
                            </w:r>
                            <w:r>
                              <w:rPr>
                                <w:position w:val="-10"/>
                              </w:rPr>
                              <w:object>
                                <v:shape id="_x0000_i1033" o:spt="75" type="#_x0000_t75" style="height:15.35pt;width:38.65pt;" o:ole="t" filled="f" o:preferrelative="t" stroked="f" coordsize="21600,21600">
                                  <v:path/>
                                  <v:fill on="f" focussize="0,0"/>
                                  <v:stroke on="f" joinstyle="miter"/>
                                  <v:imagedata r:id="rId46" o:title=""/>
                                  <o:lock v:ext="edit" aspectratio="t"/>
                                  <w10:wrap type="none"/>
                                  <w10:anchorlock/>
                                </v:shape>
                                <o:OLEObject Type="Embed" ProgID="Equation.3" ShapeID="_x0000_i1033" DrawAspect="Content" ObjectID="_1468075743" r:id="rId57">
                                  <o:LockedField>false</o:LockedField>
                                </o:OLEObject>
                              </w:object>
                            </w:r>
                            <w:r>
                              <w:t xml:space="preserve"> or </w:t>
                            </w:r>
                            <w:r>
                              <w:rPr>
                                <w:position w:val="-10"/>
                              </w:rPr>
                              <w:object>
                                <v:shape id="_x0000_i1034" o:spt="75" type="#_x0000_t75" style="height:15.35pt;width:38.65pt;" o:ole="t" filled="f" o:preferrelative="t" stroked="f" coordsize="21600,21600">
                                  <v:path/>
                                  <v:fill on="f" focussize="0,0"/>
                                  <v:stroke on="f" joinstyle="miter"/>
                                  <v:imagedata r:id="rId48" o:title=""/>
                                  <o:lock v:ext="edit" aspectratio="t"/>
                                  <w10:wrap type="none"/>
                                  <w10:anchorlock/>
                                </v:shape>
                                <o:OLEObject Type="Embed" ProgID="Equation.3" ShapeID="_x0000_i1034" DrawAspect="Content" ObjectID="_1468075744" r:id="rId58">
                                  <o:LockedField>false</o:LockedField>
                                </o:OLEObject>
                              </w:object>
                            </w:r>
                            <w:r>
                              <w:t xml:space="preserve"> for frequency range 2.</w:t>
                            </w:r>
                          </w:p>
                          <w:p w14:paraId="53985C03"/>
                        </w:txbxContent>
                      </v:textbox>
                      <w10:wrap type="square"/>
                    </v:shape>
                  </w:pict>
                </mc:Fallback>
              </mc:AlternateContent>
            </w:r>
          </w:p>
          <w:p w14:paraId="7B0B1A57">
            <w:pPr>
              <w:overflowPunct w:val="0"/>
              <w:autoSpaceDE w:val="0"/>
              <w:autoSpaceDN w:val="0"/>
              <w:adjustRightInd w:val="0"/>
              <w:spacing w:after="180"/>
              <w:textAlignment w:val="baseline"/>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5E02B7F6">
            <w:pPr>
              <w:overflowPunct w:val="0"/>
              <w:autoSpaceDE w:val="0"/>
              <w:autoSpaceDN w:val="0"/>
              <w:adjustRightInd w:val="0"/>
              <w:spacing w:after="180"/>
              <w:textAlignment w:val="baseline"/>
              <w:rPr>
                <w:iCs/>
                <w:sz w:val="18"/>
                <w:szCs w:val="18"/>
              </w:rPr>
            </w:pPr>
            <m:oMathPara>
              <m:oMath>
                <m:sSub>
                  <m:sSubPr>
                    <m:ctrlPr>
                      <w:rPr>
                        <w:rFonts w:ascii="Cambria Math" w:hAnsi="Cambria Math"/>
                        <w:i/>
                        <w:iCs/>
                        <w:sz w:val="18"/>
                        <w:szCs w:val="18"/>
                      </w:rPr>
                    </m:ctrlPr>
                  </m:sSubPr>
                  <m:e>
                    <m:r>
                      <m:rPr/>
                      <w:rPr>
                        <w:rFonts w:ascii="Cambria Math" w:hAnsi="Cambria Math"/>
                        <w:sz w:val="18"/>
                        <w:szCs w:val="18"/>
                      </w:rPr>
                      <m:t>P</m:t>
                    </m:r>
                    <m:ctrlPr>
                      <w:rPr>
                        <w:rFonts w:ascii="Cambria Math" w:hAnsi="Cambria Math"/>
                        <w:i/>
                        <w:iCs/>
                        <w:sz w:val="18"/>
                        <w:szCs w:val="18"/>
                      </w:rPr>
                    </m:ctrlPr>
                  </m:e>
                  <m:sub>
                    <m:r>
                      <m:rPr/>
                      <w:rPr>
                        <w:rFonts w:ascii="Cambria Math" w:hAnsi="Cambria Math"/>
                        <w:sz w:val="18"/>
                        <w:szCs w:val="18"/>
                      </w:rPr>
                      <m:t>range</m:t>
                    </m:r>
                    <m:ctrlPr>
                      <w:rPr>
                        <w:rFonts w:ascii="Cambria Math" w:hAnsi="Cambria Math"/>
                        <w:i/>
                        <w:iCs/>
                        <w:sz w:val="18"/>
                        <w:szCs w:val="18"/>
                      </w:rPr>
                    </m:ctrlPr>
                  </m:sub>
                </m:sSub>
                <m:r>
                  <m:rPr/>
                  <w:rPr>
                    <w:rFonts w:ascii="Cambria Math" w:hAnsi="Cambria Math"/>
                    <w:sz w:val="18"/>
                    <w:szCs w:val="18"/>
                  </w:rPr>
                  <m:t>=</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e>
                        </m:d>
                        <m:ctrlPr>
                          <w:rPr>
                            <w:rFonts w:ascii="Cambria Math" w:hAnsi="Cambria Math"/>
                            <w:i/>
                            <w:iCs/>
                            <w:sz w:val="18"/>
                            <w:szCs w:val="18"/>
                          </w:rPr>
                        </m:ctrlPr>
                      </m:e>
                    </m:func>
                    <m:ctrlPr>
                      <w:rPr>
                        <w:rFonts w:ascii="Cambria Math" w:hAnsi="Cambria Math"/>
                        <w:i/>
                        <w:iCs/>
                        <w:sz w:val="18"/>
                        <w:szCs w:val="18"/>
                      </w:rPr>
                    </m:ctrlPr>
                  </m:den>
                </m:f>
              </m:oMath>
            </m:oMathPara>
          </w:p>
          <w:p w14:paraId="3889FD25">
            <w:pPr>
              <w:overflowPunct w:val="0"/>
              <w:autoSpaceDE w:val="0"/>
              <w:autoSpaceDN w:val="0"/>
              <w:adjustRightInd w:val="0"/>
              <w:spacing w:after="180"/>
              <w:textAlignment w:val="baseline"/>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oMath>
            <w:r>
              <w:rPr>
                <w:sz w:val="18"/>
                <w:szCs w:val="18"/>
              </w:rPr>
              <w:t xml:space="preserve"> is the time difference between a pair of TRS symbols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j</m:t>
                  </m:r>
                  <m:ctrlPr>
                    <w:rPr>
                      <w:rFonts w:ascii="Cambria Math" w:hAnsi="Cambria Math"/>
                      <w:i/>
                      <w:iCs/>
                      <w:sz w:val="18"/>
                      <w:szCs w:val="18"/>
                    </w:rPr>
                  </m:ctrlPr>
                </m:sub>
              </m:sSub>
              <m:r>
                <m:rPr/>
                <w:rPr>
                  <w:rFonts w:ascii="Cambria Math" w:hAnsi="Cambria Math"/>
                  <w:sz w:val="18"/>
                  <w:szCs w:val="18"/>
                </w:rPr>
                <m:t>,</m:t>
              </m:r>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k</m:t>
                  </m:r>
                  <m:ctrlPr>
                    <w:rPr>
                      <w:rFonts w:ascii="Cambria Math" w:hAnsi="Cambria Math"/>
                      <w:i/>
                      <w:iCs/>
                      <w:sz w:val="18"/>
                      <w:szCs w:val="18"/>
                    </w:rPr>
                  </m:ctrlP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e>
                  </m:d>
                  <m:ctrlPr>
                    <w:rPr>
                      <w:rFonts w:ascii="Cambria Math" w:hAnsi="Cambria Math"/>
                      <w:i/>
                      <w:iCs/>
                      <w:sz w:val="18"/>
                      <w:szCs w:val="18"/>
                    </w:rPr>
                  </m:ctrlPr>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oMath>
            <w:r>
              <w:rPr>
                <w:sz w:val="18"/>
                <w:szCs w:val="18"/>
              </w:rPr>
              <w:t xml:space="preserve"> over all possible pairs {j,k}. </w:t>
            </w:r>
          </w:p>
          <w:p w14:paraId="25A176B8">
            <w:pPr>
              <w:overflowPunct w:val="0"/>
              <w:autoSpaceDE w:val="0"/>
              <w:autoSpaceDN w:val="0"/>
              <w:adjustRightInd w:val="0"/>
              <w:spacing w:after="180"/>
              <w:textAlignment w:val="baseline"/>
              <w:rPr>
                <w:iCs/>
                <w:sz w:val="18"/>
                <w:szCs w:val="18"/>
              </w:rPr>
            </w:pPr>
            <w:r>
              <w:rPr>
                <w:iCs/>
                <w:sz w:val="18"/>
                <w:szCs w:val="18"/>
              </w:rPr>
              <w:t xml:space="preserve">The above pull-in range can be easily proved as the following. </w:t>
            </w:r>
          </w:p>
          <w:p w14:paraId="5707C75C">
            <w:pPr>
              <w:overflowPunct w:val="0"/>
              <w:autoSpaceDE w:val="0"/>
              <w:autoSpaceDN w:val="0"/>
              <w:adjustRightInd w:val="0"/>
              <w:spacing w:after="180"/>
              <w:textAlignment w:val="baseline"/>
              <w:rPr>
                <w:iCs/>
                <w:sz w:val="18"/>
                <w:szCs w:val="18"/>
              </w:rPr>
            </w:pPr>
            <w:r>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r>
                <m:rPr/>
                <w:rPr>
                  <w:rFonts w:ascii="Cambria Math" w:hAnsi="Cambria Math"/>
                  <w:sz w:val="18"/>
                  <w:szCs w:val="18"/>
                </w:rPr>
                <m:t>, </m:t>
              </m:r>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Sub>
              <m:r>
                <m:rP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7AC8E097">
            <w:pPr>
              <w:overflowPunct w:val="0"/>
              <w:autoSpaceDE w:val="0"/>
              <w:autoSpaceDN w:val="0"/>
              <w:adjustRightInd w:val="0"/>
              <w:spacing w:after="180"/>
              <w:textAlignment w:val="baseline"/>
              <w:rPr>
                <w:iCs/>
                <w:sz w:val="18"/>
                <w:szCs w:val="18"/>
              </w:rPr>
            </w:pPr>
            <m:oMathPara>
              <m:oMath>
                <m:acc>
                  <m:accPr>
                    <m:ctrlPr>
                      <w:rPr>
                        <w:rFonts w:ascii="Cambria Math" w:hAnsi="Cambria Math"/>
                        <w:i/>
                        <w:iCs/>
                        <w:sz w:val="18"/>
                        <w:szCs w:val="18"/>
                      </w:rPr>
                    </m:ctrlPr>
                  </m:accPr>
                  <m:e>
                    <m:r>
                      <m:rPr/>
                      <w:rPr>
                        <w:rFonts w:ascii="Cambria Math" w:hAnsi="Cambria Math"/>
                        <w:sz w:val="18"/>
                        <w:szCs w:val="18"/>
                      </w:rPr>
                      <m:t>ϵ</m:t>
                    </m:r>
                    <m:ctrlPr>
                      <w:rPr>
                        <w:rFonts w:ascii="Cambria Math" w:hAnsi="Cambria Math"/>
                        <w:i/>
                        <w:iCs/>
                        <w:sz w:val="18"/>
                        <w:szCs w:val="18"/>
                      </w:rPr>
                    </m:ctrlPr>
                  </m:e>
                </m:acc>
                <m:r>
                  <m:rP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ctrlPr>
                          <w:rPr>
                            <w:rFonts w:ascii="Cambria Math" w:hAnsi="Cambria Math"/>
                            <w:i/>
                            <w:iCs/>
                            <w:sz w:val="18"/>
                            <w:szCs w:val="18"/>
                          </w:rPr>
                        </m:ctrlPr>
                      </m:e>
                      <m:lim>
                        <m:r>
                          <m:rPr/>
                          <w:rPr>
                            <w:rFonts w:ascii="Cambria Math" w:hAnsi="Cambria Math"/>
                            <w:sz w:val="18"/>
                            <w:szCs w:val="18"/>
                          </w:rPr>
                          <m:t>ϵ</m:t>
                        </m:r>
                        <m:ctrlPr>
                          <w:rPr>
                            <w:rFonts w:ascii="Cambria Math" w:hAnsi="Cambria Math"/>
                            <w:i/>
                            <w:iCs/>
                            <w:sz w:val="18"/>
                            <w:szCs w:val="18"/>
                          </w:rPr>
                        </m:ctrlPr>
                      </m:lim>
                    </m:limLow>
                    <m:ctrlPr>
                      <w:rPr>
                        <w:rFonts w:ascii="Cambria Math" w:hAnsi="Cambria Math"/>
                        <w:i/>
                        <w:iCs/>
                        <w:sz w:val="18"/>
                        <w:szCs w:val="18"/>
                      </w:rPr>
                    </m:ctrlPr>
                  </m:fName>
                  <m:e>
                    <m:r>
                      <m:rPr>
                        <m:scr m:val="fraktur"/>
                      </m:rPr>
                      <w:rPr>
                        <w:rFonts w:ascii="Cambria Math" w:hAnsi="Cambria Math"/>
                        <w:sz w:val="18"/>
                        <w:szCs w:val="18"/>
                      </w:rPr>
                      <m:t>ℜ</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r>
                          <m:rPr>
                            <m:nor/>
                            <m:sty m:val="p"/>
                          </m:rPr>
                          <w:rPr>
                            <w:b w:val="0"/>
                            <w:i w:val="0"/>
                            <w:sz w:val="18"/>
                            <w:szCs w:val="18"/>
                          </w:rPr>
                          <m:t> </m:t>
                        </m:r>
                        <m:sSubSup>
                          <m:sSubSupPr>
                            <m:ctrlPr>
                              <w:rPr>
                                <w:rFonts w:ascii="Cambria Math" w:hAnsi="Cambria Math"/>
                                <w:i/>
                                <w:iCs/>
                                <w:sz w:val="18"/>
                                <w:szCs w:val="18"/>
                              </w:rPr>
                            </m:ctrlPr>
                          </m:sSubSup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up>
                            <m:r>
                              <m:rPr/>
                              <w:rPr>
                                <w:rFonts w:ascii="Cambria Math" w:hAnsi="Cambria Math"/>
                                <w:sz w:val="18"/>
                                <w:szCs w:val="18"/>
                              </w:rPr>
                              <m:t>∗</m:t>
                            </m:r>
                            <m:ctrlPr>
                              <w:rPr>
                                <w:rFonts w:ascii="Cambria Math" w:hAnsi="Cambria Math"/>
                                <w:i/>
                                <w:iCs/>
                                <w:sz w:val="18"/>
                                <w:szCs w:val="18"/>
                              </w:rPr>
                            </m:ctrlPr>
                          </m:sup>
                        </m:sSubSup>
                        <m:sSup>
                          <m:sSupPr>
                            <m:ctrlPr>
                              <w:rPr>
                                <w:rFonts w:ascii="Cambria Math" w:hAnsi="Cambria Math"/>
                                <w:i/>
                                <w:iCs/>
                                <w:sz w:val="18"/>
                                <w:szCs w:val="18"/>
                              </w:rPr>
                            </m:ctrlPr>
                          </m:sSupPr>
                          <m:e>
                            <m:r>
                              <m:rPr/>
                              <w:rPr>
                                <w:rFonts w:ascii="Cambria Math" w:hAnsi="Cambria Math"/>
                                <w:sz w:val="18"/>
                                <w:szCs w:val="18"/>
                              </w:rPr>
                              <m:t>e</m:t>
                            </m:r>
                            <m:ctrlPr>
                              <w:rPr>
                                <w:rFonts w:ascii="Cambria Math" w:hAnsi="Cambria Math"/>
                                <w:i/>
                                <w:iCs/>
                                <w:sz w:val="18"/>
                                <w:szCs w:val="18"/>
                              </w:rPr>
                            </m:ctrlPr>
                          </m:e>
                          <m:sup>
                            <m:r>
                              <m:rPr/>
                              <w:rPr>
                                <w:rFonts w:ascii="Cambria Math" w:hAnsi="Cambria Math"/>
                                <w:sz w:val="18"/>
                                <w:szCs w:val="18"/>
                              </w:rPr>
                              <m:t>−j2πϵ</m:t>
                            </m:r>
                            <m:r>
                              <m:rPr>
                                <m:sty m:val="p"/>
                              </m:rPr>
                              <w:rPr>
                                <w:rFonts w:ascii="Cambria Math" w:hAnsi="Cambria Math"/>
                                <w:sz w:val="18"/>
                                <w:szCs w:val="18"/>
                              </w:rPr>
                              <m:t>Δ</m:t>
                            </m:r>
                            <m:ctrlPr>
                              <w:rPr>
                                <w:rFonts w:ascii="Cambria Math" w:hAnsi="Cambria Math"/>
                                <w:i/>
                                <w:iCs/>
                                <w:sz w:val="18"/>
                                <w:szCs w:val="18"/>
                              </w:rPr>
                            </m:ctrlPr>
                          </m:sup>
                        </m:sSup>
                        <m:ctrlPr>
                          <w:rPr>
                            <w:rFonts w:ascii="Cambria Math" w:hAnsi="Cambria Math"/>
                            <w:i/>
                            <w:iCs/>
                            <w:sz w:val="18"/>
                            <w:szCs w:val="18"/>
                          </w:rPr>
                        </m:ctrlPr>
                      </m:e>
                    </m:d>
                    <m:ctrlPr>
                      <w:rPr>
                        <w:rFonts w:ascii="Cambria Math" w:hAnsi="Cambria Math"/>
                        <w:i/>
                        <w:iCs/>
                        <w:sz w:val="18"/>
                        <w:szCs w:val="18"/>
                      </w:rPr>
                    </m:ctrlPr>
                  </m:e>
                </m:func>
              </m:oMath>
            </m:oMathPara>
          </w:p>
          <w:p w14:paraId="2A305625">
            <w:pPr>
              <w:overflowPunct w:val="0"/>
              <w:autoSpaceDE w:val="0"/>
              <w:autoSpaceDN w:val="0"/>
              <w:adjustRightInd w:val="0"/>
              <w:spacing w:after="180"/>
              <w:textAlignment w:val="baseline"/>
              <w:rPr>
                <w:sz w:val="18"/>
                <w:szCs w:val="18"/>
              </w:rPr>
            </w:pPr>
            <w:r>
              <w:rPr>
                <w:sz w:val="18"/>
                <w:szCs w:val="18"/>
              </w:rPr>
              <w:t xml:space="preserve">where,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oMath>
            <w:r>
              <w:rPr>
                <w:sz w:val="18"/>
                <w:szCs w:val="18"/>
              </w:rPr>
              <w:t xml:space="preserve"> </w:t>
            </w:r>
            <m:oMath>
              <m:sSubSup>
                <m:sSubSupPr>
                  <m:ctrlPr>
                    <w:rPr>
                      <w:rFonts w:ascii="Cambria Math" w:hAnsi="Cambria Math"/>
                      <w:i/>
                      <w:iCs/>
                      <w:sz w:val="18"/>
                      <w:szCs w:val="18"/>
                    </w:rPr>
                  </m:ctrlPr>
                </m:sSubSup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up>
                  <m:r>
                    <m:rPr/>
                    <w:rPr>
                      <w:rFonts w:ascii="Cambria Math" w:hAnsi="Cambria Math"/>
                      <w:sz w:val="18"/>
                      <w:szCs w:val="18"/>
                    </w:rPr>
                    <m:t>∗</m:t>
                  </m:r>
                  <m:ctrlPr>
                    <w:rPr>
                      <w:rFonts w:ascii="Cambria Math" w:hAnsi="Cambria Math"/>
                      <w:i/>
                      <w:iCs/>
                      <w:sz w:val="18"/>
                      <w:szCs w:val="18"/>
                    </w:rPr>
                  </m:ctrlPr>
                </m:sup>
              </m:sSubSup>
              <m:r>
                <m:rP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oMath>
            <w:r>
              <w:rPr>
                <w:sz w:val="18"/>
                <w:szCs w:val="18"/>
              </w:rPr>
              <w:t xml:space="preserve"> and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Sub>
              <m:r>
                <m:rPr/>
                <w:rPr>
                  <w:rFonts w:ascii="Cambria Math" w:hAnsi="Cambria Math"/>
                  <w:sz w:val="18"/>
                  <w:szCs w:val="18"/>
                </w:rPr>
                <m:t> </m:t>
              </m:r>
            </m:oMath>
            <w:r>
              <w:rPr>
                <w:iCs/>
                <w:sz w:val="18"/>
                <w:szCs w:val="18"/>
              </w:rPr>
              <w:t xml:space="preserve">. </w:t>
            </w:r>
          </w:p>
          <w:p w14:paraId="4189A18B">
            <w:pPr>
              <w:overflowPunct w:val="0"/>
              <w:autoSpaceDE w:val="0"/>
              <w:autoSpaceDN w:val="0"/>
              <w:adjustRightInd w:val="0"/>
              <w:spacing w:after="180"/>
              <w:textAlignment w:val="baseline"/>
              <w:rPr>
                <w:sz w:val="18"/>
                <w:szCs w:val="18"/>
              </w:rPr>
            </w:pPr>
            <w:r>
              <w:rPr>
                <w:sz w:val="18"/>
                <w:szCs w:val="18"/>
              </w:rPr>
              <w:t>The estimation has a limited “pull-in range” since it can only estimate errors such that</w:t>
            </w:r>
          </w:p>
          <w:p w14:paraId="4A9D24B2">
            <w:pPr>
              <w:overflowPunct w:val="0"/>
              <w:autoSpaceDE w:val="0"/>
              <w:autoSpaceDN w:val="0"/>
              <w:adjustRightInd w:val="0"/>
              <w:spacing w:after="180"/>
              <w:textAlignment w:val="baseline"/>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m:rPr/>
                          <w:rPr>
                            <w:rFonts w:ascii="Cambria Math" w:hAnsi="Cambria Math"/>
                            <w:sz w:val="18"/>
                            <w:szCs w:val="18"/>
                          </w:rPr>
                          <m:t>ϵ</m:t>
                        </m:r>
                        <m:ctrlPr>
                          <w:rPr>
                            <w:rFonts w:ascii="Cambria Math" w:hAnsi="Cambria Math"/>
                            <w:i/>
                            <w:iCs/>
                            <w:sz w:val="18"/>
                            <w:szCs w:val="18"/>
                          </w:rPr>
                        </m:ctrlPr>
                      </m:e>
                    </m:acc>
                    <m:ctrlPr>
                      <w:rPr>
                        <w:rFonts w:ascii="Cambria Math" w:hAnsi="Cambria Math"/>
                        <w:i/>
                        <w:iCs/>
                        <w:sz w:val="18"/>
                        <w:szCs w:val="18"/>
                      </w:rPr>
                    </m:ctrlPr>
                  </m:e>
                </m:d>
                <m:r>
                  <m:rPr/>
                  <w:rPr>
                    <w:rFonts w:ascii="Cambria Math" w:hAnsi="Cambria Math"/>
                    <w:sz w:val="18"/>
                    <w:szCs w:val="18"/>
                  </w:rPr>
                  <m:t>≤</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2</m:t>
                    </m:r>
                    <m:r>
                      <m:rPr>
                        <m:sty m:val="p"/>
                      </m:rPr>
                      <w:rPr>
                        <w:rFonts w:ascii="Cambria Math" w:hAnsi="Cambria Math"/>
                        <w:sz w:val="18"/>
                        <w:szCs w:val="18"/>
                      </w:rPr>
                      <m:t>Δ</m:t>
                    </m:r>
                    <m:ctrlPr>
                      <w:rPr>
                        <w:rFonts w:ascii="Cambria Math" w:hAnsi="Cambria Math"/>
                        <w:i/>
                        <w:iCs/>
                        <w:sz w:val="18"/>
                        <w:szCs w:val="18"/>
                      </w:rPr>
                    </m:ctrlPr>
                  </m:den>
                </m:f>
              </m:oMath>
            </m:oMathPara>
          </w:p>
          <w:p w14:paraId="333FDF43">
            <w:pPr>
              <w:overflowPunct w:val="0"/>
              <w:autoSpaceDE w:val="0"/>
              <w:autoSpaceDN w:val="0"/>
              <w:adjustRightInd w:val="0"/>
              <w:spacing w:after="180"/>
              <w:textAlignment w:val="baseline"/>
              <w:rPr>
                <w:iCs/>
                <w:sz w:val="18"/>
                <w:szCs w:val="18"/>
              </w:rPr>
            </w:pPr>
            <w:r>
              <w:rPr>
                <w:sz w:val="18"/>
                <w:szCs w:val="18"/>
              </w:rPr>
              <w:t xml:space="preserve">Because the estimator cannot distinguish between </w:t>
            </w:r>
            <m:oMath>
              <m:r>
                <m:rPr/>
                <w:rPr>
                  <w:rFonts w:ascii="Cambria Math" w:hAnsi="Cambria Math"/>
                  <w:sz w:val="18"/>
                  <w:szCs w:val="18"/>
                </w:rPr>
                <m:t>ϵ</m:t>
              </m:r>
            </m:oMath>
            <w:r>
              <w:rPr>
                <w:sz w:val="18"/>
                <w:szCs w:val="18"/>
              </w:rPr>
              <w:t xml:space="preserve"> and </w:t>
            </w:r>
            <m:oMath>
              <m:r>
                <m:rPr/>
                <w:rPr>
                  <w:rFonts w:ascii="Cambria Math" w:hAnsi="Cambria Math"/>
                  <w:sz w:val="18"/>
                  <w:szCs w:val="18"/>
                </w:rPr>
                <m:t>ϵ±</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m:sty m:val="p"/>
                    </m:rPr>
                    <w:rPr>
                      <w:rFonts w:ascii="Cambria Math" w:hAnsi="Cambria Math"/>
                      <w:sz w:val="18"/>
                      <w:szCs w:val="18"/>
                    </w:rPr>
                    <m:t>Δ</m:t>
                  </m:r>
                  <m:ctrlPr>
                    <w:rPr>
                      <w:rFonts w:ascii="Cambria Math" w:hAnsi="Cambria Math"/>
                      <w:i/>
                      <w:iCs/>
                      <w:sz w:val="18"/>
                      <w:szCs w:val="18"/>
                    </w:rPr>
                  </m:ctrlPr>
                </m:den>
              </m:f>
            </m:oMath>
            <w:r>
              <w:rPr>
                <w:sz w:val="18"/>
                <w:szCs w:val="18"/>
              </w:rPr>
              <w:t xml:space="preserve"> due to the periodicity of the exponential </w:t>
            </w:r>
            <m:oMath>
              <m:sSup>
                <m:sSupPr>
                  <m:ctrlPr>
                    <w:rPr>
                      <w:rFonts w:ascii="Cambria Math" w:hAnsi="Cambria Math"/>
                      <w:i/>
                      <w:iCs/>
                      <w:sz w:val="18"/>
                      <w:szCs w:val="18"/>
                    </w:rPr>
                  </m:ctrlPr>
                </m:sSupPr>
                <m:e>
                  <m:r>
                    <m:rPr/>
                    <w:rPr>
                      <w:rFonts w:ascii="Cambria Math" w:hAnsi="Cambria Math"/>
                      <w:sz w:val="18"/>
                      <w:szCs w:val="18"/>
                    </w:rPr>
                    <m:t>e</m:t>
                  </m:r>
                  <m:ctrlPr>
                    <w:rPr>
                      <w:rFonts w:ascii="Cambria Math" w:hAnsi="Cambria Math"/>
                      <w:i/>
                      <w:iCs/>
                      <w:sz w:val="18"/>
                      <w:szCs w:val="18"/>
                    </w:rPr>
                  </m:ctrlPr>
                </m:e>
                <m:sup>
                  <m:r>
                    <m:rPr/>
                    <w:rPr>
                      <w:rFonts w:ascii="Cambria Math" w:hAnsi="Cambria Math"/>
                      <w:sz w:val="18"/>
                      <w:szCs w:val="18"/>
                    </w:rPr>
                    <m:t>−j2πϵ</m:t>
                  </m:r>
                  <m:r>
                    <m:rPr>
                      <m:sty m:val="p"/>
                    </m:rPr>
                    <w:rPr>
                      <w:rFonts w:ascii="Cambria Math" w:hAnsi="Cambria Math"/>
                      <w:sz w:val="18"/>
                      <w:szCs w:val="18"/>
                    </w:rPr>
                    <m:t>Δ</m:t>
                  </m:r>
                  <m:ctrlPr>
                    <w:rPr>
                      <w:rFonts w:ascii="Cambria Math" w:hAnsi="Cambria Math"/>
                      <w:i/>
                      <w:iCs/>
                      <w:sz w:val="18"/>
                      <w:szCs w:val="18"/>
                    </w:rPr>
                  </m:ctrlPr>
                </m:sup>
              </m:sSup>
            </m:oMath>
            <w:r>
              <w:rPr>
                <w:iCs/>
                <w:sz w:val="18"/>
                <w:szCs w:val="18"/>
              </w:rPr>
              <w:t xml:space="preserve">. In other words, inserting </w:t>
            </w:r>
            <m:oMath>
              <m:r>
                <m:rPr/>
                <w:rPr>
                  <w:rFonts w:ascii="Cambria Math" w:hAnsi="Cambria Math"/>
                  <w:sz w:val="18"/>
                  <w:szCs w:val="18"/>
                </w:rPr>
                <m:t>ϵ</m:t>
              </m:r>
            </m:oMath>
            <w:r>
              <w:rPr>
                <w:sz w:val="18"/>
                <w:szCs w:val="18"/>
              </w:rPr>
              <w:t xml:space="preserve"> and </w:t>
            </w:r>
            <m:oMath>
              <m:r>
                <m:rPr/>
                <w:rPr>
                  <w:rFonts w:ascii="Cambria Math" w:hAnsi="Cambria Math"/>
                  <w:sz w:val="18"/>
                  <w:szCs w:val="18"/>
                </w:rPr>
                <m:t>ϵ±</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m:sty m:val="p"/>
                    </m:rPr>
                    <w:rPr>
                      <w:rFonts w:ascii="Cambria Math" w:hAnsi="Cambria Math"/>
                      <w:sz w:val="18"/>
                      <w:szCs w:val="18"/>
                    </w:rPr>
                    <m:t>Δ</m:t>
                  </m:r>
                  <m:ctrlPr>
                    <w:rPr>
                      <w:rFonts w:ascii="Cambria Math" w:hAnsi="Cambria Math"/>
                      <w:i/>
                      <w:iCs/>
                      <w:sz w:val="18"/>
                      <w:szCs w:val="18"/>
                    </w:rPr>
                  </m:ctrlPr>
                </m:den>
              </m:f>
            </m:oMath>
            <w:r>
              <w:rPr>
                <w:iCs/>
                <w:sz w:val="18"/>
                <w:szCs w:val="18"/>
              </w:rPr>
              <w:t xml:space="preserve"> into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r>
                <m:rPr>
                  <m:nor/>
                  <m:sty m:val="p"/>
                </m:rPr>
                <w:rPr>
                  <w:b w:val="0"/>
                  <w:i w:val="0"/>
                  <w:sz w:val="18"/>
                  <w:szCs w:val="18"/>
                </w:rPr>
                <m:t> </m:t>
              </m:r>
              <m:sSubSup>
                <m:sSubSupPr>
                  <m:ctrlPr>
                    <w:rPr>
                      <w:rFonts w:ascii="Cambria Math" w:hAnsi="Cambria Math"/>
                      <w:i/>
                      <w:iCs/>
                      <w:sz w:val="18"/>
                      <w:szCs w:val="18"/>
                    </w:rPr>
                  </m:ctrlPr>
                </m:sSubSup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up>
                  <m:r>
                    <m:rPr/>
                    <w:rPr>
                      <w:rFonts w:ascii="Cambria Math" w:hAnsi="Cambria Math"/>
                      <w:sz w:val="18"/>
                      <w:szCs w:val="18"/>
                    </w:rPr>
                    <m:t>∗</m:t>
                  </m:r>
                  <m:ctrlPr>
                    <w:rPr>
                      <w:rFonts w:ascii="Cambria Math" w:hAnsi="Cambria Math"/>
                      <w:i/>
                      <w:iCs/>
                      <w:sz w:val="18"/>
                      <w:szCs w:val="18"/>
                    </w:rPr>
                  </m:ctrlPr>
                </m:sup>
              </m:sSubSup>
              <m:sSup>
                <m:sSupPr>
                  <m:ctrlPr>
                    <w:rPr>
                      <w:rFonts w:ascii="Cambria Math" w:hAnsi="Cambria Math"/>
                      <w:i/>
                      <w:iCs/>
                      <w:sz w:val="18"/>
                      <w:szCs w:val="18"/>
                    </w:rPr>
                  </m:ctrlPr>
                </m:sSupPr>
                <m:e>
                  <m:r>
                    <m:rPr/>
                    <w:rPr>
                      <w:rFonts w:ascii="Cambria Math" w:hAnsi="Cambria Math"/>
                      <w:sz w:val="18"/>
                      <w:szCs w:val="18"/>
                    </w:rPr>
                    <m:t>e</m:t>
                  </m:r>
                  <m:ctrlPr>
                    <w:rPr>
                      <w:rFonts w:ascii="Cambria Math" w:hAnsi="Cambria Math"/>
                      <w:i/>
                      <w:iCs/>
                      <w:sz w:val="18"/>
                      <w:szCs w:val="18"/>
                    </w:rPr>
                  </m:ctrlPr>
                </m:e>
                <m:sup>
                  <m:r>
                    <m:rPr/>
                    <w:rPr>
                      <w:rFonts w:ascii="Cambria Math" w:hAnsi="Cambria Math"/>
                      <w:sz w:val="18"/>
                      <w:szCs w:val="18"/>
                    </w:rPr>
                    <m:t>−j2πϵ</m:t>
                  </m:r>
                  <m:r>
                    <m:rPr>
                      <m:sty m:val="p"/>
                    </m:rPr>
                    <w:rPr>
                      <w:rFonts w:ascii="Cambria Math" w:hAnsi="Cambria Math"/>
                      <w:sz w:val="18"/>
                      <w:szCs w:val="18"/>
                    </w:rPr>
                    <m:t>Δ</m:t>
                  </m:r>
                  <m:ctrlPr>
                    <w:rPr>
                      <w:rFonts w:ascii="Cambria Math" w:hAnsi="Cambria Math"/>
                      <w:i/>
                      <w:iCs/>
                      <w:sz w:val="18"/>
                      <w:szCs w:val="18"/>
                    </w:rPr>
                  </m:ctrlPr>
                </m:sup>
              </m:sSup>
            </m:oMath>
            <w:r>
              <w:rPr>
                <w:iCs/>
                <w:sz w:val="18"/>
                <w:szCs w:val="18"/>
              </w:rPr>
              <w:t xml:space="preserve"> will generate the same detection metric outcome.  </w:t>
            </w:r>
          </w:p>
          <w:p w14:paraId="35C5B8A9">
            <w:pPr>
              <w:overflowPunct w:val="0"/>
              <w:autoSpaceDE w:val="0"/>
              <w:autoSpaceDN w:val="0"/>
              <w:adjustRightInd w:val="0"/>
              <w:spacing w:after="180"/>
              <w:textAlignment w:val="baseline"/>
              <w:rPr>
                <w:iCs/>
                <w:sz w:val="18"/>
                <w:szCs w:val="18"/>
              </w:rPr>
            </w:pPr>
            <w:r>
              <w:rPr>
                <w:iCs/>
                <w:sz w:val="18"/>
                <w:szCs w:val="18"/>
              </w:rPr>
              <w:t xml:space="preserve">Now, extending the ML estimator to a scenario of M (&gt;2) TRS pilots on </w:t>
            </w:r>
            <m:oMath>
              <m:r>
                <m:rP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r>
                <m:rPr/>
                <w:rPr>
                  <w:rFonts w:ascii="Cambria Math" w:hAnsi="Cambria Math"/>
                  <w:sz w:val="18"/>
                  <w:szCs w:val="18"/>
                </w:rPr>
                <m:t>,</m:t>
              </m:r>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Sub>
              <m:r>
                <m:rPr/>
                <w:rPr>
                  <w:rFonts w:ascii="Cambria Math" w:hAnsi="Cambria Math"/>
                  <w:sz w:val="18"/>
                  <w:szCs w:val="18"/>
                </w:rPr>
                <m:t>, …, </m:t>
              </m:r>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M−1</m:t>
                  </m:r>
                  <m:ctrlPr>
                    <w:rPr>
                      <w:rFonts w:ascii="Cambria Math" w:hAnsi="Cambria Math"/>
                      <w:i/>
                      <w:iCs/>
                      <w:sz w:val="18"/>
                      <w:szCs w:val="18"/>
                    </w:rPr>
                  </m:ctrlPr>
                </m:sub>
              </m:sSub>
            </m:oMath>
            <w:r>
              <w:rPr>
                <w:iCs/>
                <w:sz w:val="18"/>
                <w:szCs w:val="18"/>
              </w:rPr>
              <w:t xml:space="preserve">, the estimator is the following </w:t>
            </w:r>
          </w:p>
          <w:p w14:paraId="79ADE88A">
            <w:pPr>
              <w:overflowPunct w:val="0"/>
              <w:autoSpaceDE w:val="0"/>
              <w:autoSpaceDN w:val="0"/>
              <w:adjustRightInd w:val="0"/>
              <w:spacing w:after="180"/>
              <w:textAlignment w:val="baseline"/>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m:rPr/>
                          <w:rPr>
                            <w:rFonts w:ascii="Cambria Math" w:hAnsi="Cambria Math"/>
                            <w:sz w:val="18"/>
                            <w:szCs w:val="18"/>
                          </w:rPr>
                          <m:t>ϵ</m:t>
                        </m:r>
                        <m:ctrlPr>
                          <w:rPr>
                            <w:rFonts w:ascii="Cambria Math" w:hAnsi="Cambria Math"/>
                            <w:i/>
                            <w:iCs/>
                            <w:sz w:val="18"/>
                            <w:szCs w:val="18"/>
                          </w:rPr>
                        </m:ctrlPr>
                      </m:e>
                    </m:acc>
                    <m:ctrlPr>
                      <w:rPr>
                        <w:rFonts w:ascii="Cambria Math" w:hAnsi="Cambria Math"/>
                        <w:i/>
                        <w:iCs/>
                        <w:sz w:val="18"/>
                        <w:szCs w:val="18"/>
                      </w:rPr>
                    </m:ctrlPr>
                  </m:e>
                  <m:sub>
                    <m:r>
                      <m:rPr/>
                      <w:rPr>
                        <w:rFonts w:ascii="Cambria Math" w:hAnsi="Cambria Math"/>
                        <w:sz w:val="18"/>
                        <w:szCs w:val="18"/>
                      </w:rPr>
                      <m:t>new</m:t>
                    </m:r>
                    <m:ctrlPr>
                      <w:rPr>
                        <w:rFonts w:ascii="Cambria Math" w:hAnsi="Cambria Math"/>
                        <w:i/>
                        <w:iCs/>
                        <w:sz w:val="18"/>
                        <w:szCs w:val="18"/>
                      </w:rPr>
                    </m:ctrlPr>
                  </m:sub>
                </m:sSub>
                <m:r>
                  <m:rP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ctrlPr>
                          <w:rPr>
                            <w:rFonts w:ascii="Cambria Math" w:hAnsi="Cambria Math"/>
                            <w:i/>
                            <w:iCs/>
                            <w:sz w:val="18"/>
                            <w:szCs w:val="18"/>
                          </w:rPr>
                        </m:ctrlPr>
                      </m:e>
                      <m:lim>
                        <m:r>
                          <m:rPr/>
                          <w:rPr>
                            <w:rFonts w:ascii="Cambria Math" w:hAnsi="Cambria Math"/>
                            <w:sz w:val="18"/>
                            <w:szCs w:val="18"/>
                          </w:rPr>
                          <m:t>ϵ</m:t>
                        </m:r>
                        <m:ctrlPr>
                          <w:rPr>
                            <w:rFonts w:ascii="Cambria Math" w:hAnsi="Cambria Math"/>
                            <w:i/>
                            <w:iCs/>
                            <w:sz w:val="18"/>
                            <w:szCs w:val="18"/>
                          </w:rPr>
                        </m:ctrlPr>
                      </m:lim>
                    </m:limLow>
                    <m:ctrlPr>
                      <w:rPr>
                        <w:rFonts w:ascii="Cambria Math" w:hAnsi="Cambria Math"/>
                        <w:i/>
                        <w:iCs/>
                        <w:sz w:val="18"/>
                        <w:szCs w:val="18"/>
                      </w:rPr>
                    </m:ctrlPr>
                  </m:fName>
                  <m:e>
                    <m:r>
                      <m:rPr>
                        <m:scr m:val="fraktur"/>
                      </m:rPr>
                      <w:rPr>
                        <w:rFonts w:ascii="Cambria Math" w:hAnsi="Cambria Math"/>
                        <w:sz w:val="18"/>
                        <w:szCs w:val="18"/>
                      </w:rPr>
                      <m:t>ℜ</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m:rPr/>
                              <w:rPr>
                                <w:rFonts w:ascii="Cambria Math" w:hAnsi="Cambria Math"/>
                                <w:sz w:val="18"/>
                                <w:szCs w:val="18"/>
                              </w:rPr>
                              <m:t>j,k∈S</m:t>
                            </m:r>
                            <m:ctrlPr>
                              <w:rPr>
                                <w:rFonts w:ascii="Cambria Math" w:hAnsi="Cambria Math"/>
                                <w:i/>
                                <w:iCs/>
                                <w:sz w:val="18"/>
                                <w:szCs w:val="18"/>
                              </w:rPr>
                            </m:ctrlPr>
                          </m:sub>
                          <m:sup>
                            <m:ctrlPr>
                              <w:rPr>
                                <w:rFonts w:ascii="Cambria Math" w:hAnsi="Cambria Math"/>
                                <w:i/>
                                <w:iCs/>
                                <w:sz w:val="18"/>
                                <w:szCs w:val="18"/>
                              </w:rPr>
                            </m:ctrlPr>
                          </m:sup>
                          <m:e>
                            <m:sSub>
                              <m:sSubPr>
                                <m:ctrlPr>
                                  <w:rPr>
                                    <w:rFonts w:ascii="Cambria Math" w:hAnsi="Cambria Math"/>
                                    <w:i/>
                                    <w:iCs/>
                                    <w:sz w:val="18"/>
                                    <w:szCs w:val="18"/>
                                  </w:rPr>
                                </m:ctrlPr>
                              </m:sSubPr>
                              <m:e>
                                <m:r>
                                  <m:rPr/>
                                  <w:rPr>
                                    <w:rFonts w:ascii="Cambria Math" w:hAnsi="Cambria Math"/>
                                    <w:sz w:val="18"/>
                                    <w:szCs w:val="18"/>
                                  </w:rPr>
                                  <m:t>w</m:t>
                                </m:r>
                                <m:ctrlPr>
                                  <w:rPr>
                                    <w:rFonts w:ascii="Cambria Math" w:hAnsi="Cambria Math"/>
                                    <w:i/>
                                    <w:iCs/>
                                    <w:sz w:val="18"/>
                                    <w:szCs w:val="18"/>
                                  </w:rPr>
                                </m:ctrlPr>
                              </m:e>
                              <m:sub>
                                <m:r>
                                  <m:rPr/>
                                  <w:rPr>
                                    <w:rFonts w:ascii="Cambria Math" w:hAnsi="Cambria Math"/>
                                    <w:sz w:val="18"/>
                                    <w:szCs w:val="18"/>
                                  </w:rPr>
                                  <m:t>j,k </m:t>
                                </m:r>
                                <m:ctrlPr>
                                  <w:rPr>
                                    <w:rFonts w:ascii="Cambria Math" w:hAnsi="Cambria Math"/>
                                    <w:i/>
                                    <w:iCs/>
                                    <w:sz w:val="18"/>
                                    <w:szCs w:val="18"/>
                                  </w:rPr>
                                </m:ctrlPr>
                              </m:sub>
                            </m:sSub>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j</m:t>
                                </m:r>
                                <m:ctrlPr>
                                  <w:rPr>
                                    <w:rFonts w:ascii="Cambria Math" w:hAnsi="Cambria Math"/>
                                    <w:i/>
                                    <w:iCs/>
                                    <w:sz w:val="18"/>
                                    <w:szCs w:val="18"/>
                                  </w:rPr>
                                </m:ctrlPr>
                              </m:sub>
                            </m:sSub>
                            <m:sSubSup>
                              <m:sSubSupPr>
                                <m:ctrlPr>
                                  <w:rPr>
                                    <w:rFonts w:ascii="Cambria Math" w:hAnsi="Cambria Math"/>
                                    <w:i/>
                                    <w:iCs/>
                                    <w:sz w:val="18"/>
                                    <w:szCs w:val="18"/>
                                  </w:rPr>
                                </m:ctrlPr>
                              </m:sSubSup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k</m:t>
                                </m:r>
                                <m:ctrlPr>
                                  <w:rPr>
                                    <w:rFonts w:ascii="Cambria Math" w:hAnsi="Cambria Math"/>
                                    <w:i/>
                                    <w:iCs/>
                                    <w:sz w:val="18"/>
                                    <w:szCs w:val="18"/>
                                  </w:rPr>
                                </m:ctrlPr>
                              </m:sub>
                              <m:sup>
                                <m:r>
                                  <m:rPr/>
                                  <w:rPr>
                                    <w:rFonts w:ascii="Cambria Math" w:hAnsi="Cambria Math"/>
                                    <w:sz w:val="18"/>
                                    <w:szCs w:val="18"/>
                                  </w:rPr>
                                  <m:t>∗</m:t>
                                </m:r>
                                <m:ctrlPr>
                                  <w:rPr>
                                    <w:rFonts w:ascii="Cambria Math" w:hAnsi="Cambria Math"/>
                                    <w:i/>
                                    <w:iCs/>
                                    <w:sz w:val="18"/>
                                    <w:szCs w:val="18"/>
                                  </w:rPr>
                                </m:ctrlPr>
                              </m:sup>
                            </m:sSubSup>
                            <m:r>
                              <m:rPr/>
                              <w:rPr>
                                <w:rFonts w:ascii="Cambria Math" w:hAnsi="Cambria Math"/>
                                <w:sz w:val="18"/>
                                <w:szCs w:val="18"/>
                              </w:rPr>
                              <m:t> </m:t>
                            </m:r>
                            <m:sSup>
                              <m:sSupPr>
                                <m:ctrlPr>
                                  <w:rPr>
                                    <w:rFonts w:ascii="Cambria Math" w:hAnsi="Cambria Math"/>
                                    <w:i/>
                                    <w:iCs/>
                                    <w:sz w:val="18"/>
                                    <w:szCs w:val="18"/>
                                  </w:rPr>
                                </m:ctrlPr>
                              </m:sSupPr>
                              <m:e>
                                <m:r>
                                  <m:rPr/>
                                  <w:rPr>
                                    <w:rFonts w:ascii="Cambria Math" w:hAnsi="Cambria Math"/>
                                    <w:sz w:val="18"/>
                                    <w:szCs w:val="18"/>
                                  </w:rPr>
                                  <m:t>e</m:t>
                                </m:r>
                                <m:ctrlPr>
                                  <w:rPr>
                                    <w:rFonts w:ascii="Cambria Math" w:hAnsi="Cambria Math"/>
                                    <w:i/>
                                    <w:iCs/>
                                    <w:sz w:val="18"/>
                                    <w:szCs w:val="18"/>
                                  </w:rPr>
                                </m:ctrlPr>
                              </m:e>
                              <m:sup>
                                <m:r>
                                  <m:rP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sup>
                            </m:sSup>
                            <m:ctrlPr>
                              <w:rPr>
                                <w:rFonts w:ascii="Cambria Math" w:hAnsi="Cambria Math"/>
                                <w:i/>
                                <w:iCs/>
                                <w:sz w:val="18"/>
                                <w:szCs w:val="18"/>
                              </w:rPr>
                            </m:ctrlPr>
                          </m:e>
                        </m:nary>
                        <m:ctrlPr>
                          <w:rPr>
                            <w:rFonts w:ascii="Cambria Math" w:hAnsi="Cambria Math"/>
                            <w:i/>
                            <w:iCs/>
                            <w:sz w:val="18"/>
                            <w:szCs w:val="18"/>
                          </w:rPr>
                        </m:ctrlPr>
                      </m:e>
                    </m:d>
                    <m:ctrlPr>
                      <w:rPr>
                        <w:rFonts w:ascii="Cambria Math" w:hAnsi="Cambria Math"/>
                        <w:i/>
                        <w:iCs/>
                        <w:sz w:val="18"/>
                        <w:szCs w:val="18"/>
                      </w:rPr>
                    </m:ctrlPr>
                  </m:e>
                </m:func>
              </m:oMath>
            </m:oMathPara>
          </w:p>
          <w:p w14:paraId="6CDB3D7E">
            <w:pPr>
              <w:overflowPunct w:val="0"/>
              <w:autoSpaceDE w:val="0"/>
              <w:autoSpaceDN w:val="0"/>
              <w:adjustRightInd w:val="0"/>
              <w:spacing w:after="180"/>
              <w:jc w:val="both"/>
              <w:textAlignment w:val="baseline"/>
              <w:rPr>
                <w:sz w:val="18"/>
                <w:szCs w:val="18"/>
              </w:rPr>
            </w:pPr>
            <w:r>
              <w:rPr>
                <w:iCs/>
                <w:sz w:val="18"/>
                <w:szCs w:val="18"/>
              </w:rPr>
              <w:t xml:space="preserve">where </w:t>
            </w:r>
            <m:oMath>
              <m:r>
                <m:rPr/>
                <w:rPr>
                  <w:rFonts w:ascii="Cambria Math" w:hAnsi="Cambria Math"/>
                  <w:sz w:val="18"/>
                  <w:szCs w:val="18"/>
                </w:rPr>
                <m:t>S={</m:t>
              </m:r>
              <m:d>
                <m:dPr>
                  <m:ctrlPr>
                    <w:rPr>
                      <w:rFonts w:ascii="Cambria Math" w:hAnsi="Cambria Math"/>
                      <w:i/>
                      <w:iCs/>
                      <w:sz w:val="18"/>
                      <w:szCs w:val="18"/>
                    </w:rPr>
                  </m:ctrlPr>
                </m:dPr>
                <m:e>
                  <m:r>
                    <m:rPr/>
                    <w:rPr>
                      <w:rFonts w:ascii="Cambria Math" w:hAnsi="Cambria Math"/>
                      <w:sz w:val="18"/>
                      <w:szCs w:val="18"/>
                    </w:rPr>
                    <m:t>j,k</m:t>
                  </m:r>
                  <m:ctrlPr>
                    <w:rPr>
                      <w:rFonts w:ascii="Cambria Math" w:hAnsi="Cambria Math"/>
                      <w:i/>
                      <w:iCs/>
                      <w:sz w:val="18"/>
                      <w:szCs w:val="18"/>
                    </w:rPr>
                  </m:ctrlPr>
                </m:e>
              </m:d>
              <m:r>
                <m:rP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m:rPr/>
                    <w:rPr>
                      <w:rFonts w:ascii="Cambria Math" w:hAnsi="Cambria Math"/>
                      <w:sz w:val="18"/>
                      <w:szCs w:val="18"/>
                    </w:rPr>
                    <m:t>1,2,…,M</m:t>
                  </m:r>
                  <m:ctrlPr>
                    <w:rPr>
                      <w:rFonts w:ascii="Cambria Math" w:hAnsi="Cambria Math"/>
                      <w:i/>
                      <w:iCs/>
                      <w:sz w:val="18"/>
                      <w:szCs w:val="18"/>
                    </w:rPr>
                  </m:ctrlP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oMath>
            <w:r>
              <w:rPr>
                <w:sz w:val="18"/>
                <w:szCs w:val="18"/>
              </w:rPr>
              <w:t xml:space="preserve"> is the time difference between the symbols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j</m:t>
                  </m:r>
                  <m:ctrlPr>
                    <w:rPr>
                      <w:rFonts w:ascii="Cambria Math" w:hAnsi="Cambria Math"/>
                      <w:i/>
                      <w:iCs/>
                      <w:sz w:val="18"/>
                      <w:szCs w:val="18"/>
                    </w:rPr>
                  </m:ctrlPr>
                </m:sub>
              </m:sSub>
              <m:r>
                <m:rPr/>
                <w:rPr>
                  <w:rFonts w:ascii="Cambria Math" w:hAnsi="Cambria Math"/>
                  <w:sz w:val="18"/>
                  <w:szCs w:val="18"/>
                </w:rPr>
                <m:t>,</m:t>
              </m:r>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k</m:t>
                  </m:r>
                  <m:ctrlPr>
                    <w:rPr>
                      <w:rFonts w:ascii="Cambria Math" w:hAnsi="Cambria Math"/>
                      <w:i/>
                      <w:iCs/>
                      <w:sz w:val="18"/>
                      <w:szCs w:val="18"/>
                    </w:rPr>
                  </m:ctrlPr>
                </m:sub>
              </m:sSub>
            </m:oMath>
            <w:r>
              <w:rPr>
                <w:sz w:val="18"/>
                <w:szCs w:val="18"/>
              </w:rPr>
              <w:t xml:space="preserve">. </w:t>
            </w:r>
            <m:oMath>
              <m:sSub>
                <m:sSubPr>
                  <m:ctrlPr>
                    <w:rPr>
                      <w:rFonts w:ascii="Cambria Math" w:hAnsi="Cambria Math"/>
                      <w:i/>
                      <w:iCs/>
                      <w:sz w:val="18"/>
                      <w:szCs w:val="18"/>
                    </w:rPr>
                  </m:ctrlPr>
                </m:sSubPr>
                <m:e>
                  <m:r>
                    <m:rPr/>
                    <w:rPr>
                      <w:rFonts w:ascii="Cambria Math" w:hAnsi="Cambria Math"/>
                      <w:sz w:val="18"/>
                      <w:szCs w:val="18"/>
                    </w:rPr>
                    <m:t>w</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r>
                <m:rPr/>
                <w:rPr>
                  <w:rFonts w:ascii="Cambria Math" w:hAnsi="Cambria Math"/>
                  <w:sz w:val="18"/>
                  <w:szCs w:val="18"/>
                </w:rPr>
                <m:t>'s</m:t>
              </m:r>
            </m:oMath>
            <w:r>
              <w:rPr>
                <w:sz w:val="18"/>
                <w:szCs w:val="18"/>
              </w:rPr>
              <w:t xml:space="preserve"> are the linear combining weights.</w:t>
            </w:r>
          </w:p>
          <w:p w14:paraId="7356EDD8">
            <w:pPr>
              <w:overflowPunct w:val="0"/>
              <w:autoSpaceDE w:val="0"/>
              <w:autoSpaceDN w:val="0"/>
              <w:adjustRightInd w:val="0"/>
              <w:spacing w:after="180"/>
              <w:textAlignment w:val="baseline"/>
              <w:rPr>
                <w:sz w:val="18"/>
                <w:szCs w:val="18"/>
              </w:rPr>
            </w:pPr>
            <w:r>
              <w:rPr>
                <w:sz w:val="18"/>
                <w:szCs w:val="18"/>
              </w:rPr>
              <w:t xml:space="preserve">With the above estimator, one can see that the estimator cannot distinguish between </w:t>
            </w:r>
            <m:oMath>
              <m:r>
                <m:rPr/>
                <w:rPr>
                  <w:rFonts w:ascii="Cambria Math" w:hAnsi="Cambria Math"/>
                  <w:sz w:val="18"/>
                  <w:szCs w:val="18"/>
                </w:rPr>
                <m:t>ϵ</m:t>
              </m:r>
            </m:oMath>
            <w:r>
              <w:rPr>
                <w:iCs/>
                <w:sz w:val="18"/>
                <w:szCs w:val="18"/>
              </w:rPr>
              <w:t xml:space="preserve"> and </w:t>
            </w:r>
            <m:oMath>
              <m:r>
                <m:rPr/>
                <w:rPr>
                  <w:rFonts w:ascii="Cambria Math" w:hAnsi="Cambria Math"/>
                  <w:sz w:val="18"/>
                  <w:szCs w:val="18"/>
                </w:rPr>
                <m:t>ϵ±</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e>
                      </m:d>
                      <m:ctrlPr>
                        <w:rPr>
                          <w:rFonts w:ascii="Cambria Math" w:hAnsi="Cambria Math"/>
                          <w:i/>
                          <w:iCs/>
                          <w:sz w:val="18"/>
                          <w:szCs w:val="18"/>
                        </w:rPr>
                      </m:ctrlPr>
                    </m:e>
                  </m:func>
                  <m:ctrlPr>
                    <w:rPr>
                      <w:rFonts w:ascii="Cambria Math" w:hAnsi="Cambria Math"/>
                      <w:i/>
                      <w:iCs/>
                      <w:sz w:val="18"/>
                      <w:szCs w:val="18"/>
                    </w:rPr>
                  </m:ctrlPr>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m:rPr/>
                    <w:rPr>
                      <w:rFonts w:ascii="Cambria Math" w:hAnsi="Cambria Math"/>
                      <w:sz w:val="18"/>
                      <w:szCs w:val="18"/>
                    </w:rPr>
                    <m:t>j,k∈S</m:t>
                  </m:r>
                  <m:ctrlPr>
                    <w:rPr>
                      <w:rFonts w:ascii="Cambria Math" w:hAnsi="Cambria Math"/>
                      <w:i/>
                      <w:iCs/>
                      <w:sz w:val="18"/>
                      <w:szCs w:val="18"/>
                    </w:rPr>
                  </m:ctrlPr>
                </m:sub>
                <m:sup>
                  <m:ctrlPr>
                    <w:rPr>
                      <w:rFonts w:ascii="Cambria Math" w:hAnsi="Cambria Math"/>
                      <w:i/>
                      <w:iCs/>
                      <w:sz w:val="18"/>
                      <w:szCs w:val="18"/>
                    </w:rPr>
                  </m:ctrlPr>
                </m:sup>
                <m:e>
                  <m:sSub>
                    <m:sSubPr>
                      <m:ctrlPr>
                        <w:rPr>
                          <w:rFonts w:ascii="Cambria Math" w:hAnsi="Cambria Math"/>
                          <w:i/>
                          <w:iCs/>
                          <w:sz w:val="18"/>
                          <w:szCs w:val="18"/>
                        </w:rPr>
                      </m:ctrlPr>
                    </m:sSubPr>
                    <m:e>
                      <m:r>
                        <m:rPr/>
                        <w:rPr>
                          <w:rFonts w:ascii="Cambria Math" w:hAnsi="Cambria Math"/>
                          <w:sz w:val="18"/>
                          <w:szCs w:val="18"/>
                        </w:rPr>
                        <m:t>w</m:t>
                      </m:r>
                      <m:ctrlPr>
                        <w:rPr>
                          <w:rFonts w:ascii="Cambria Math" w:hAnsi="Cambria Math"/>
                          <w:i/>
                          <w:iCs/>
                          <w:sz w:val="18"/>
                          <w:szCs w:val="18"/>
                        </w:rPr>
                      </m:ctrlPr>
                    </m:e>
                    <m:sub>
                      <m:r>
                        <m:rPr/>
                        <w:rPr>
                          <w:rFonts w:ascii="Cambria Math" w:hAnsi="Cambria Math"/>
                          <w:sz w:val="18"/>
                          <w:szCs w:val="18"/>
                        </w:rPr>
                        <m:t>j,k </m:t>
                      </m:r>
                      <m:ctrlPr>
                        <w:rPr>
                          <w:rFonts w:ascii="Cambria Math" w:hAnsi="Cambria Math"/>
                          <w:i/>
                          <w:iCs/>
                          <w:sz w:val="18"/>
                          <w:szCs w:val="18"/>
                        </w:rPr>
                      </m:ctrlPr>
                    </m:sub>
                  </m:sSub>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j</m:t>
                      </m:r>
                      <m:ctrlPr>
                        <w:rPr>
                          <w:rFonts w:ascii="Cambria Math" w:hAnsi="Cambria Math"/>
                          <w:i/>
                          <w:iCs/>
                          <w:sz w:val="18"/>
                          <w:szCs w:val="18"/>
                        </w:rPr>
                      </m:ctrlPr>
                    </m:sub>
                  </m:sSub>
                  <m:sSubSup>
                    <m:sSubSupPr>
                      <m:ctrlPr>
                        <w:rPr>
                          <w:rFonts w:ascii="Cambria Math" w:hAnsi="Cambria Math"/>
                          <w:i/>
                          <w:iCs/>
                          <w:sz w:val="18"/>
                          <w:szCs w:val="18"/>
                        </w:rPr>
                      </m:ctrlPr>
                    </m:sSubSup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k</m:t>
                      </m:r>
                      <m:ctrlPr>
                        <w:rPr>
                          <w:rFonts w:ascii="Cambria Math" w:hAnsi="Cambria Math"/>
                          <w:i/>
                          <w:iCs/>
                          <w:sz w:val="18"/>
                          <w:szCs w:val="18"/>
                        </w:rPr>
                      </m:ctrlPr>
                    </m:sub>
                    <m:sup>
                      <m:r>
                        <m:rPr/>
                        <w:rPr>
                          <w:rFonts w:ascii="Cambria Math" w:hAnsi="Cambria Math"/>
                          <w:sz w:val="18"/>
                          <w:szCs w:val="18"/>
                        </w:rPr>
                        <m:t>∗</m:t>
                      </m:r>
                      <m:ctrlPr>
                        <w:rPr>
                          <w:rFonts w:ascii="Cambria Math" w:hAnsi="Cambria Math"/>
                          <w:i/>
                          <w:iCs/>
                          <w:sz w:val="18"/>
                          <w:szCs w:val="18"/>
                        </w:rPr>
                      </m:ctrlPr>
                    </m:sup>
                  </m:sSubSup>
                  <m:r>
                    <m:rPr/>
                    <w:rPr>
                      <w:rFonts w:ascii="Cambria Math" w:hAnsi="Cambria Math"/>
                      <w:sz w:val="18"/>
                      <w:szCs w:val="18"/>
                    </w:rPr>
                    <m:t> </m:t>
                  </m:r>
                  <m:sSup>
                    <m:sSupPr>
                      <m:ctrlPr>
                        <w:rPr>
                          <w:rFonts w:ascii="Cambria Math" w:hAnsi="Cambria Math"/>
                          <w:i/>
                          <w:iCs/>
                          <w:sz w:val="18"/>
                          <w:szCs w:val="18"/>
                        </w:rPr>
                      </m:ctrlPr>
                    </m:sSupPr>
                    <m:e>
                      <m:r>
                        <m:rPr/>
                        <w:rPr>
                          <w:rFonts w:ascii="Cambria Math" w:hAnsi="Cambria Math"/>
                          <w:sz w:val="18"/>
                          <w:szCs w:val="18"/>
                        </w:rPr>
                        <m:t>e</m:t>
                      </m:r>
                      <m:ctrlPr>
                        <w:rPr>
                          <w:rFonts w:ascii="Cambria Math" w:hAnsi="Cambria Math"/>
                          <w:i/>
                          <w:iCs/>
                          <w:sz w:val="18"/>
                          <w:szCs w:val="18"/>
                        </w:rPr>
                      </m:ctrlPr>
                    </m:e>
                    <m:sup>
                      <m:r>
                        <m:rP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sup>
                  </m:sSup>
                  <m:ctrlPr>
                    <w:rPr>
                      <w:rFonts w:ascii="Cambria Math" w:hAnsi="Cambria Math"/>
                      <w:i/>
                      <w:iCs/>
                      <w:sz w:val="18"/>
                      <w:szCs w:val="18"/>
                    </w:rPr>
                  </m:ctrlPr>
                </m:e>
              </m:nary>
            </m:oMath>
            <w:r>
              <w:rPr>
                <w:iCs/>
                <w:sz w:val="18"/>
                <w:szCs w:val="18"/>
              </w:rPr>
              <w:t>.</w:t>
            </w:r>
          </w:p>
          <w:p w14:paraId="368FAFAC">
            <w:pPr>
              <w:overflowPunct w:val="0"/>
              <w:autoSpaceDE w:val="0"/>
              <w:autoSpaceDN w:val="0"/>
              <w:adjustRightInd w:val="0"/>
              <w:spacing w:after="180"/>
              <w:textAlignment w:val="baseline"/>
              <w:rPr>
                <w:iCs/>
                <w:sz w:val="18"/>
                <w:szCs w:val="18"/>
              </w:rPr>
            </w:pPr>
            <w:r>
              <w:rPr>
                <w:sz w:val="18"/>
                <w:szCs w:val="18"/>
              </w:rPr>
              <w:t xml:space="preserve">Now, with the establishment of </w:t>
            </w:r>
            <m:oMath>
              <m:sSub>
                <m:sSubPr>
                  <m:ctrlPr>
                    <w:rPr>
                      <w:rFonts w:ascii="Cambria Math" w:hAnsi="Cambria Math"/>
                      <w:i/>
                      <w:iCs/>
                      <w:sz w:val="18"/>
                      <w:szCs w:val="18"/>
                    </w:rPr>
                  </m:ctrlPr>
                </m:sSubPr>
                <m:e>
                  <m:r>
                    <m:rPr/>
                    <w:rPr>
                      <w:rFonts w:ascii="Cambria Math" w:hAnsi="Cambria Math"/>
                      <w:sz w:val="18"/>
                      <w:szCs w:val="18"/>
                    </w:rPr>
                    <m:t>P</m:t>
                  </m:r>
                  <m:ctrlPr>
                    <w:rPr>
                      <w:rFonts w:ascii="Cambria Math" w:hAnsi="Cambria Math"/>
                      <w:i/>
                      <w:iCs/>
                      <w:sz w:val="18"/>
                      <w:szCs w:val="18"/>
                    </w:rPr>
                  </m:ctrlPr>
                </m:e>
                <m:sub>
                  <m:r>
                    <m:rPr/>
                    <w:rPr>
                      <w:rFonts w:ascii="Cambria Math" w:hAnsi="Cambria Math"/>
                      <w:sz w:val="18"/>
                      <w:szCs w:val="18"/>
                    </w:rPr>
                    <m:t>range</m:t>
                  </m:r>
                  <m:ctrlPr>
                    <w:rPr>
                      <w:rFonts w:ascii="Cambria Math" w:hAnsi="Cambria Math"/>
                      <w:i/>
                      <w:iCs/>
                      <w:sz w:val="18"/>
                      <w:szCs w:val="18"/>
                    </w:rPr>
                  </m:ctrlPr>
                </m:sub>
              </m:sSub>
              <m:r>
                <m:rPr/>
                <w:rPr>
                  <w:rFonts w:ascii="Cambria Math" w:hAnsi="Cambria Math"/>
                  <w:sz w:val="18"/>
                  <w:szCs w:val="18"/>
                </w:rPr>
                <m:t>=</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e>
                      </m:d>
                      <m:ctrlPr>
                        <w:rPr>
                          <w:rFonts w:ascii="Cambria Math" w:hAnsi="Cambria Math"/>
                          <w:i/>
                          <w:iCs/>
                          <w:sz w:val="18"/>
                          <w:szCs w:val="18"/>
                        </w:rPr>
                      </m:ctrlPr>
                    </m:e>
                  </m:func>
                  <m:ctrlPr>
                    <w:rPr>
                      <w:rFonts w:ascii="Cambria Math" w:hAnsi="Cambria Math"/>
                      <w:i/>
                      <w:iCs/>
                      <w:sz w:val="18"/>
                      <w:szCs w:val="18"/>
                    </w:rPr>
                  </m:ctrlPr>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r>
                        <m:rPr/>
                        <w:rPr>
                          <w:rFonts w:ascii="Cambria Math" w:hAnsi="Cambria Math"/>
                          <w:sz w:val="18"/>
                          <w:szCs w:val="18"/>
                        </w:rPr>
                        <m:t>4,10,14,18</m:t>
                      </m:r>
                      <m:ctrlPr>
                        <w:rPr>
                          <w:rFonts w:ascii="Cambria Math" w:hAnsi="Cambria Math"/>
                          <w:i/>
                          <w:iCs/>
                          <w:sz w:val="18"/>
                          <w:szCs w:val="18"/>
                        </w:rPr>
                      </m:ctrlPr>
                    </m:e>
                  </m:d>
                  <m:r>
                    <m:rPr/>
                    <w:rPr>
                      <w:rFonts w:ascii="Cambria Math" w:hAnsi="Cambria Math"/>
                      <w:sz w:val="18"/>
                      <w:szCs w:val="18"/>
                    </w:rPr>
                    <m:t>=2</m:t>
                  </m:r>
                  <m:ctrlPr>
                    <w:rPr>
                      <w:rFonts w:ascii="Cambria Math" w:hAnsi="Cambria Math"/>
                      <w:i/>
                      <w:iCs/>
                      <w:sz w:val="18"/>
                      <w:szCs w:val="18"/>
                    </w:rPr>
                  </m:ctrlPr>
                </m:e>
              </m:func>
            </m:oMath>
            <w:r>
              <w:rPr>
                <w:iCs/>
                <w:sz w:val="18"/>
                <w:szCs w:val="18"/>
              </w:rPr>
              <w:t xml:space="preserve">, which yield pull-in range </w:t>
            </w:r>
            <m:oMath>
              <m:sSub>
                <m:sSubPr>
                  <m:ctrlPr>
                    <w:rPr>
                      <w:rFonts w:ascii="Cambria Math" w:hAnsi="Cambria Math"/>
                      <w:i/>
                      <w:iCs/>
                      <w:sz w:val="18"/>
                      <w:szCs w:val="18"/>
                    </w:rPr>
                  </m:ctrlPr>
                </m:sSubPr>
                <m:e>
                  <m:r>
                    <m:rPr/>
                    <w:rPr>
                      <w:rFonts w:ascii="Cambria Math" w:hAnsi="Cambria Math"/>
                      <w:sz w:val="18"/>
                      <w:szCs w:val="18"/>
                    </w:rPr>
                    <m:t>P</m:t>
                  </m:r>
                  <m:ctrlPr>
                    <w:rPr>
                      <w:rFonts w:ascii="Cambria Math" w:hAnsi="Cambria Math"/>
                      <w:i/>
                      <w:iCs/>
                      <w:sz w:val="18"/>
                      <w:szCs w:val="18"/>
                    </w:rPr>
                  </m:ctrlPr>
                </m:e>
                <m:sub>
                  <m:r>
                    <m:rPr/>
                    <w:rPr>
                      <w:rFonts w:ascii="Cambria Math" w:hAnsi="Cambria Math"/>
                      <w:sz w:val="18"/>
                      <w:szCs w:val="18"/>
                    </w:rPr>
                    <m:t>range</m:t>
                  </m:r>
                  <m:ctrlPr>
                    <w:rPr>
                      <w:rFonts w:ascii="Cambria Math" w:hAnsi="Cambria Math"/>
                      <w:i/>
                      <w:iCs/>
                      <w:sz w:val="18"/>
                      <w:szCs w:val="18"/>
                    </w:rPr>
                  </m:ctrlPr>
                </m:sub>
              </m:sSub>
              <m:r>
                <m:rPr/>
                <w:rPr>
                  <w:rFonts w:ascii="Cambria Math" w:hAnsi="Cambria Math"/>
                  <w:sz w:val="18"/>
                  <w:szCs w:val="18"/>
                </w:rPr>
                <m:t>=</m:t>
              </m:r>
              <m:f>
                <m:fPr>
                  <m:type m:val="skw"/>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4T</m:t>
                  </m:r>
                  <m:ctrlPr>
                    <w:rPr>
                      <w:rFonts w:ascii="Cambria Math" w:hAnsi="Cambria Math"/>
                      <w:i/>
                      <w:iCs/>
                      <w:sz w:val="18"/>
                      <w:szCs w:val="18"/>
                    </w:rPr>
                  </m:ctrlPr>
                </m:den>
              </m:f>
            </m:oMath>
            <w:r>
              <w:rPr>
                <w:iCs/>
                <w:sz w:val="18"/>
                <w:szCs w:val="18"/>
              </w:rPr>
              <w:t xml:space="preserve"> where T is the duration of an OFDM symbol.  </w:t>
            </w:r>
          </w:p>
          <w:p w14:paraId="7B489467">
            <w:pPr>
              <w:overflowPunct w:val="0"/>
              <w:autoSpaceDE w:val="0"/>
              <w:autoSpaceDN w:val="0"/>
              <w:adjustRightInd w:val="0"/>
              <w:spacing w:after="180"/>
              <w:textAlignment w:val="baseline"/>
              <w:rPr>
                <w:sz w:val="18"/>
                <w:szCs w:val="18"/>
              </w:rPr>
            </w:pPr>
            <w:r>
              <w:rPr>
                <w:sz w:val="18"/>
                <w:szCs w:val="18"/>
                <w:lang w:val="en-US" w:eastAsia="zh-CN"/>
              </w:rPr>
              <w:drawing>
                <wp:inline distT="0" distB="0" distL="0" distR="0">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559CBEB8">
            <w:pPr>
              <w:pStyle w:val="21"/>
              <w:overflowPunct w:val="0"/>
              <w:autoSpaceDE w:val="0"/>
              <w:autoSpaceDN w:val="0"/>
              <w:adjustRightInd w:val="0"/>
              <w:jc w:val="center"/>
              <w:textAlignment w:val="baseline"/>
              <w:rPr>
                <w:rFonts w:eastAsia="等线"/>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40B47778">
            <w:pPr>
              <w:overflowPunct w:val="0"/>
              <w:autoSpaceDE w:val="0"/>
              <w:autoSpaceDN w:val="0"/>
              <w:adjustRightInd w:val="0"/>
              <w:spacing w:after="180"/>
              <w:textAlignment w:val="baseline"/>
              <w:rPr>
                <w:sz w:val="18"/>
                <w:szCs w:val="18"/>
              </w:rPr>
            </w:pPr>
          </w:p>
          <w:p w14:paraId="03F3EC94">
            <w:pPr>
              <w:overflowPunct w:val="0"/>
              <w:autoSpaceDE w:val="0"/>
              <w:autoSpaceDN w:val="0"/>
              <w:adjustRightInd w:val="0"/>
              <w:spacing w:after="180"/>
              <w:textAlignment w:val="baseline"/>
              <w:rPr>
                <w:sz w:val="18"/>
                <w:szCs w:val="18"/>
              </w:rPr>
            </w:pPr>
            <w:r>
              <w:rPr>
                <w:sz w:val="18"/>
                <w:szCs w:val="18"/>
                <w:lang w:val="en-US" w:eastAsia="zh-CN"/>
              </w:rPr>
              <w:drawing>
                <wp:inline distT="0" distB="0" distL="0" distR="0">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2E7EC08E">
            <w:pPr>
              <w:pStyle w:val="21"/>
              <w:overflowPunct w:val="0"/>
              <w:autoSpaceDE w:val="0"/>
              <w:autoSpaceDN w:val="0"/>
              <w:adjustRightInd w:val="0"/>
              <w:jc w:val="center"/>
              <w:textAlignment w:val="baseline"/>
              <w:rPr>
                <w:rFonts w:eastAsia="等线"/>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526B74D8">
            <w:pPr>
              <w:overflowPunct w:val="0"/>
              <w:autoSpaceDE w:val="0"/>
              <w:autoSpaceDN w:val="0"/>
              <w:adjustRightInd w:val="0"/>
              <w:spacing w:after="180"/>
              <w:textAlignment w:val="baseline"/>
              <w:rPr>
                <w:sz w:val="18"/>
                <w:szCs w:val="18"/>
              </w:rPr>
            </w:pPr>
          </w:p>
          <w:p w14:paraId="0AA57983">
            <w:pPr>
              <w:overflowPunct w:val="0"/>
              <w:autoSpaceDE w:val="0"/>
              <w:autoSpaceDN w:val="0"/>
              <w:adjustRightInd w:val="0"/>
              <w:spacing w:after="180"/>
              <w:textAlignment w:val="baseline"/>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k,j</m:t>
                          </m:r>
                          <m:ctrlPr>
                            <w:rPr>
                              <w:rFonts w:ascii="Cambria Math" w:hAnsi="Cambria Math"/>
                              <w:i/>
                              <w:iCs/>
                              <w:sz w:val="18"/>
                              <w:szCs w:val="18"/>
                            </w:rPr>
                          </m:ctrlPr>
                        </m:sub>
                      </m:sSub>
                      <m:ctrlPr>
                        <w:rPr>
                          <w:rFonts w:ascii="Cambria Math" w:hAnsi="Cambria Math"/>
                          <w:i/>
                          <w:iCs/>
                          <w:sz w:val="18"/>
                          <w:szCs w:val="18"/>
                        </w:rPr>
                      </m:ctrlPr>
                    </m:e>
                  </m:d>
                  <m:ctrlPr>
                    <w:rPr>
                      <w:rFonts w:ascii="Cambria Math" w:hAnsi="Cambria Math"/>
                      <w:i/>
                      <w:iCs/>
                      <w:sz w:val="18"/>
                      <w:szCs w:val="18"/>
                    </w:rPr>
                  </m:ctrlPr>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r>
                        <m:rPr/>
                        <w:rPr>
                          <w:rFonts w:ascii="Cambria Math" w:hAnsi="Cambria Math"/>
                          <w:sz w:val="18"/>
                          <w:szCs w:val="18"/>
                        </w:rPr>
                        <m:t>4,11,15,19</m:t>
                      </m:r>
                      <m:ctrlPr>
                        <w:rPr>
                          <w:rFonts w:ascii="Cambria Math" w:hAnsi="Cambria Math"/>
                          <w:i/>
                          <w:iCs/>
                          <w:sz w:val="18"/>
                          <w:szCs w:val="18"/>
                        </w:rPr>
                      </m:ctrlPr>
                    </m:e>
                  </m:d>
                  <m:ctrlPr>
                    <w:rPr>
                      <w:rFonts w:ascii="Cambria Math" w:hAnsi="Cambria Math"/>
                      <w:i/>
                      <w:iCs/>
                      <w:sz w:val="18"/>
                      <w:szCs w:val="18"/>
                    </w:rPr>
                  </m:ctrlPr>
                </m:e>
              </m:func>
              <m:r>
                <m:rP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m:rPr/>
                    <w:rPr>
                      <w:rFonts w:ascii="Cambria Math" w:hAnsi="Cambria Math"/>
                      <w:sz w:val="18"/>
                      <w:szCs w:val="18"/>
                    </w:rPr>
                    <m:t>P</m:t>
                  </m:r>
                  <m:ctrlPr>
                    <w:rPr>
                      <w:rFonts w:ascii="Cambria Math" w:hAnsi="Cambria Math"/>
                      <w:i/>
                      <w:iCs/>
                      <w:sz w:val="18"/>
                      <w:szCs w:val="18"/>
                    </w:rPr>
                  </m:ctrlPr>
                </m:e>
                <m:sub>
                  <m:r>
                    <m:rPr/>
                    <w:rPr>
                      <w:rFonts w:ascii="Cambria Math" w:hAnsi="Cambria Math"/>
                      <w:sz w:val="18"/>
                      <w:szCs w:val="18"/>
                    </w:rPr>
                    <m:t>range</m:t>
                  </m:r>
                  <m:ctrlPr>
                    <w:rPr>
                      <w:rFonts w:ascii="Cambria Math" w:hAnsi="Cambria Math"/>
                      <w:i/>
                      <w:iCs/>
                      <w:sz w:val="18"/>
                      <w:szCs w:val="18"/>
                    </w:rPr>
                  </m:ctrlPr>
                </m:sub>
              </m:sSub>
              <m:r>
                <m:rPr/>
                <w:rPr>
                  <w:rFonts w:ascii="Cambria Math" w:hAnsi="Cambria Math"/>
                  <w:sz w:val="18"/>
                  <w:szCs w:val="18"/>
                </w:rPr>
                <m:t>=</m:t>
              </m:r>
              <m:f>
                <m:fPr>
                  <m:type m:val="skw"/>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2T</m:t>
                  </m:r>
                  <m:ctrlPr>
                    <w:rPr>
                      <w:rFonts w:ascii="Cambria Math" w:hAnsi="Cambria Math"/>
                      <w:i/>
                      <w:iCs/>
                      <w:sz w:val="18"/>
                      <w:szCs w:val="18"/>
                    </w:rPr>
                  </m:ctrlPr>
                </m:den>
              </m:f>
            </m:oMath>
            <w:r>
              <w:rPr>
                <w:iCs/>
                <w:sz w:val="18"/>
                <w:szCs w:val="18"/>
              </w:rPr>
              <w:t xml:space="preserve"> where T is the duration of an OFDM symbol. The pull-in range of TRS is doubled.    </w:t>
            </w:r>
          </w:p>
          <w:p w14:paraId="70F373D8">
            <w:pPr>
              <w:overflowPunct w:val="0"/>
              <w:autoSpaceDE w:val="0"/>
              <w:autoSpaceDN w:val="0"/>
              <w:adjustRightInd w:val="0"/>
              <w:spacing w:after="180"/>
              <w:textAlignment w:val="baseline"/>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0D880404">
            <w:pPr>
              <w:overflowPunct w:val="0"/>
              <w:autoSpaceDE w:val="0"/>
              <w:autoSpaceDN w:val="0"/>
              <w:adjustRightInd w:val="0"/>
              <w:spacing w:after="180"/>
              <w:textAlignment w:val="baseline"/>
              <w:rPr>
                <w:sz w:val="18"/>
                <w:szCs w:val="18"/>
              </w:rPr>
            </w:pPr>
            <w:r>
              <w:rPr>
                <w:sz w:val="18"/>
                <w:szCs w:val="18"/>
              </w:rPr>
              <w:t xml:space="preserve">With the above observation, the following proposal is proposed. </w:t>
            </w:r>
            <w:bookmarkStart w:id="28" w:name="_Hlk179576804"/>
          </w:p>
          <w:p w14:paraId="0FD0BBB1">
            <w:pPr>
              <w:overflowPunct w:val="0"/>
              <w:autoSpaceDE w:val="0"/>
              <w:autoSpaceDN w:val="0"/>
              <w:adjustRightInd w:val="0"/>
              <w:spacing w:after="180"/>
              <w:textAlignment w:val="baseline"/>
              <w:rPr>
                <w:b/>
                <w:bCs/>
                <w:sz w:val="18"/>
                <w:szCs w:val="18"/>
                <w:u w:val="single"/>
              </w:rPr>
            </w:pPr>
            <w:r>
              <w:rPr>
                <w:sz w:val="18"/>
                <w:szCs w:val="18"/>
                <w:lang w:val="en-US" w:eastAsia="zh-CN"/>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65D50920">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2CA3469B">
                                  <w:pPr>
                                    <w:pStyle w:val="72"/>
                                    <w:rPr>
                                      <w:color w:val="000000"/>
                                      <w:sz w:val="18"/>
                                      <w:szCs w:val="18"/>
                                    </w:rPr>
                                  </w:pPr>
                                  <w:r>
                                    <w:rPr>
                                      <w:color w:val="000000"/>
                                      <w:sz w:val="18"/>
                                      <w:szCs w:val="18"/>
                                    </w:rPr>
                                    <w:t>-</w:t>
                                  </w:r>
                                  <w:r>
                                    <w:rPr>
                                      <w:color w:val="000000"/>
                                      <w:sz w:val="18"/>
                                      <w:szCs w:val="18"/>
                                    </w:rPr>
                                    <w:tab/>
                                  </w:r>
                                  <w:r>
                                    <w:rPr>
                                      <w:color w:val="000000"/>
                                      <w:sz w:val="18"/>
                                      <w:szCs w:val="18"/>
                                    </w:rPr>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41DCFF4E">
                                  <w:pPr>
                                    <w:pStyle w:val="83"/>
                                    <w:rPr>
                                      <w:sz w:val="18"/>
                                      <w:szCs w:val="18"/>
                                    </w:rPr>
                                  </w:pPr>
                                  <w:r>
                                    <w:rPr>
                                      <w:sz w:val="18"/>
                                      <w:szCs w:val="18"/>
                                    </w:rPr>
                                    <w:t>-</w:t>
                                  </w:r>
                                  <w:r>
                                    <w:rPr>
                                      <w:sz w:val="18"/>
                                      <w:szCs w:val="18"/>
                                    </w:rPr>
                                    <w:tab/>
                                  </w:r>
                                  <w:r>
                                    <w:rPr>
                                      <w:position w:val="-10"/>
                                      <w:sz w:val="18"/>
                                      <w:szCs w:val="18"/>
                                    </w:rPr>
                                    <w:object>
                                      <v:shape id="_x0000_i1035" o:spt="75" type="#_x0000_t75" style="height:15.35pt;width:34.65pt;" o:ole="t" filled="f" o:preferrelative="t" stroked="f" coordsize="21600,21600">
                                        <v:path/>
                                        <v:fill on="f" focussize="0,0"/>
                                        <v:stroke on="f" joinstyle="miter"/>
                                        <v:imagedata r:id="rId30" o:title=""/>
                                        <o:lock v:ext="edit" aspectratio="t"/>
                                        <w10:wrap type="none"/>
                                        <w10:anchorlock/>
                                      </v:shape>
                                      <o:OLEObject Type="Embed" ProgID="Equation.3" ShapeID="_x0000_i1035" DrawAspect="Content" ObjectID="_1468075745" r:id="rId61">
                                        <o:LockedField>false</o:LockedField>
                                      </o:OLEObject>
                                    </w:object>
                                  </w:r>
                                  <w:r>
                                    <w:rPr>
                                      <w:sz w:val="18"/>
                                      <w:szCs w:val="18"/>
                                    </w:rPr>
                                    <w:t xml:space="preserve">, </w:t>
                                  </w:r>
                                  <w:r>
                                    <w:rPr>
                                      <w:position w:val="-10"/>
                                      <w:sz w:val="18"/>
                                      <w:szCs w:val="18"/>
                                    </w:rPr>
                                    <w:object>
                                      <v:shape id="_x0000_i1036" o:spt="75" type="#_x0000_t75" style="height:15.35pt;width:34.65pt;" o:ole="t" filled="f" o:preferrelative="t" stroked="f" coordsize="21600,21600">
                                        <v:path/>
                                        <v:fill on="f" focussize="0,0"/>
                                        <v:stroke on="f" joinstyle="miter"/>
                                        <v:imagedata r:id="rId32" o:title=""/>
                                        <o:lock v:ext="edit" aspectratio="t"/>
                                        <w10:wrap type="none"/>
                                        <w10:anchorlock/>
                                      </v:shape>
                                      <o:OLEObject Type="Embed" ProgID="Equation.3" ShapeID="_x0000_i1036" DrawAspect="Content" ObjectID="_1468075746" r:id="rId62">
                                        <o:LockedField>false</o:LockedField>
                                      </o:OLEObject>
                                    </w:object>
                                  </w:r>
                                  <w:r>
                                    <w:rPr>
                                      <w:sz w:val="18"/>
                                      <w:szCs w:val="18"/>
                                    </w:rPr>
                                    <w:t>, or</w:t>
                                  </w:r>
                                  <w:r>
                                    <w:rPr>
                                      <w:position w:val="-10"/>
                                      <w:sz w:val="18"/>
                                      <w:szCs w:val="18"/>
                                    </w:rPr>
                                    <w:object>
                                      <v:shape id="_x0000_i1037" o:spt="75" type="#_x0000_t75" style="height:15.35pt;width:40.65pt;" o:ole="t" filled="f" o:preferrelative="t" stroked="f" coordsize="21600,21600">
                                        <v:path/>
                                        <v:fill on="f" focussize="0,0"/>
                                        <v:stroke on="f" joinstyle="miter"/>
                                        <v:imagedata r:id="rId34" o:title=""/>
                                        <o:lock v:ext="edit" aspectratio="t"/>
                                        <w10:wrap type="none"/>
                                        <w10:anchorlock/>
                                      </v:shape>
                                      <o:OLEObject Type="Embed" ProgID="Equation.3" ShapeID="_x0000_i1037" DrawAspect="Content" ObjectID="_1468075747" r:id="rId63">
                                        <o:LockedField>false</o:LockedField>
                                      </o:OLEObject>
                                    </w:object>
                                  </w:r>
                                  <w:r>
                                    <w:rPr>
                                      <w:sz w:val="18"/>
                                      <w:szCs w:val="18"/>
                                    </w:rPr>
                                    <w:t xml:space="preserve"> for frequency range 1 and frequency range 2,</w:t>
                                  </w:r>
                                </w:p>
                                <w:p w14:paraId="12C25DBB">
                                  <w:pPr>
                                    <w:pStyle w:val="83"/>
                                    <w:rPr>
                                      <w:sz w:val="18"/>
                                      <w:szCs w:val="18"/>
                                    </w:rPr>
                                  </w:pPr>
                                  <w:r>
                                    <w:rPr>
                                      <w:sz w:val="18"/>
                                      <w:szCs w:val="18"/>
                                    </w:rPr>
                                    <w:t>-</w:t>
                                  </w:r>
                                  <w:r>
                                    <w:rPr>
                                      <w:sz w:val="18"/>
                                      <w:szCs w:val="18"/>
                                    </w:rPr>
                                    <w:tab/>
                                  </w:r>
                                  <w:r>
                                    <w:rPr>
                                      <w:position w:val="-10"/>
                                      <w:sz w:val="18"/>
                                      <w:szCs w:val="18"/>
                                    </w:rPr>
                                    <w:object>
                                      <v:shape id="_x0000_i1038" o:spt="75" type="#_x0000_t75" style="height:15.35pt;width:34.65pt;" o:ole="t" filled="f" o:preferrelative="t" stroked="f" coordsize="21600,21600">
                                        <v:path/>
                                        <v:fill on="f" focussize="0,0"/>
                                        <v:stroke on="f" joinstyle="miter"/>
                                        <v:imagedata r:id="rId36" o:title=""/>
                                        <o:lock v:ext="edit" aspectratio="t"/>
                                        <w10:wrap type="none"/>
                                        <w10:anchorlock/>
                                      </v:shape>
                                      <o:OLEObject Type="Embed" ProgID="Equation.3" ShapeID="_x0000_i1038" DrawAspect="Content" ObjectID="_1468075748" r:id="rId64">
                                        <o:LockedField>false</o:LockedField>
                                      </o:OLEObject>
                                    </w:object>
                                  </w:r>
                                  <w:r>
                                    <w:rPr>
                                      <w:sz w:val="18"/>
                                      <w:szCs w:val="18"/>
                                    </w:rPr>
                                    <w:t xml:space="preserve">, </w:t>
                                  </w:r>
                                  <w:r>
                                    <w:rPr>
                                      <w:position w:val="-10"/>
                                      <w:sz w:val="18"/>
                                      <w:szCs w:val="18"/>
                                    </w:rPr>
                                    <w:object>
                                      <v:shape id="_x0000_i1039" o:spt="75" type="#_x0000_t75" style="height:15.35pt;width:30.65pt;" o:ole="t" filled="f" o:preferrelative="t" stroked="f" coordsize="21600,21600">
                                        <v:path/>
                                        <v:fill on="f" focussize="0,0"/>
                                        <v:stroke on="f" joinstyle="miter"/>
                                        <v:imagedata r:id="rId38" o:title=""/>
                                        <o:lock v:ext="edit" aspectratio="t"/>
                                        <w10:wrap type="none"/>
                                        <w10:anchorlock/>
                                      </v:shape>
                                      <o:OLEObject Type="Embed" ProgID="Equation.3" ShapeID="_x0000_i1039" DrawAspect="Content" ObjectID="_1468075749" r:id="rId65">
                                        <o:LockedField>false</o:LockedField>
                                      </o:OLEObject>
                                    </w:object>
                                  </w:r>
                                  <w:r>
                                    <w:rPr>
                                      <w:sz w:val="18"/>
                                      <w:szCs w:val="18"/>
                                    </w:rPr>
                                    <w:t xml:space="preserve">, </w:t>
                                  </w:r>
                                  <w:r>
                                    <w:rPr>
                                      <w:position w:val="-10"/>
                                      <w:sz w:val="18"/>
                                      <w:szCs w:val="18"/>
                                    </w:rPr>
                                    <w:object>
                                      <v:shape id="_x0000_i1040" o:spt="75" type="#_x0000_t75" style="height:15.35pt;width:34.65pt;" o:ole="t" filled="f" o:preferrelative="t" stroked="f" coordsize="21600,21600">
                                        <v:path/>
                                        <v:fill on="f" focussize="0,0"/>
                                        <v:stroke on="f" joinstyle="miter"/>
                                        <v:imagedata r:id="rId40" o:title=""/>
                                        <o:lock v:ext="edit" aspectratio="t"/>
                                        <w10:wrap type="none"/>
                                        <w10:anchorlock/>
                                      </v:shape>
                                      <o:OLEObject Type="Embed" ProgID="Equation.3" ShapeID="_x0000_i1040" DrawAspect="Content" ObjectID="_1468075750" r:id="rId66">
                                        <o:LockedField>false</o:LockedField>
                                      </o:OLEObject>
                                    </w:object>
                                  </w:r>
                                  <w:r>
                                    <w:rPr>
                                      <w:sz w:val="18"/>
                                      <w:szCs w:val="18"/>
                                    </w:rPr>
                                    <w:t xml:space="preserve">, </w:t>
                                  </w:r>
                                  <w:r>
                                    <w:rPr>
                                      <w:position w:val="-10"/>
                                      <w:sz w:val="18"/>
                                      <w:szCs w:val="18"/>
                                    </w:rPr>
                                    <w:object>
                                      <v:shape id="_x0000_i1041" o:spt="75" type="#_x0000_t75" style="height:15.35pt;width:34.65pt;" o:ole="t" filled="f" o:preferrelative="t" stroked="f" coordsize="21600,21600">
                                        <v:path/>
                                        <v:fill on="f" focussize="0,0"/>
                                        <v:stroke on="f" joinstyle="miter"/>
                                        <v:imagedata r:id="rId42" o:title=""/>
                                        <o:lock v:ext="edit" aspectratio="t"/>
                                        <w10:wrap type="none"/>
                                        <w10:anchorlock/>
                                      </v:shape>
                                      <o:OLEObject Type="Embed" ProgID="Equation.3" ShapeID="_x0000_i1041" DrawAspect="Content" ObjectID="_1468075751" r:id="rId67">
                                        <o:LockedField>false</o:LockedField>
                                      </o:OLEObject>
                                    </w:object>
                                  </w:r>
                                  <w:r>
                                    <w:rPr>
                                      <w:sz w:val="18"/>
                                      <w:szCs w:val="18"/>
                                    </w:rPr>
                                    <w:t xml:space="preserve">, </w:t>
                                  </w:r>
                                  <w:r>
                                    <w:rPr>
                                      <w:position w:val="-10"/>
                                      <w:sz w:val="18"/>
                                      <w:szCs w:val="18"/>
                                    </w:rPr>
                                    <w:object>
                                      <v:shape id="_x0000_i1042" o:spt="75" type="#_x0000_t75" style="height:15.35pt;width:39.35pt;" o:ole="t" filled="f" o:preferrelative="t" stroked="f" coordsize="21600,21600">
                                        <v:path/>
                                        <v:fill on="f" focussize="0,0"/>
                                        <v:stroke on="f" joinstyle="miter"/>
                                        <v:imagedata r:id="rId44" o:title=""/>
                                        <o:lock v:ext="edit" aspectratio="t"/>
                                        <w10:wrap type="none"/>
                                        <w10:anchorlock/>
                                      </v:shape>
                                      <o:OLEObject Type="Embed" ProgID="Equation.3" ShapeID="_x0000_i1042" DrawAspect="Content" ObjectID="_1468075752" r:id="rId68">
                                        <o:LockedField>false</o:LockedField>
                                      </o:OLEObject>
                                    </w:object>
                                  </w:r>
                                  <w:r>
                                    <w:rPr>
                                      <w:sz w:val="18"/>
                                      <w:szCs w:val="18"/>
                                    </w:rPr>
                                    <w:t xml:space="preserve">, </w:t>
                                  </w:r>
                                  <w:r>
                                    <w:rPr>
                                      <w:position w:val="-10"/>
                                      <w:sz w:val="18"/>
                                      <w:szCs w:val="18"/>
                                    </w:rPr>
                                    <w:object>
                                      <v:shape id="_x0000_i1043" o:spt="75" type="#_x0000_t75" style="height:15.35pt;width:39.35pt;" o:ole="t" filled="f" o:preferrelative="t" stroked="f" coordsize="21600,21600">
                                        <v:path/>
                                        <v:fill on="f" focussize="0,0"/>
                                        <v:stroke on="f" joinstyle="miter"/>
                                        <v:imagedata r:id="rId46" o:title=""/>
                                        <o:lock v:ext="edit" aspectratio="t"/>
                                        <w10:wrap type="none"/>
                                        <w10:anchorlock/>
                                      </v:shape>
                                      <o:OLEObject Type="Embed" ProgID="Equation.3" ShapeID="_x0000_i1043" DrawAspect="Content" ObjectID="_1468075753" r:id="rId69">
                                        <o:LockedField>false</o:LockedField>
                                      </o:OLEObject>
                                    </w:object>
                                  </w:r>
                                  <w:r>
                                    <w:rPr>
                                      <w:sz w:val="18"/>
                                      <w:szCs w:val="18"/>
                                    </w:rPr>
                                    <w:t xml:space="preserve"> or </w:t>
                                  </w:r>
                                  <w:r>
                                    <w:rPr>
                                      <w:position w:val="-10"/>
                                      <w:sz w:val="18"/>
                                      <w:szCs w:val="18"/>
                                    </w:rPr>
                                    <w:object>
                                      <v:shape id="_x0000_i1044" o:spt="75" type="#_x0000_t75" style="height:15.35pt;width:39.35pt;" o:ole="t" filled="f" o:preferrelative="t" stroked="f" coordsize="21600,21600">
                                        <v:path/>
                                        <v:fill on="f" focussize="0,0"/>
                                        <v:stroke on="f" joinstyle="miter"/>
                                        <v:imagedata r:id="rId48" o:title=""/>
                                        <o:lock v:ext="edit" aspectratio="t"/>
                                        <w10:wrap type="none"/>
                                        <w10:anchorlock/>
                                      </v:shape>
                                      <o:OLEObject Type="Embed" ProgID="Equation.3" ShapeID="_x0000_i1044" DrawAspect="Content" ObjectID="_1468075754" r:id="rId70">
                                        <o:LockedField>false</o:LockedField>
                                      </o:OLEObject>
                                    </w:object>
                                  </w:r>
                                  <w:r>
                                    <w:rPr>
                                      <w:sz w:val="18"/>
                                      <w:szCs w:val="18"/>
                                    </w:rPr>
                                    <w:t xml:space="preserve"> for frequency range 2.</w:t>
                                  </w:r>
                                </w:p>
                                <w:p w14:paraId="7736DF54"/>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22401.35pt;height:137pt;width:498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JlJG/aAAAADAEAAA8AAAAAAAAAAQAgAAAAIgAAAGRycy9kb3ducmV2Lnht&#10;bFBLAQIUABQAAAAIAIdO4kCHGv0fMAIAAIMEAAAOAAAAAAAAAAEAIAAAACkBAABkcnMvZTJvRG9j&#10;LnhtbFBLBQYAAAAABgAGAFkBAADLBQAAAAA=&#10;">
                      <v:fill on="t" focussize="0,0"/>
                      <v:stroke color="#000000" miterlimit="8" joinstyle="miter"/>
                      <v:imagedata o:title=""/>
                      <o:lock v:ext="edit" aspectratio="f"/>
                      <v:textbox>
                        <w:txbxContent>
                          <w:p w14:paraId="65D50920">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2CA3469B">
                            <w:pPr>
                              <w:pStyle w:val="72"/>
                              <w:rPr>
                                <w:color w:val="000000"/>
                                <w:sz w:val="18"/>
                                <w:szCs w:val="18"/>
                              </w:rPr>
                            </w:pPr>
                            <w:r>
                              <w:rPr>
                                <w:color w:val="000000"/>
                                <w:sz w:val="18"/>
                                <w:szCs w:val="18"/>
                              </w:rPr>
                              <w:t>-</w:t>
                            </w:r>
                            <w:r>
                              <w:rPr>
                                <w:color w:val="000000"/>
                                <w:sz w:val="18"/>
                                <w:szCs w:val="18"/>
                              </w:rPr>
                              <w:tab/>
                            </w:r>
                            <w:r>
                              <w:rPr>
                                <w:color w:val="000000"/>
                                <w:sz w:val="18"/>
                                <w:szCs w:val="18"/>
                              </w:rPr>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41DCFF4E">
                            <w:pPr>
                              <w:pStyle w:val="83"/>
                              <w:rPr>
                                <w:sz w:val="18"/>
                                <w:szCs w:val="18"/>
                              </w:rPr>
                            </w:pPr>
                            <w:r>
                              <w:rPr>
                                <w:sz w:val="18"/>
                                <w:szCs w:val="18"/>
                              </w:rPr>
                              <w:t>-</w:t>
                            </w:r>
                            <w:r>
                              <w:rPr>
                                <w:sz w:val="18"/>
                                <w:szCs w:val="18"/>
                              </w:rPr>
                              <w:tab/>
                            </w:r>
                            <w:r>
                              <w:rPr>
                                <w:position w:val="-10"/>
                                <w:sz w:val="18"/>
                                <w:szCs w:val="18"/>
                              </w:rPr>
                              <w:object>
                                <v:shape id="_x0000_i1035" o:spt="75" type="#_x0000_t75" style="height:15.35pt;width:34.65pt;" o:ole="t" filled="f" o:preferrelative="t" stroked="f" coordsize="21600,21600">
                                  <v:path/>
                                  <v:fill on="f" focussize="0,0"/>
                                  <v:stroke on="f" joinstyle="miter"/>
                                  <v:imagedata r:id="rId30" o:title=""/>
                                  <o:lock v:ext="edit" aspectratio="t"/>
                                  <w10:wrap type="none"/>
                                  <w10:anchorlock/>
                                </v:shape>
                                <o:OLEObject Type="Embed" ProgID="Equation.3" ShapeID="_x0000_i1035" DrawAspect="Content" ObjectID="_1468075755" r:id="rId71">
                                  <o:LockedField>false</o:LockedField>
                                </o:OLEObject>
                              </w:object>
                            </w:r>
                            <w:r>
                              <w:rPr>
                                <w:sz w:val="18"/>
                                <w:szCs w:val="18"/>
                              </w:rPr>
                              <w:t xml:space="preserve">, </w:t>
                            </w:r>
                            <w:r>
                              <w:rPr>
                                <w:position w:val="-10"/>
                                <w:sz w:val="18"/>
                                <w:szCs w:val="18"/>
                              </w:rPr>
                              <w:object>
                                <v:shape id="_x0000_i1036" o:spt="75" type="#_x0000_t75" style="height:15.35pt;width:34.65pt;" o:ole="t" filled="f" o:preferrelative="t" stroked="f" coordsize="21600,21600">
                                  <v:path/>
                                  <v:fill on="f" focussize="0,0"/>
                                  <v:stroke on="f" joinstyle="miter"/>
                                  <v:imagedata r:id="rId32" o:title=""/>
                                  <o:lock v:ext="edit" aspectratio="t"/>
                                  <w10:wrap type="none"/>
                                  <w10:anchorlock/>
                                </v:shape>
                                <o:OLEObject Type="Embed" ProgID="Equation.3" ShapeID="_x0000_i1036" DrawAspect="Content" ObjectID="_1468075756" r:id="rId72">
                                  <o:LockedField>false</o:LockedField>
                                </o:OLEObject>
                              </w:object>
                            </w:r>
                            <w:r>
                              <w:rPr>
                                <w:sz w:val="18"/>
                                <w:szCs w:val="18"/>
                              </w:rPr>
                              <w:t>, or</w:t>
                            </w:r>
                            <w:r>
                              <w:rPr>
                                <w:position w:val="-10"/>
                                <w:sz w:val="18"/>
                                <w:szCs w:val="18"/>
                              </w:rPr>
                              <w:object>
                                <v:shape id="_x0000_i1037" o:spt="75" type="#_x0000_t75" style="height:15.35pt;width:40.65pt;" o:ole="t" filled="f" o:preferrelative="t" stroked="f" coordsize="21600,21600">
                                  <v:path/>
                                  <v:fill on="f" focussize="0,0"/>
                                  <v:stroke on="f" joinstyle="miter"/>
                                  <v:imagedata r:id="rId34" o:title=""/>
                                  <o:lock v:ext="edit" aspectratio="t"/>
                                  <w10:wrap type="none"/>
                                  <w10:anchorlock/>
                                </v:shape>
                                <o:OLEObject Type="Embed" ProgID="Equation.3" ShapeID="_x0000_i1037" DrawAspect="Content" ObjectID="_1468075757" r:id="rId73">
                                  <o:LockedField>false</o:LockedField>
                                </o:OLEObject>
                              </w:object>
                            </w:r>
                            <w:r>
                              <w:rPr>
                                <w:sz w:val="18"/>
                                <w:szCs w:val="18"/>
                              </w:rPr>
                              <w:t xml:space="preserve"> for frequency range 1 and frequency range 2,</w:t>
                            </w:r>
                          </w:p>
                          <w:p w14:paraId="12C25DBB">
                            <w:pPr>
                              <w:pStyle w:val="83"/>
                              <w:rPr>
                                <w:sz w:val="18"/>
                                <w:szCs w:val="18"/>
                              </w:rPr>
                            </w:pPr>
                            <w:r>
                              <w:rPr>
                                <w:sz w:val="18"/>
                                <w:szCs w:val="18"/>
                              </w:rPr>
                              <w:t>-</w:t>
                            </w:r>
                            <w:r>
                              <w:rPr>
                                <w:sz w:val="18"/>
                                <w:szCs w:val="18"/>
                              </w:rPr>
                              <w:tab/>
                            </w:r>
                            <w:r>
                              <w:rPr>
                                <w:position w:val="-10"/>
                                <w:sz w:val="18"/>
                                <w:szCs w:val="18"/>
                              </w:rPr>
                              <w:object>
                                <v:shape id="_x0000_i1038" o:spt="75" type="#_x0000_t75" style="height:15.35pt;width:34.65pt;" o:ole="t" filled="f" o:preferrelative="t" stroked="f" coordsize="21600,21600">
                                  <v:path/>
                                  <v:fill on="f" focussize="0,0"/>
                                  <v:stroke on="f" joinstyle="miter"/>
                                  <v:imagedata r:id="rId36" o:title=""/>
                                  <o:lock v:ext="edit" aspectratio="t"/>
                                  <w10:wrap type="none"/>
                                  <w10:anchorlock/>
                                </v:shape>
                                <o:OLEObject Type="Embed" ProgID="Equation.3" ShapeID="_x0000_i1038" DrawAspect="Content" ObjectID="_1468075758" r:id="rId74">
                                  <o:LockedField>false</o:LockedField>
                                </o:OLEObject>
                              </w:object>
                            </w:r>
                            <w:r>
                              <w:rPr>
                                <w:sz w:val="18"/>
                                <w:szCs w:val="18"/>
                              </w:rPr>
                              <w:t xml:space="preserve">, </w:t>
                            </w:r>
                            <w:r>
                              <w:rPr>
                                <w:position w:val="-10"/>
                                <w:sz w:val="18"/>
                                <w:szCs w:val="18"/>
                              </w:rPr>
                              <w:object>
                                <v:shape id="_x0000_i1039" o:spt="75" type="#_x0000_t75" style="height:15.35pt;width:30.65pt;" o:ole="t" filled="f" o:preferrelative="t" stroked="f" coordsize="21600,21600">
                                  <v:path/>
                                  <v:fill on="f" focussize="0,0"/>
                                  <v:stroke on="f" joinstyle="miter"/>
                                  <v:imagedata r:id="rId38" o:title=""/>
                                  <o:lock v:ext="edit" aspectratio="t"/>
                                  <w10:wrap type="none"/>
                                  <w10:anchorlock/>
                                </v:shape>
                                <o:OLEObject Type="Embed" ProgID="Equation.3" ShapeID="_x0000_i1039" DrawAspect="Content" ObjectID="_1468075759" r:id="rId75">
                                  <o:LockedField>false</o:LockedField>
                                </o:OLEObject>
                              </w:object>
                            </w:r>
                            <w:r>
                              <w:rPr>
                                <w:sz w:val="18"/>
                                <w:szCs w:val="18"/>
                              </w:rPr>
                              <w:t xml:space="preserve">, </w:t>
                            </w:r>
                            <w:r>
                              <w:rPr>
                                <w:position w:val="-10"/>
                                <w:sz w:val="18"/>
                                <w:szCs w:val="18"/>
                              </w:rPr>
                              <w:object>
                                <v:shape id="_x0000_i1040" o:spt="75" type="#_x0000_t75" style="height:15.35pt;width:34.65pt;" o:ole="t" filled="f" o:preferrelative="t" stroked="f" coordsize="21600,21600">
                                  <v:path/>
                                  <v:fill on="f" focussize="0,0"/>
                                  <v:stroke on="f" joinstyle="miter"/>
                                  <v:imagedata r:id="rId40" o:title=""/>
                                  <o:lock v:ext="edit" aspectratio="t"/>
                                  <w10:wrap type="none"/>
                                  <w10:anchorlock/>
                                </v:shape>
                                <o:OLEObject Type="Embed" ProgID="Equation.3" ShapeID="_x0000_i1040" DrawAspect="Content" ObjectID="_1468075760" r:id="rId76">
                                  <o:LockedField>false</o:LockedField>
                                </o:OLEObject>
                              </w:object>
                            </w:r>
                            <w:r>
                              <w:rPr>
                                <w:sz w:val="18"/>
                                <w:szCs w:val="18"/>
                              </w:rPr>
                              <w:t xml:space="preserve">, </w:t>
                            </w:r>
                            <w:r>
                              <w:rPr>
                                <w:position w:val="-10"/>
                                <w:sz w:val="18"/>
                                <w:szCs w:val="18"/>
                              </w:rPr>
                              <w:object>
                                <v:shape id="_x0000_i1041" o:spt="75" type="#_x0000_t75" style="height:15.35pt;width:34.65pt;" o:ole="t" filled="f" o:preferrelative="t" stroked="f" coordsize="21600,21600">
                                  <v:path/>
                                  <v:fill on="f" focussize="0,0"/>
                                  <v:stroke on="f" joinstyle="miter"/>
                                  <v:imagedata r:id="rId42" o:title=""/>
                                  <o:lock v:ext="edit" aspectratio="t"/>
                                  <w10:wrap type="none"/>
                                  <w10:anchorlock/>
                                </v:shape>
                                <o:OLEObject Type="Embed" ProgID="Equation.3" ShapeID="_x0000_i1041" DrawAspect="Content" ObjectID="_1468075761" r:id="rId77">
                                  <o:LockedField>false</o:LockedField>
                                </o:OLEObject>
                              </w:object>
                            </w:r>
                            <w:r>
                              <w:rPr>
                                <w:sz w:val="18"/>
                                <w:szCs w:val="18"/>
                              </w:rPr>
                              <w:t xml:space="preserve">, </w:t>
                            </w:r>
                            <w:r>
                              <w:rPr>
                                <w:position w:val="-10"/>
                                <w:sz w:val="18"/>
                                <w:szCs w:val="18"/>
                              </w:rPr>
                              <w:object>
                                <v:shape id="_x0000_i1042" o:spt="75" type="#_x0000_t75" style="height:15.35pt;width:39.35pt;" o:ole="t" filled="f" o:preferrelative="t" stroked="f" coordsize="21600,21600">
                                  <v:path/>
                                  <v:fill on="f" focussize="0,0"/>
                                  <v:stroke on="f" joinstyle="miter"/>
                                  <v:imagedata r:id="rId44" o:title=""/>
                                  <o:lock v:ext="edit" aspectratio="t"/>
                                  <w10:wrap type="none"/>
                                  <w10:anchorlock/>
                                </v:shape>
                                <o:OLEObject Type="Embed" ProgID="Equation.3" ShapeID="_x0000_i1042" DrawAspect="Content" ObjectID="_1468075762" r:id="rId78">
                                  <o:LockedField>false</o:LockedField>
                                </o:OLEObject>
                              </w:object>
                            </w:r>
                            <w:r>
                              <w:rPr>
                                <w:sz w:val="18"/>
                                <w:szCs w:val="18"/>
                              </w:rPr>
                              <w:t xml:space="preserve">, </w:t>
                            </w:r>
                            <w:r>
                              <w:rPr>
                                <w:position w:val="-10"/>
                                <w:sz w:val="18"/>
                                <w:szCs w:val="18"/>
                              </w:rPr>
                              <w:object>
                                <v:shape id="_x0000_i1043" o:spt="75" type="#_x0000_t75" style="height:15.35pt;width:39.35pt;" o:ole="t" filled="f" o:preferrelative="t" stroked="f" coordsize="21600,21600">
                                  <v:path/>
                                  <v:fill on="f" focussize="0,0"/>
                                  <v:stroke on="f" joinstyle="miter"/>
                                  <v:imagedata r:id="rId46" o:title=""/>
                                  <o:lock v:ext="edit" aspectratio="t"/>
                                  <w10:wrap type="none"/>
                                  <w10:anchorlock/>
                                </v:shape>
                                <o:OLEObject Type="Embed" ProgID="Equation.3" ShapeID="_x0000_i1043" DrawAspect="Content" ObjectID="_1468075763" r:id="rId79">
                                  <o:LockedField>false</o:LockedField>
                                </o:OLEObject>
                              </w:object>
                            </w:r>
                            <w:r>
                              <w:rPr>
                                <w:sz w:val="18"/>
                                <w:szCs w:val="18"/>
                              </w:rPr>
                              <w:t xml:space="preserve"> or </w:t>
                            </w:r>
                            <w:r>
                              <w:rPr>
                                <w:position w:val="-10"/>
                                <w:sz w:val="18"/>
                                <w:szCs w:val="18"/>
                              </w:rPr>
                              <w:object>
                                <v:shape id="_x0000_i1044" o:spt="75" type="#_x0000_t75" style="height:15.35pt;width:39.35pt;" o:ole="t" filled="f" o:preferrelative="t" stroked="f" coordsize="21600,21600">
                                  <v:path/>
                                  <v:fill on="f" focussize="0,0"/>
                                  <v:stroke on="f" joinstyle="miter"/>
                                  <v:imagedata r:id="rId48" o:title=""/>
                                  <o:lock v:ext="edit" aspectratio="t"/>
                                  <w10:wrap type="none"/>
                                  <w10:anchorlock/>
                                </v:shape>
                                <o:OLEObject Type="Embed" ProgID="Equation.3" ShapeID="_x0000_i1044" DrawAspect="Content" ObjectID="_1468075764" r:id="rId80">
                                  <o:LockedField>false</o:LockedField>
                                </o:OLEObject>
                              </w:object>
                            </w:r>
                            <w:r>
                              <w:rPr>
                                <w:sz w:val="18"/>
                                <w:szCs w:val="18"/>
                              </w:rPr>
                              <w:t xml:space="preserve"> for frequency range 2.</w:t>
                            </w:r>
                          </w:p>
                          <w:p w14:paraId="7736DF54"/>
                        </w:txbxContent>
                      </v:textbox>
                      <w10:wrap type="square"/>
                    </v:shape>
                  </w:pict>
                </mc:Fallback>
              </mc:AlternateContent>
            </w:r>
          </w:p>
          <w:bookmarkEnd w:id="28"/>
          <w:p w14:paraId="1A888BD7">
            <w:pPr>
              <w:overflowPunct w:val="0"/>
              <w:autoSpaceDE w:val="0"/>
              <w:autoSpaceDN w:val="0"/>
              <w:adjustRightInd w:val="0"/>
              <w:spacing w:after="180"/>
              <w:textAlignment w:val="baseline"/>
              <w:rPr>
                <w:b/>
                <w:bCs/>
                <w:sz w:val="18"/>
                <w:szCs w:val="18"/>
              </w:rPr>
            </w:pPr>
            <w:r>
              <w:rPr>
                <w:b/>
                <w:bCs/>
                <w:sz w:val="18"/>
                <w:szCs w:val="18"/>
                <w:u w:val="single"/>
              </w:rPr>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505D45AE">
      <w:pPr>
        <w:rPr>
          <w:b/>
        </w:rPr>
      </w:pPr>
    </w:p>
    <w:p w14:paraId="7D11B70E">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14:paraId="41DE6A1F">
      <w:pPr>
        <w:rPr>
          <w:rFonts w:ascii="Arial" w:hAnsi="Arial" w:eastAsia="MS Mincho"/>
          <w:sz w:val="32"/>
          <w:szCs w:val="32"/>
        </w:rPr>
      </w:pPr>
    </w:p>
    <w:p w14:paraId="1FBD5E81">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15</w:t>
      </w:r>
    </w:p>
    <w:p w14:paraId="71D3F02C">
      <w:pPr>
        <w:pStyle w:val="108"/>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3BB2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14:paraId="2BF55610">
            <w:pPr>
              <w:overflowPunct w:val="0"/>
              <w:autoSpaceDE w:val="0"/>
              <w:autoSpaceDN w:val="0"/>
              <w:adjustRightInd w:val="0"/>
              <w:spacing w:after="180"/>
              <w:jc w:val="center"/>
              <w:textAlignment w:val="baseline"/>
              <w:rPr>
                <w:rFonts w:eastAsia="宋体"/>
                <w:color w:val="FF0000"/>
                <w:sz w:val="20"/>
                <w:lang w:eastAsia="zh-CN"/>
              </w:rPr>
            </w:pPr>
            <w:r>
              <w:rPr>
                <w:rFonts w:eastAsia="宋体"/>
                <w:color w:val="FF0000"/>
                <w:sz w:val="20"/>
                <w:lang w:eastAsia="zh-CN"/>
              </w:rPr>
              <w:t>========================= Unchanged parts =========================</w:t>
            </w:r>
          </w:p>
          <w:p w14:paraId="2CBD4A3F">
            <w:pPr>
              <w:overflowPunct w:val="0"/>
              <w:autoSpaceDE w:val="0"/>
              <w:autoSpaceDN w:val="0"/>
              <w:adjustRightInd w:val="0"/>
              <w:spacing w:after="180"/>
              <w:textAlignment w:val="baseline"/>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50B489D4">
            <w:pPr>
              <w:pStyle w:val="72"/>
              <w:overflowPunct w:val="0"/>
              <w:autoSpaceDE w:val="0"/>
              <w:autoSpaceDN w:val="0"/>
              <w:adjustRightInd w:val="0"/>
              <w:textAlignment w:val="baseline"/>
              <w:rPr>
                <w:color w:val="000000"/>
                <w:sz w:val="20"/>
              </w:rPr>
            </w:pPr>
            <w:r>
              <w:rPr>
                <w:color w:val="000000"/>
                <w:sz w:val="20"/>
              </w:rPr>
              <w:t>-</w:t>
            </w:r>
            <w:r>
              <w:rPr>
                <w:color w:val="000000"/>
                <w:sz w:val="20"/>
              </w:rPr>
              <w:tab/>
            </w:r>
            <w:r>
              <w:rPr>
                <w:color w:val="000000"/>
                <w:sz w:val="20"/>
              </w:rPr>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r>
              <w:rPr>
                <w:i/>
                <w:iCs/>
                <w:color w:val="FF0000"/>
                <w:sz w:val="20"/>
              </w:rPr>
              <w:t>SupportDifferentTRSpatternAcrossSlots</w:t>
            </w:r>
            <w:r>
              <w:rPr>
                <w:color w:val="FF0000"/>
                <w:sz w:val="20"/>
              </w:rPr>
              <w:t>]</w:t>
            </w:r>
            <w:r>
              <w:rPr>
                <w:color w:val="000000"/>
                <w:sz w:val="20"/>
              </w:rPr>
              <w:t xml:space="preserve">), as defined by higher layer parameter </w:t>
            </w:r>
            <w:r>
              <w:rPr>
                <w:i/>
                <w:color w:val="000000"/>
                <w:sz w:val="20"/>
              </w:rPr>
              <w:t>CSI-RS-resourceMapping</w:t>
            </w:r>
            <w:r>
              <w:rPr>
                <w:color w:val="000000"/>
                <w:sz w:val="20"/>
              </w:rPr>
              <w:t>, is given by one of</w:t>
            </w:r>
          </w:p>
          <w:p w14:paraId="4BBB3A1E">
            <w:pPr>
              <w:pStyle w:val="83"/>
              <w:rPr>
                <w:sz w:val="20"/>
              </w:rPr>
            </w:pPr>
            <w:r>
              <w:rPr>
                <w:sz w:val="20"/>
              </w:rPr>
              <w:t>-</w:t>
            </w:r>
            <w:r>
              <w:rPr>
                <w:sz w:val="20"/>
              </w:rPr>
              <w:tab/>
            </w:r>
            <w:r>
              <w:rPr>
                <w:position w:val="-10"/>
                <w:sz w:val="20"/>
              </w:rPr>
              <w:object>
                <v:shape id="_x0000_i1045" o:spt="75" type="#_x0000_t75" style="height:15.35pt;width:35.35pt;" o:ole="t" filled="f" o:preferrelative="t" stroked="f" coordsize="21600,21600">
                  <v:path/>
                  <v:fill on="f" focussize="0,0"/>
                  <v:stroke on="f" joinstyle="miter"/>
                  <v:imagedata r:id="rId30" o:title=""/>
                  <o:lock v:ext="edit" aspectratio="t"/>
                  <w10:wrap type="none"/>
                  <w10:anchorlock/>
                </v:shape>
                <o:OLEObject Type="Embed" ProgID="Equation.3" ShapeID="_x0000_i1045" DrawAspect="Content" ObjectID="_1468075765" r:id="rId81">
                  <o:LockedField>false</o:LockedField>
                </o:OLEObject>
              </w:object>
            </w:r>
            <w:r>
              <w:rPr>
                <w:sz w:val="20"/>
              </w:rPr>
              <w:t xml:space="preserve">, </w:t>
            </w:r>
            <w:r>
              <w:rPr>
                <w:position w:val="-10"/>
                <w:sz w:val="20"/>
              </w:rPr>
              <w:object>
                <v:shape id="_x0000_i1046" o:spt="75" type="#_x0000_t75" style="height:15.35pt;width:35.35pt;" o:ole="t" filled="f" o:preferrelative="t" stroked="f" coordsize="21600,21600">
                  <v:path/>
                  <v:fill on="f" focussize="0,0"/>
                  <v:stroke on="f" joinstyle="miter"/>
                  <v:imagedata r:id="rId32" o:title=""/>
                  <o:lock v:ext="edit" aspectratio="t"/>
                  <w10:wrap type="none"/>
                  <w10:anchorlock/>
                </v:shape>
                <o:OLEObject Type="Embed" ProgID="Equation.3" ShapeID="_x0000_i1046" DrawAspect="Content" ObjectID="_1468075766" r:id="rId82">
                  <o:LockedField>false</o:LockedField>
                </o:OLEObject>
              </w:object>
            </w:r>
            <w:r>
              <w:rPr>
                <w:sz w:val="20"/>
              </w:rPr>
              <w:t>, or</w:t>
            </w:r>
            <w:r>
              <w:rPr>
                <w:position w:val="-10"/>
                <w:sz w:val="20"/>
              </w:rPr>
              <w:object>
                <v:shape id="_x0000_i1047" o:spt="75" type="#_x0000_t75" style="height:15.35pt;width:40.65pt;" o:ole="t" filled="f" o:preferrelative="t" stroked="f" coordsize="21600,21600">
                  <v:path/>
                  <v:fill on="f" focussize="0,0"/>
                  <v:stroke on="f" joinstyle="miter"/>
                  <v:imagedata r:id="rId34" o:title=""/>
                  <o:lock v:ext="edit" aspectratio="t"/>
                  <w10:wrap type="none"/>
                  <w10:anchorlock/>
                </v:shape>
                <o:OLEObject Type="Embed" ProgID="Equation.3" ShapeID="_x0000_i1047" DrawAspect="Content" ObjectID="_1468075767" r:id="rId83">
                  <o:LockedField>false</o:LockedField>
                </o:OLEObject>
              </w:object>
            </w:r>
            <w:r>
              <w:rPr>
                <w:sz w:val="20"/>
              </w:rPr>
              <w:t xml:space="preserve"> for frequency range 1 and frequency range 2,</w:t>
            </w:r>
          </w:p>
          <w:p w14:paraId="19AD7D6A">
            <w:pPr>
              <w:pStyle w:val="83"/>
              <w:rPr>
                <w:sz w:val="20"/>
              </w:rPr>
            </w:pPr>
            <w:r>
              <w:rPr>
                <w:sz w:val="20"/>
              </w:rPr>
              <w:t>-</w:t>
            </w:r>
            <w:r>
              <w:rPr>
                <w:sz w:val="20"/>
              </w:rPr>
              <w:tab/>
            </w:r>
            <w:r>
              <w:rPr>
                <w:position w:val="-10"/>
                <w:sz w:val="20"/>
              </w:rPr>
              <w:object>
                <v:shape id="_x0000_i1048" o:spt="75" type="#_x0000_t75" style="height:15.35pt;width:35.35pt;" o:ole="t" filled="f" o:preferrelative="t" stroked="f" coordsize="21600,21600">
                  <v:path/>
                  <v:fill on="f" focussize="0,0"/>
                  <v:stroke on="f" joinstyle="miter"/>
                  <v:imagedata r:id="rId36" o:title=""/>
                  <o:lock v:ext="edit" aspectratio="t"/>
                  <w10:wrap type="none"/>
                  <w10:anchorlock/>
                </v:shape>
                <o:OLEObject Type="Embed" ProgID="Equation.3" ShapeID="_x0000_i1048" DrawAspect="Content" ObjectID="_1468075768" r:id="rId84">
                  <o:LockedField>false</o:LockedField>
                </o:OLEObject>
              </w:object>
            </w:r>
            <w:r>
              <w:rPr>
                <w:sz w:val="20"/>
              </w:rPr>
              <w:t xml:space="preserve">, </w:t>
            </w:r>
            <w:r>
              <w:rPr>
                <w:position w:val="-10"/>
                <w:sz w:val="20"/>
              </w:rPr>
              <w:object>
                <v:shape id="_x0000_i1049" o:spt="75" type="#_x0000_t75" style="height:15.35pt;width:30.65pt;" o:ole="t" filled="f" o:preferrelative="t" stroked="f" coordsize="21600,21600">
                  <v:path/>
                  <v:fill on="f" focussize="0,0"/>
                  <v:stroke on="f" joinstyle="miter"/>
                  <v:imagedata r:id="rId38" o:title=""/>
                  <o:lock v:ext="edit" aspectratio="t"/>
                  <w10:wrap type="none"/>
                  <w10:anchorlock/>
                </v:shape>
                <o:OLEObject Type="Embed" ProgID="Equation.3" ShapeID="_x0000_i1049" DrawAspect="Content" ObjectID="_1468075769" r:id="rId85">
                  <o:LockedField>false</o:LockedField>
                </o:OLEObject>
              </w:object>
            </w:r>
            <w:r>
              <w:rPr>
                <w:sz w:val="20"/>
              </w:rPr>
              <w:t xml:space="preserve">, </w:t>
            </w:r>
            <w:r>
              <w:rPr>
                <w:position w:val="-10"/>
                <w:sz w:val="20"/>
              </w:rPr>
              <w:object>
                <v:shape id="_x0000_i1050" o:spt="75" type="#_x0000_t75" style="height:15.35pt;width:35.35pt;" o:ole="t" filled="f" o:preferrelative="t" stroked="f" coordsize="21600,21600">
                  <v:path/>
                  <v:fill on="f" focussize="0,0"/>
                  <v:stroke on="f" joinstyle="miter"/>
                  <v:imagedata r:id="rId40" o:title=""/>
                  <o:lock v:ext="edit" aspectratio="t"/>
                  <w10:wrap type="none"/>
                  <w10:anchorlock/>
                </v:shape>
                <o:OLEObject Type="Embed" ProgID="Equation.3" ShapeID="_x0000_i1050" DrawAspect="Content" ObjectID="_1468075770" r:id="rId86">
                  <o:LockedField>false</o:LockedField>
                </o:OLEObject>
              </w:object>
            </w:r>
            <w:r>
              <w:rPr>
                <w:sz w:val="20"/>
              </w:rPr>
              <w:t xml:space="preserve">, </w:t>
            </w:r>
            <w:r>
              <w:rPr>
                <w:position w:val="-10"/>
                <w:sz w:val="20"/>
              </w:rPr>
              <w:object>
                <v:shape id="_x0000_i1051" o:spt="75" type="#_x0000_t75" style="height:15.35pt;width:34.65pt;" o:ole="t" filled="f" o:preferrelative="t" stroked="f" coordsize="21600,21600">
                  <v:path/>
                  <v:fill on="f" focussize="0,0"/>
                  <v:stroke on="f" joinstyle="miter"/>
                  <v:imagedata r:id="rId42" o:title=""/>
                  <o:lock v:ext="edit" aspectratio="t"/>
                  <w10:wrap type="none"/>
                  <w10:anchorlock/>
                </v:shape>
                <o:OLEObject Type="Embed" ProgID="Equation.3" ShapeID="_x0000_i1051" DrawAspect="Content" ObjectID="_1468075771" r:id="rId87">
                  <o:LockedField>false</o:LockedField>
                </o:OLEObject>
              </w:object>
            </w:r>
            <w:r>
              <w:rPr>
                <w:sz w:val="20"/>
              </w:rPr>
              <w:t xml:space="preserve">, </w:t>
            </w:r>
            <w:r>
              <w:rPr>
                <w:position w:val="-10"/>
                <w:sz w:val="20"/>
              </w:rPr>
              <w:object>
                <v:shape id="_x0000_i1052" o:spt="75" type="#_x0000_t75" style="height:15.35pt;width:38pt;" o:ole="t" filled="f" o:preferrelative="t" stroked="f" coordsize="21600,21600">
                  <v:path/>
                  <v:fill on="f" focussize="0,0"/>
                  <v:stroke on="f" joinstyle="miter"/>
                  <v:imagedata r:id="rId44" o:title=""/>
                  <o:lock v:ext="edit" aspectratio="t"/>
                  <w10:wrap type="none"/>
                  <w10:anchorlock/>
                </v:shape>
                <o:OLEObject Type="Embed" ProgID="Equation.3" ShapeID="_x0000_i1052" DrawAspect="Content" ObjectID="_1468075772" r:id="rId88">
                  <o:LockedField>false</o:LockedField>
                </o:OLEObject>
              </w:object>
            </w:r>
            <w:r>
              <w:rPr>
                <w:sz w:val="20"/>
              </w:rPr>
              <w:t xml:space="preserve">, </w:t>
            </w:r>
            <w:r>
              <w:rPr>
                <w:position w:val="-10"/>
                <w:sz w:val="20"/>
              </w:rPr>
              <w:object>
                <v:shape id="_x0000_i1053" o:spt="75" type="#_x0000_t75" style="height:15.35pt;width:38pt;" o:ole="t" filled="f" o:preferrelative="t" stroked="f" coordsize="21600,21600">
                  <v:path/>
                  <v:fill on="f" focussize="0,0"/>
                  <v:stroke on="f" joinstyle="miter"/>
                  <v:imagedata r:id="rId46" o:title=""/>
                  <o:lock v:ext="edit" aspectratio="t"/>
                  <w10:wrap type="none"/>
                  <w10:anchorlock/>
                </v:shape>
                <o:OLEObject Type="Embed" ProgID="Equation.3" ShapeID="_x0000_i1053" DrawAspect="Content" ObjectID="_1468075773" r:id="rId89">
                  <o:LockedField>false</o:LockedField>
                </o:OLEObject>
              </w:object>
            </w:r>
            <w:r>
              <w:rPr>
                <w:sz w:val="20"/>
              </w:rPr>
              <w:t xml:space="preserve"> or </w:t>
            </w:r>
            <w:r>
              <w:rPr>
                <w:position w:val="-10"/>
                <w:sz w:val="20"/>
              </w:rPr>
              <w:object>
                <v:shape id="_x0000_i1054" o:spt="75" type="#_x0000_t75" style="height:15.35pt;width:38pt;" o:ole="t" filled="f" o:preferrelative="t" stroked="f" coordsize="21600,21600">
                  <v:path/>
                  <v:fill on="f" focussize="0,0"/>
                  <v:stroke on="f" joinstyle="miter"/>
                  <v:imagedata r:id="rId48" o:title=""/>
                  <o:lock v:ext="edit" aspectratio="t"/>
                  <w10:wrap type="none"/>
                  <w10:anchorlock/>
                </v:shape>
                <o:OLEObject Type="Embed" ProgID="Equation.3" ShapeID="_x0000_i1054" DrawAspect="Content" ObjectID="_1468075774" r:id="rId90">
                  <o:LockedField>false</o:LockedField>
                </o:OLEObject>
              </w:object>
            </w:r>
            <w:r>
              <w:rPr>
                <w:sz w:val="20"/>
              </w:rPr>
              <w:t xml:space="preserve"> for frequency range 2.</w:t>
            </w:r>
          </w:p>
          <w:p w14:paraId="5099ABAF">
            <w:pPr>
              <w:overflowPunct w:val="0"/>
              <w:autoSpaceDE w:val="0"/>
              <w:autoSpaceDN w:val="0"/>
              <w:adjustRightInd w:val="0"/>
              <w:spacing w:after="180"/>
              <w:jc w:val="center"/>
              <w:textAlignment w:val="baseline"/>
              <w:rPr>
                <w:rFonts w:eastAsia="MS Mincho"/>
                <w:color w:val="FF0000"/>
                <w:sz w:val="20"/>
              </w:rPr>
            </w:pPr>
            <w:r>
              <w:rPr>
                <w:rFonts w:eastAsia="宋体"/>
                <w:color w:val="FF0000"/>
                <w:sz w:val="20"/>
                <w:lang w:val="zh-CN" w:eastAsia="zh-CN"/>
              </w:rPr>
              <w:t xml:space="preserve"> </w:t>
            </w:r>
            <w:r>
              <w:rPr>
                <w:rFonts w:eastAsia="宋体"/>
                <w:color w:val="FF0000"/>
                <w:sz w:val="20"/>
                <w:lang w:eastAsia="zh-CN"/>
              </w:rPr>
              <w:t>========================= Unchanged parts =========================</w:t>
            </w:r>
          </w:p>
        </w:tc>
      </w:tr>
    </w:tbl>
    <w:p w14:paraId="1B565B37">
      <w:pPr>
        <w:jc w:val="both"/>
        <w:rPr>
          <w:b/>
        </w:rPr>
      </w:pPr>
    </w:p>
    <w:p w14:paraId="37266F99">
      <w:pPr>
        <w:rPr>
          <w:rFonts w:eastAsia="MS Mincho" w:cs="Batang"/>
          <w:sz w:val="22"/>
          <w:szCs w:val="22"/>
        </w:rPr>
      </w:pPr>
    </w:p>
    <w:p w14:paraId="37A4535A">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Qualcomm</w:t>
      </w:r>
      <w:r>
        <w:rPr>
          <w:rFonts w:eastAsia="MS Mincho" w:cs="Batang"/>
          <w:sz w:val="22"/>
          <w:szCs w:val="22"/>
        </w:rPr>
        <w:t>.</w:t>
      </w:r>
    </w:p>
    <w:p w14:paraId="16D2400B">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14:paraId="0AB1A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14:paraId="74857302">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14:paraId="2A22459E">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14:paraId="7FFBAE3D">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14:paraId="21E8E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4AD2315D">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MS Mincho"/>
                <w:sz w:val="22"/>
                <w:lang w:val="en-US"/>
              </w:rPr>
              <w:t>DOCOMO</w:t>
            </w:r>
          </w:p>
        </w:tc>
        <w:tc>
          <w:tcPr>
            <w:tcW w:w="1023" w:type="dxa"/>
          </w:tcPr>
          <w:p w14:paraId="7CFE2ED7">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MS Mincho"/>
                <w:sz w:val="22"/>
                <w:lang w:val="en-US"/>
              </w:rPr>
              <w:t>N</w:t>
            </w:r>
          </w:p>
        </w:tc>
        <w:tc>
          <w:tcPr>
            <w:tcW w:w="6912" w:type="dxa"/>
          </w:tcPr>
          <w:p w14:paraId="1B213DD7">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gNB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14:paraId="1F8E0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2CED1040">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Lenovo/ MotM</w:t>
            </w:r>
          </w:p>
        </w:tc>
        <w:tc>
          <w:tcPr>
            <w:tcW w:w="1023" w:type="dxa"/>
          </w:tcPr>
          <w:p w14:paraId="2FD3581A">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14:paraId="67A304D5">
            <w:pPr>
              <w:overflowPunct w:val="0"/>
              <w:autoSpaceDE w:val="0"/>
              <w:autoSpaceDN w:val="0"/>
              <w:adjustRightInd w:val="0"/>
              <w:spacing w:after="120" w:afterLines="50"/>
              <w:jc w:val="both"/>
              <w:textAlignment w:val="baseline"/>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14:paraId="56EE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1C594677">
            <w:pPr>
              <w:overflowPunct w:val="0"/>
              <w:autoSpaceDE w:val="0"/>
              <w:autoSpaceDN w:val="0"/>
              <w:adjustRightInd w:val="0"/>
              <w:spacing w:after="120" w:afterLines="50"/>
              <w:jc w:val="both"/>
              <w:textAlignment w:val="baseline"/>
              <w:rPr>
                <w:sz w:val="22"/>
                <w:lang w:val="en-US"/>
              </w:rPr>
            </w:pPr>
            <w:r>
              <w:rPr>
                <w:sz w:val="22"/>
                <w:lang w:val="en-US"/>
              </w:rPr>
              <w:t>ZTE</w:t>
            </w:r>
          </w:p>
        </w:tc>
        <w:tc>
          <w:tcPr>
            <w:tcW w:w="1023" w:type="dxa"/>
          </w:tcPr>
          <w:p w14:paraId="014C5DA6">
            <w:pPr>
              <w:overflowPunct w:val="0"/>
              <w:autoSpaceDE w:val="0"/>
              <w:autoSpaceDN w:val="0"/>
              <w:adjustRightInd w:val="0"/>
              <w:spacing w:after="120" w:afterLines="50"/>
              <w:jc w:val="both"/>
              <w:textAlignment w:val="baseline"/>
              <w:rPr>
                <w:sz w:val="22"/>
                <w:lang w:val="en-US"/>
              </w:rPr>
            </w:pPr>
            <w:r>
              <w:rPr>
                <w:sz w:val="22"/>
                <w:lang w:val="en-US"/>
              </w:rPr>
              <w:t>N</w:t>
            </w:r>
          </w:p>
        </w:tc>
        <w:tc>
          <w:tcPr>
            <w:tcW w:w="6912" w:type="dxa"/>
          </w:tcPr>
          <w:p w14:paraId="19824F98">
            <w:pPr>
              <w:overflowPunct w:val="0"/>
              <w:autoSpaceDE w:val="0"/>
              <w:autoSpaceDN w:val="0"/>
              <w:adjustRightInd w:val="0"/>
              <w:spacing w:after="120" w:afterLines="50"/>
              <w:jc w:val="both"/>
              <w:textAlignment w:val="baseline"/>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14:paraId="4A04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1C57EFC8">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14:paraId="7E6279AE">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14:paraId="23F1CF94">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14:paraId="2AA8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27789885">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QC</w:t>
            </w:r>
          </w:p>
        </w:tc>
        <w:tc>
          <w:tcPr>
            <w:tcW w:w="1023" w:type="dxa"/>
          </w:tcPr>
          <w:p w14:paraId="44911B19">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Y</w:t>
            </w:r>
          </w:p>
        </w:tc>
        <w:tc>
          <w:tcPr>
            <w:tcW w:w="6912" w:type="dxa"/>
          </w:tcPr>
          <w:p w14:paraId="67BD661E">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14:paraId="461F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21E63F1C">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14:paraId="7E434949">
            <w:pPr>
              <w:overflowPunct w:val="0"/>
              <w:autoSpaceDE w:val="0"/>
              <w:autoSpaceDN w:val="0"/>
              <w:adjustRightInd w:val="0"/>
              <w:spacing w:after="120" w:afterLines="50"/>
              <w:jc w:val="both"/>
              <w:textAlignment w:val="baseline"/>
              <w:rPr>
                <w:sz w:val="22"/>
                <w:lang w:val="en-US"/>
              </w:rPr>
            </w:pPr>
          </w:p>
        </w:tc>
        <w:tc>
          <w:tcPr>
            <w:tcW w:w="6912" w:type="dxa"/>
          </w:tcPr>
          <w:p w14:paraId="650100B2">
            <w:pPr>
              <w:pStyle w:val="24"/>
              <w:overflowPunct w:val="0"/>
              <w:autoSpaceDE w:val="0"/>
              <w:autoSpaceDN w:val="0"/>
              <w:adjustRightInd w:val="0"/>
              <w:spacing w:after="180"/>
              <w:jc w:val="both"/>
              <w:textAlignment w:val="baseline"/>
              <w:rPr>
                <w:rFonts w:eastAsiaTheme="minorEastAsia"/>
                <w:lang w:eastAsia="zh-CN"/>
              </w:rPr>
            </w:pPr>
            <w:r>
              <w:rPr>
                <w:bCs/>
              </w:rPr>
              <w:t>benefit is not clear, degradation on doppler spre</w:t>
            </w:r>
            <w:r>
              <w:rPr>
                <w:rFonts w:eastAsiaTheme="minorEastAsia"/>
                <w:lang w:eastAsia="zh-CN"/>
              </w:rPr>
              <w:t>ad estimation, seems not necessary.</w:t>
            </w:r>
          </w:p>
          <w:p w14:paraId="60C477B8">
            <w:pPr>
              <w:pStyle w:val="24"/>
              <w:overflowPunct w:val="0"/>
              <w:autoSpaceDE w:val="0"/>
              <w:autoSpaceDN w:val="0"/>
              <w:adjustRightInd w:val="0"/>
              <w:spacing w:after="180"/>
              <w:jc w:val="both"/>
              <w:textAlignment w:val="baseline"/>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estimation methods, the maximum frequency offset which can be estimated is determined by the minimum gap between two TRS symbols. </w:t>
            </w:r>
          </w:p>
          <w:p w14:paraId="535D4B06">
            <w:pPr>
              <w:pStyle w:val="24"/>
              <w:overflowPunct w:val="0"/>
              <w:autoSpaceDE w:val="0"/>
              <w:autoSpaceDN w:val="0"/>
              <w:adjustRightInd w:val="0"/>
              <w:spacing w:after="180"/>
              <w:jc w:val="both"/>
              <w:textAlignment w:val="baseline"/>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14:paraId="276B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213E6583">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14:paraId="1D357A55">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N</w:t>
            </w:r>
          </w:p>
        </w:tc>
        <w:tc>
          <w:tcPr>
            <w:tcW w:w="6912" w:type="dxa"/>
          </w:tcPr>
          <w:p w14:paraId="625F7429">
            <w:pPr>
              <w:pStyle w:val="24"/>
              <w:overflowPunct w:val="0"/>
              <w:autoSpaceDE w:val="0"/>
              <w:autoSpaceDN w:val="0"/>
              <w:adjustRightInd w:val="0"/>
              <w:spacing w:after="180"/>
              <w:jc w:val="both"/>
              <w:textAlignment w:val="baseline"/>
              <w:rPr>
                <w:bCs/>
              </w:rPr>
            </w:pPr>
            <w:r>
              <w:rPr>
                <w:rFonts w:eastAsiaTheme="minorEastAsia"/>
                <w:sz w:val="22"/>
                <w:lang w:val="en-US" w:eastAsia="zh-CN"/>
              </w:rPr>
              <w:t>We think the current TRS is sufficient here. Therefore, we are not convinced of the criticality of this.</w:t>
            </w:r>
          </w:p>
        </w:tc>
      </w:tr>
      <w:tr w14:paraId="7FB3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2014B568">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14:paraId="205110AB">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912" w:type="dxa"/>
          </w:tcPr>
          <w:p w14:paraId="3634833B">
            <w:pPr>
              <w:pStyle w:val="24"/>
              <w:overflowPunct w:val="0"/>
              <w:autoSpaceDE w:val="0"/>
              <w:autoSpaceDN w:val="0"/>
              <w:adjustRightInd w:val="0"/>
              <w:spacing w:after="180"/>
              <w:jc w:val="both"/>
              <w:textAlignment w:val="baseline"/>
              <w:rPr>
                <w:rFonts w:eastAsiaTheme="minorEastAsia"/>
                <w:sz w:val="22"/>
                <w:lang w:val="en-US" w:eastAsia="zh-CN"/>
              </w:rPr>
            </w:pPr>
            <w:r>
              <w:rPr>
                <w:sz w:val="22"/>
                <w:lang w:val="en-US"/>
              </w:rPr>
              <w:t>Theoretically, the proposal may provide a benefit over the legacy pattern. However, if the proposal is introduced in Rel-19, it is not likely to use from the gNB perspective because TRS defined in previous releases (esp. Rel-15) and is already transmitted based on legacy pattern. Hence, if the gNB utilizes this new TRS, that would introduce more RS overhead, as well as more energy consumption.</w:t>
            </w:r>
          </w:p>
        </w:tc>
      </w:tr>
      <w:tr w14:paraId="1B617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6D0F523F">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Ericsson</w:t>
            </w:r>
          </w:p>
        </w:tc>
        <w:tc>
          <w:tcPr>
            <w:tcW w:w="1023" w:type="dxa"/>
          </w:tcPr>
          <w:p w14:paraId="45BD8AF0">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N</w:t>
            </w:r>
          </w:p>
        </w:tc>
        <w:tc>
          <w:tcPr>
            <w:tcW w:w="6912" w:type="dxa"/>
          </w:tcPr>
          <w:p w14:paraId="2007EF86">
            <w:pPr>
              <w:pStyle w:val="24"/>
              <w:overflowPunct w:val="0"/>
              <w:autoSpaceDE w:val="0"/>
              <w:autoSpaceDN w:val="0"/>
              <w:adjustRightInd w:val="0"/>
              <w:spacing w:after="180"/>
              <w:jc w:val="both"/>
              <w:textAlignment w:val="baseline"/>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14:paraId="76A39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Align w:val="top"/>
          </w:tcPr>
          <w:p w14:paraId="0E0883A4">
            <w:pPr>
              <w:overflowPunct w:val="0"/>
              <w:autoSpaceDE w:val="0"/>
              <w:autoSpaceDN w:val="0"/>
              <w:adjustRightInd w:val="0"/>
              <w:spacing w:after="120" w:afterLines="50"/>
              <w:jc w:val="both"/>
              <w:textAlignment w:val="baseline"/>
              <w:rPr>
                <w:sz w:val="22"/>
                <w:lang w:val="en-US"/>
              </w:rPr>
            </w:pPr>
            <w:r>
              <w:rPr>
                <w:rFonts w:hint="eastAsia" w:eastAsia="宋体"/>
                <w:sz w:val="22"/>
                <w:lang w:val="en-US" w:eastAsia="zh-CN"/>
              </w:rPr>
              <w:t>CATT</w:t>
            </w:r>
          </w:p>
        </w:tc>
        <w:tc>
          <w:tcPr>
            <w:tcW w:w="1023" w:type="dxa"/>
            <w:vAlign w:val="top"/>
          </w:tcPr>
          <w:p w14:paraId="634658DE">
            <w:pPr>
              <w:overflowPunct w:val="0"/>
              <w:autoSpaceDE w:val="0"/>
              <w:autoSpaceDN w:val="0"/>
              <w:adjustRightInd w:val="0"/>
              <w:spacing w:after="120" w:afterLines="50"/>
              <w:jc w:val="both"/>
              <w:textAlignment w:val="baseline"/>
              <w:rPr>
                <w:sz w:val="22"/>
                <w:lang w:val="en-US"/>
              </w:rPr>
            </w:pPr>
          </w:p>
        </w:tc>
        <w:tc>
          <w:tcPr>
            <w:tcW w:w="6912" w:type="dxa"/>
            <w:vAlign w:val="top"/>
          </w:tcPr>
          <w:p w14:paraId="3F98BA20">
            <w:pPr>
              <w:overflowPunct w:val="0"/>
              <w:autoSpaceDE w:val="0"/>
              <w:autoSpaceDN w:val="0"/>
              <w:adjustRightInd w:val="0"/>
              <w:spacing w:after="120" w:afterLines="50"/>
              <w:jc w:val="both"/>
              <w:textAlignment w:val="baseline"/>
              <w:rPr>
                <w:sz w:val="22"/>
                <w:lang w:val="en-US"/>
              </w:rPr>
            </w:pPr>
            <w:r>
              <w:rPr>
                <w:rFonts w:hint="eastAsia" w:eastAsia="宋体"/>
                <w:sz w:val="22"/>
                <w:lang w:val="en-US" w:eastAsia="zh-CN"/>
              </w:rPr>
              <w:t>Open to discuss.</w:t>
            </w:r>
          </w:p>
        </w:tc>
      </w:tr>
    </w:tbl>
    <w:p w14:paraId="314ABB8E">
      <w:pPr>
        <w:rPr>
          <w:b/>
        </w:rPr>
      </w:pPr>
    </w:p>
    <w:p w14:paraId="34B0F3C2">
      <w:pPr>
        <w:rPr>
          <w:b/>
        </w:rPr>
      </w:pPr>
    </w:p>
    <w:p w14:paraId="18304837">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Counting of active CSI-RS resources</w:t>
      </w:r>
    </w:p>
    <w:p w14:paraId="69061E99">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9417"/>
      </w:tblGrid>
      <w:tr w14:paraId="2857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4D3B115A">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[8</w:t>
            </w:r>
            <w:r>
              <w:rPr>
                <w:rFonts w:ascii="Arial" w:hAnsi="Arial" w:eastAsia="MS Mincho"/>
                <w:sz w:val="22"/>
                <w:szCs w:val="22"/>
                <w:lang w:val="en-US"/>
              </w:rPr>
              <w:t>]</w:t>
            </w:r>
          </w:p>
        </w:tc>
        <w:tc>
          <w:tcPr>
            <w:tcW w:w="9066" w:type="dxa"/>
          </w:tcPr>
          <w:p w14:paraId="0158F626">
            <w:pPr>
              <w:overflowPunct w:val="0"/>
              <w:autoSpaceDE w:val="0"/>
              <w:autoSpaceDN w:val="0"/>
              <w:adjustRightInd w:val="0"/>
              <w:spacing w:after="180"/>
              <w:textAlignment w:val="baseline"/>
              <w:rPr>
                <w:sz w:val="18"/>
                <w:szCs w:val="18"/>
              </w:rPr>
            </w:pPr>
            <w:r>
              <w:rPr>
                <w:sz w:val="18"/>
                <w:szCs w:val="18"/>
              </w:rPr>
              <w:t xml:space="preserve">Specific UE capabilities provide the gNB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1587BCBA">
            <w:pPr>
              <w:overflowPunct w:val="0"/>
              <w:autoSpaceDE w:val="0"/>
              <w:autoSpaceDN w:val="0"/>
              <w:adjustRightInd w:val="0"/>
              <w:spacing w:after="180"/>
              <w:textAlignment w:val="baseline"/>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a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48D5F92C">
            <w:pPr>
              <w:overflowPunct w:val="0"/>
              <w:autoSpaceDE w:val="0"/>
              <w:autoSpaceDN w:val="0"/>
              <w:adjustRightInd w:val="0"/>
              <w:spacing w:after="180"/>
              <w:textAlignment w:val="baseline"/>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3582AB7D">
            <w:pPr>
              <w:overflowPunct w:val="0"/>
              <w:autoSpaceDE w:val="0"/>
              <w:autoSpaceDN w:val="0"/>
              <w:adjustRightInd w:val="0"/>
              <w:spacing w:after="180"/>
              <w:textAlignment w:val="baseline"/>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75D6D617">
            <w:pPr>
              <w:overflowPunct w:val="0"/>
              <w:autoSpaceDE w:val="0"/>
              <w:autoSpaceDN w:val="0"/>
              <w:adjustRightInd w:val="0"/>
              <w:spacing w:after="180"/>
              <w:textAlignment w:val="baseline"/>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425B8CCC">
            <w:pPr>
              <w:overflowPunct w:val="0"/>
              <w:autoSpaceDE w:val="0"/>
              <w:autoSpaceDN w:val="0"/>
              <w:adjustRightInd w:val="0"/>
              <w:spacing w:after="180"/>
              <w:textAlignment w:val="baseline"/>
              <w:rPr>
                <w:sz w:val="18"/>
                <w:szCs w:val="18"/>
              </w:rPr>
            </w:pPr>
            <w:r>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7A94E3F1">
            <w:pPr>
              <w:overflowPunct w:val="0"/>
              <w:autoSpaceDE w:val="0"/>
              <w:autoSpaceDN w:val="0"/>
              <w:adjustRightInd w:val="0"/>
              <w:spacing w:after="180"/>
              <w:textAlignment w:val="baseline"/>
              <w:rPr>
                <w:sz w:val="18"/>
                <w:szCs w:val="18"/>
              </w:rPr>
            </w:pPr>
            <w:r>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32A71229">
            <w:pPr>
              <w:overflowPunct w:val="0"/>
              <w:autoSpaceDE w:val="0"/>
              <w:autoSpaceDN w:val="0"/>
              <w:adjustRightInd w:val="0"/>
              <w:spacing w:after="180"/>
              <w:textAlignment w:val="baseline"/>
              <w:rPr>
                <w:b/>
                <w:bCs/>
                <w:sz w:val="18"/>
                <w:szCs w:val="18"/>
              </w:rPr>
            </w:pPr>
            <w:r>
              <w:rPr>
                <w:b/>
                <w:bCs/>
                <w:sz w:val="18"/>
                <w:szCs w:val="18"/>
              </w:rPr>
              <w:t>Observation 1-4: A CSI-RS resource that is used for A-CSI reporting can be inactive in a slot prior to the NZP-CSI-RS, and allocated as active in the NZP-CSI-RS slot.</w:t>
            </w:r>
          </w:p>
          <w:p w14:paraId="743B5BFA">
            <w:pPr>
              <w:overflowPunct w:val="0"/>
              <w:autoSpaceDE w:val="0"/>
              <w:autoSpaceDN w:val="0"/>
              <w:adjustRightInd w:val="0"/>
              <w:spacing w:after="180"/>
              <w:textAlignment w:val="baseline"/>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1B3AD825">
            <w:pPr>
              <w:overflowPunct w:val="0"/>
              <w:autoSpaceDE w:val="0"/>
              <w:autoSpaceDN w:val="0"/>
              <w:adjustRightInd w:val="0"/>
              <w:spacing w:after="180"/>
              <w:textAlignment w:val="baseline"/>
              <w:rPr>
                <w:sz w:val="18"/>
                <w:szCs w:val="18"/>
              </w:rPr>
            </w:pPr>
            <w:r>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268CE74A">
            <w:pPr>
              <w:overflowPunct w:val="0"/>
              <w:autoSpaceDE w:val="0"/>
              <w:autoSpaceDN w:val="0"/>
              <w:adjustRightInd w:val="0"/>
              <w:spacing w:after="0"/>
              <w:textAlignment w:val="baseline"/>
              <w:rPr>
                <w:b/>
                <w:bCs/>
                <w:sz w:val="18"/>
                <w:szCs w:val="18"/>
              </w:rPr>
            </w:pPr>
            <w:r>
              <w:rPr>
                <w:b/>
                <w:bCs/>
                <w:sz w:val="18"/>
                <w:szCs w:val="18"/>
              </w:rPr>
              <w:t xml:space="preserve">Proposal 1-1: For periodic NZP-CSI-RS counting, consider a NZP CSI-RS resource as “active” from the slot of the CSI-RS  </w:t>
            </w:r>
          </w:p>
          <w:p w14:paraId="1C7870CF">
            <w:pPr>
              <w:pStyle w:val="108"/>
              <w:numPr>
                <w:ilvl w:val="0"/>
                <w:numId w:val="47"/>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Alt 1: to the slot of the corresponding CSI report</w:t>
            </w:r>
          </w:p>
          <w:p w14:paraId="32AFB2BB">
            <w:pPr>
              <w:pStyle w:val="108"/>
              <w:numPr>
                <w:ilvl w:val="0"/>
                <w:numId w:val="47"/>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Alt 2: for a fixed number of slots determined by the longest CSI computation time for the SCS</w:t>
            </w:r>
          </w:p>
          <w:p w14:paraId="6B0D534E">
            <w:pPr>
              <w:pStyle w:val="108"/>
              <w:overflowPunct w:val="0"/>
              <w:autoSpaceDE w:val="0"/>
              <w:autoSpaceDN w:val="0"/>
              <w:adjustRightInd w:val="0"/>
              <w:spacing w:after="180"/>
              <w:ind w:left="960"/>
              <w:textAlignment w:val="baseline"/>
              <w:rPr>
                <w:b/>
                <w:bCs/>
                <w:sz w:val="18"/>
                <w:szCs w:val="18"/>
                <w:lang w:val="en-US"/>
              </w:rPr>
            </w:pPr>
          </w:p>
          <w:p w14:paraId="18B1240D">
            <w:pPr>
              <w:overflowPunct w:val="0"/>
              <w:autoSpaceDE w:val="0"/>
              <w:autoSpaceDN w:val="0"/>
              <w:adjustRightInd w:val="0"/>
              <w:spacing w:after="0"/>
              <w:textAlignment w:val="baseline"/>
              <w:rPr>
                <w:b/>
                <w:bCs/>
                <w:sz w:val="18"/>
                <w:szCs w:val="18"/>
              </w:rPr>
            </w:pPr>
            <w:r>
              <w:rPr>
                <w:b/>
                <w:bCs/>
                <w:sz w:val="18"/>
                <w:szCs w:val="18"/>
              </w:rPr>
              <w:t>Proposal 1-2: For semi-persistent NZP-CSI-RS counting, consider a NZP CSI-RS resource as “active” from the slot of the CSI-RS</w:t>
            </w:r>
          </w:p>
          <w:p w14:paraId="0C591D42">
            <w:pPr>
              <w:pStyle w:val="108"/>
              <w:numPr>
                <w:ilvl w:val="0"/>
                <w:numId w:val="47"/>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Alt 1: to the slot of the corresponding CSI report</w:t>
            </w:r>
          </w:p>
          <w:p w14:paraId="6E241BA0">
            <w:pPr>
              <w:pStyle w:val="108"/>
              <w:numPr>
                <w:ilvl w:val="0"/>
                <w:numId w:val="47"/>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Alt 2: for a fixed number of slots determined by the longest CSI computation time for the SCS</w:t>
            </w:r>
          </w:p>
          <w:p w14:paraId="7870EC0B">
            <w:pPr>
              <w:overflowPunct w:val="0"/>
              <w:autoSpaceDE w:val="0"/>
              <w:autoSpaceDN w:val="0"/>
              <w:adjustRightInd w:val="0"/>
              <w:spacing w:after="180"/>
              <w:textAlignment w:val="baseline"/>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14:paraId="3B8B4217">
            <w:pPr>
              <w:overflowPunct w:val="0"/>
              <w:autoSpaceDE w:val="0"/>
              <w:autoSpaceDN w:val="0"/>
              <w:adjustRightInd w:val="0"/>
              <w:spacing w:after="180"/>
              <w:ind w:left="284"/>
              <w:textAlignment w:val="baseline"/>
              <w:rPr>
                <w:b/>
                <w:sz w:val="18"/>
                <w:szCs w:val="18"/>
              </w:rPr>
            </w:pPr>
            <w:r>
              <w:rPr>
                <w:b/>
                <w:sz w:val="18"/>
                <w:szCs w:val="18"/>
                <w:highlight w:val="green"/>
              </w:rPr>
              <w:t>Agreement</w:t>
            </w:r>
            <w:r>
              <w:rPr>
                <w:b/>
                <w:sz w:val="18"/>
                <w:szCs w:val="18"/>
              </w:rPr>
              <w:t xml:space="preserve"> [RAN1#93, May 2018]</w:t>
            </w:r>
          </w:p>
          <w:p w14:paraId="4EB97BD2">
            <w:pPr>
              <w:pStyle w:val="108"/>
              <w:numPr>
                <w:ilvl w:val="0"/>
                <w:numId w:val="48"/>
              </w:numPr>
              <w:overflowPunct w:val="0"/>
              <w:autoSpaceDE w:val="0"/>
              <w:autoSpaceDN w:val="0"/>
              <w:adjustRightInd w:val="0"/>
              <w:spacing w:after="180"/>
              <w:ind w:left="1004" w:leftChars="0"/>
              <w:contextualSpacing/>
              <w:textAlignment w:val="baseline"/>
              <w:rPr>
                <w:b/>
                <w:sz w:val="18"/>
                <w:szCs w:val="18"/>
                <w:lang w:val="en-US"/>
              </w:rPr>
            </w:pPr>
            <w:r>
              <w:rPr>
                <w:sz w:val="18"/>
                <w:szCs w:val="18"/>
                <w:lang w:val="en-US"/>
              </w:rPr>
              <w:t xml:space="preserve">For the purpose of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41569F24">
            <w:pPr>
              <w:overflowPunct/>
              <w:autoSpaceDE w:val="0"/>
              <w:autoSpaceDN w:val="0"/>
              <w:adjustRightInd w:val="0"/>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1FE8992F">
            <w:pPr>
              <w:overflowPunct/>
              <w:autoSpaceDE w:val="0"/>
              <w:autoSpaceDN w:val="0"/>
              <w:adjustRightInd w:val="0"/>
              <w:spacing w:after="0"/>
              <w:ind w:left="284"/>
              <w:textAlignment w:val="auto"/>
              <w:rPr>
                <w:b/>
                <w:bCs/>
                <w:sz w:val="18"/>
                <w:szCs w:val="18"/>
              </w:rPr>
            </w:pPr>
          </w:p>
          <w:p w14:paraId="5C493F54">
            <w:pPr>
              <w:overflowPunct/>
              <w:autoSpaceDE w:val="0"/>
              <w:autoSpaceDN w:val="0"/>
              <w:adjustRightInd w:val="0"/>
              <w:spacing w:after="0"/>
              <w:textAlignment w:val="auto"/>
              <w:rPr>
                <w:sz w:val="18"/>
                <w:szCs w:val="18"/>
              </w:rPr>
            </w:pPr>
            <w:r>
              <w:rPr>
                <w:sz w:val="18"/>
                <w:szCs w:val="18"/>
              </w:rPr>
              <w:t>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2E9E6880">
            <w:pPr>
              <w:overflowPunct/>
              <w:autoSpaceDE w:val="0"/>
              <w:autoSpaceDN w:val="0"/>
              <w:adjustRightInd w:val="0"/>
              <w:spacing w:after="0"/>
              <w:textAlignment w:val="auto"/>
              <w:rPr>
                <w:sz w:val="18"/>
                <w:szCs w:val="18"/>
              </w:rPr>
            </w:pPr>
          </w:p>
          <w:p w14:paraId="3880DE2B">
            <w:pPr>
              <w:overflowPunct/>
              <w:autoSpaceDE w:val="0"/>
              <w:autoSpaceDN w:val="0"/>
              <w:adjustRightInd w:val="0"/>
              <w:spacing w:after="0"/>
              <w:textAlignment w:val="auto"/>
              <w:rPr>
                <w:sz w:val="18"/>
                <w:szCs w:val="18"/>
              </w:rPr>
            </w:pPr>
            <w:r>
              <w:rPr>
                <w:sz w:val="18"/>
                <w:szCs w:val="18"/>
                <w:lang w:val="en-US" w:eastAsia="zh-CN"/>
              </w:rPr>
              <w:drawing>
                <wp:inline distT="0" distB="0" distL="0" distR="0">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68CD2F79">
            <w:pPr>
              <w:pStyle w:val="21"/>
              <w:overflowPunct w:val="0"/>
              <w:autoSpaceDE w:val="0"/>
              <w:autoSpaceDN w:val="0"/>
              <w:adjustRightInd w:val="0"/>
              <w:textAlignment w:val="baseline"/>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40FFD1FE">
            <w:pPr>
              <w:overflowPunct/>
              <w:autoSpaceDE w:val="0"/>
              <w:autoSpaceDN w:val="0"/>
              <w:adjustRightInd w:val="0"/>
              <w:spacing w:after="0"/>
              <w:textAlignment w:val="auto"/>
              <w:rPr>
                <w:sz w:val="18"/>
                <w:szCs w:val="18"/>
              </w:rPr>
            </w:pPr>
            <w:r>
              <w:rPr>
                <w:sz w:val="18"/>
                <w:szCs w:val="18"/>
              </w:rPr>
              <w:t>The Rel-15 double-counting was made worse with Rel-18 NES inheriting the solution.</w:t>
            </w:r>
          </w:p>
          <w:p w14:paraId="15192322">
            <w:pPr>
              <w:overflowPunct/>
              <w:autoSpaceDE w:val="0"/>
              <w:autoSpaceDN w:val="0"/>
              <w:adjustRightInd w:val="0"/>
              <w:spacing w:after="0"/>
              <w:textAlignment w:val="auto"/>
              <w:rPr>
                <w:sz w:val="18"/>
                <w:szCs w:val="18"/>
              </w:rPr>
            </w:pPr>
          </w:p>
          <w:p w14:paraId="4E8912C6">
            <w:pPr>
              <w:overflowPunct w:val="0"/>
              <w:autoSpaceDE w:val="0"/>
              <w:autoSpaceDN w:val="0"/>
              <w:adjustRightInd w:val="0"/>
              <w:spacing w:after="180"/>
              <w:textAlignment w:val="baseline"/>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5B90B08F">
            <w:pPr>
              <w:overflowPunct/>
              <w:autoSpaceDE w:val="0"/>
              <w:autoSpaceDN w:val="0"/>
              <w:adjustRightInd w:val="0"/>
              <w:spacing w:after="0"/>
              <w:textAlignment w:val="auto"/>
              <w:rPr>
                <w:b/>
                <w:bCs/>
                <w:sz w:val="18"/>
                <w:szCs w:val="18"/>
              </w:rPr>
            </w:pPr>
          </w:p>
          <w:p w14:paraId="267FC65E">
            <w:pPr>
              <w:overflowPunct w:val="0"/>
              <w:autoSpaceDE w:val="0"/>
              <w:autoSpaceDN w:val="0"/>
              <w:adjustRightInd w:val="0"/>
              <w:spacing w:after="180"/>
              <w:textAlignment w:val="baseline"/>
              <w:rPr>
                <w:b/>
                <w:bCs/>
                <w:sz w:val="18"/>
                <w:szCs w:val="18"/>
              </w:rPr>
            </w:pPr>
            <w:r>
              <w:rPr>
                <w:b/>
                <w:bCs/>
                <w:sz w:val="18"/>
                <w:szCs w:val="18"/>
              </w:rPr>
              <w:t xml:space="preserve">Proposal 1-4: For the purpose of simultaneous CSI-RS reception in Network Energy aving UE features 42-1/1a/1b/1c, and 42-2/2a/2b/2c, </w:t>
            </w:r>
            <w:bookmarkStart w:id="29"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29"/>
          </w:p>
          <w:p w14:paraId="7226D3F0">
            <w:pPr>
              <w:overflowPunct w:val="0"/>
              <w:autoSpaceDE w:val="0"/>
              <w:autoSpaceDN w:val="0"/>
              <w:adjustRightInd w:val="0"/>
              <w:spacing w:after="160" w:line="254" w:lineRule="auto"/>
              <w:textAlignment w:val="baseline"/>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5C24B427">
            <w:pPr>
              <w:overflowPunct w:val="0"/>
              <w:autoSpaceDE w:val="0"/>
              <w:autoSpaceDN w:val="0"/>
              <w:adjustRightInd w:val="0"/>
              <w:spacing w:after="160" w:line="254" w:lineRule="auto"/>
              <w:textAlignment w:val="baseline"/>
              <w:rPr>
                <w:b/>
                <w:bCs/>
                <w:sz w:val="18"/>
                <w:szCs w:val="18"/>
              </w:rPr>
            </w:pPr>
            <w:r>
              <w:rPr>
                <w:b/>
                <w:bCs/>
                <w:sz w:val="18"/>
                <w:szCs w:val="18"/>
              </w:rPr>
              <w:t>Proposal 1-5: Consider the above text proposals as a starting point for developing the specification changes</w:t>
            </w:r>
          </w:p>
          <w:p w14:paraId="28FDB0F0">
            <w:pPr>
              <w:overflowPunct w:val="0"/>
              <w:autoSpaceDE w:val="0"/>
              <w:autoSpaceDN w:val="0"/>
              <w:adjustRightInd w:val="0"/>
              <w:spacing w:after="160" w:line="254" w:lineRule="auto"/>
              <w:textAlignment w:val="baseline"/>
              <w:rPr>
                <w:b/>
                <w:bCs/>
                <w:sz w:val="18"/>
                <w:szCs w:val="18"/>
              </w:rPr>
            </w:pPr>
            <w:r>
              <w:rPr>
                <w:b/>
                <w:bCs/>
                <w:sz w:val="18"/>
                <w:szCs w:val="18"/>
              </w:rPr>
              <w:t>Proposal 1-6: Discuss how to define the UE capabilities for the different aspects of NZP-CSI-RS resource counting.</w:t>
            </w:r>
          </w:p>
          <w:p w14:paraId="76573937">
            <w:pPr>
              <w:pStyle w:val="108"/>
              <w:numPr>
                <w:ilvl w:val="0"/>
                <w:numId w:val="48"/>
              </w:numPr>
              <w:overflowPunct w:val="0"/>
              <w:autoSpaceDE w:val="0"/>
              <w:autoSpaceDN w:val="0"/>
              <w:adjustRightInd w:val="0"/>
              <w:spacing w:after="160" w:line="254" w:lineRule="auto"/>
              <w:ind w:leftChars="0"/>
              <w:contextualSpacing/>
              <w:textAlignment w:val="baseline"/>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16C5BE15">
      <w:pPr>
        <w:rPr>
          <w:b/>
        </w:rPr>
      </w:pPr>
    </w:p>
    <w:p w14:paraId="5DED583A">
      <w:pPr>
        <w:jc w:val="both"/>
        <w:rPr>
          <w:rFonts w:eastAsia="MS Mincho" w:cs="Batang"/>
          <w:sz w:val="22"/>
          <w:szCs w:val="22"/>
        </w:rPr>
      </w:pPr>
      <w:r>
        <w:rPr>
          <w:rFonts w:eastAsia="MS Mincho" w:cs="Batang"/>
          <w:sz w:val="22"/>
          <w:szCs w:val="22"/>
        </w:rPr>
        <w:t>Based on the above contribution, following TEI proposal</w:t>
      </w:r>
      <w:r>
        <w:rPr>
          <w:rFonts w:hint="eastAsia" w:eastAsia="MS Mincho" w:cs="Batang"/>
          <w:sz w:val="22"/>
          <w:szCs w:val="22"/>
        </w:rPr>
        <w:t>s</w:t>
      </w:r>
      <w:r>
        <w:rPr>
          <w:rFonts w:eastAsia="MS Mincho" w:cs="Batang"/>
          <w:sz w:val="22"/>
          <w:szCs w:val="22"/>
        </w:rPr>
        <w:t xml:space="preserve"> can be discussed in RAN1#11</w:t>
      </w:r>
      <w:r>
        <w:rPr>
          <w:rFonts w:hint="eastAsia" w:eastAsia="MS Mincho" w:cs="Batang"/>
          <w:sz w:val="22"/>
          <w:szCs w:val="22"/>
        </w:rPr>
        <w:t>8bis</w:t>
      </w:r>
      <w:r>
        <w:rPr>
          <w:rFonts w:eastAsia="MS Mincho" w:cs="Batang"/>
          <w:sz w:val="22"/>
          <w:szCs w:val="22"/>
        </w:rPr>
        <w:t xml:space="preserve"> meeting.</w:t>
      </w:r>
    </w:p>
    <w:p w14:paraId="399D0DCB">
      <w:pPr>
        <w:rPr>
          <w:rFonts w:ascii="Arial" w:hAnsi="Arial" w:eastAsia="MS Mincho"/>
          <w:sz w:val="32"/>
          <w:szCs w:val="32"/>
        </w:rPr>
      </w:pPr>
    </w:p>
    <w:p w14:paraId="2E19AC63">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16-1</w:t>
      </w:r>
    </w:p>
    <w:p w14:paraId="1600EF03">
      <w:pPr>
        <w:pStyle w:val="108"/>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0CE8B1EF">
      <w:pPr>
        <w:pStyle w:val="108"/>
        <w:numPr>
          <w:ilvl w:val="1"/>
          <w:numId w:val="20"/>
        </w:numPr>
        <w:ind w:leftChars="0"/>
        <w:jc w:val="both"/>
        <w:rPr>
          <w:b/>
        </w:rPr>
      </w:pPr>
      <w:r>
        <w:rPr>
          <w:b/>
        </w:rPr>
        <w:t>Alt 1: to the slot of the corresponding CSI report</w:t>
      </w:r>
      <w:r>
        <w:rPr>
          <w:rFonts w:hint="eastAsia"/>
          <w:b/>
        </w:rPr>
        <w:t>.</w:t>
      </w:r>
    </w:p>
    <w:p w14:paraId="4103C92B">
      <w:pPr>
        <w:pStyle w:val="108"/>
        <w:numPr>
          <w:ilvl w:val="1"/>
          <w:numId w:val="20"/>
        </w:numPr>
        <w:ind w:leftChars="0"/>
        <w:jc w:val="both"/>
        <w:rPr>
          <w:b/>
        </w:rPr>
      </w:pPr>
      <w:r>
        <w:rPr>
          <w:b/>
        </w:rPr>
        <w:t>Alt 2: for a fixed number of slots determined by the longest CSI computation time for the SCS</w:t>
      </w:r>
      <w:r>
        <w:rPr>
          <w:rFonts w:hint="eastAsia"/>
          <w:b/>
        </w:rPr>
        <w:t>.</w:t>
      </w:r>
    </w:p>
    <w:p w14:paraId="0FB0979D">
      <w:pPr>
        <w:jc w:val="both"/>
        <w:rPr>
          <w:b/>
        </w:rPr>
      </w:pPr>
    </w:p>
    <w:p w14:paraId="16F04265">
      <w:pPr>
        <w:rPr>
          <w:rFonts w:eastAsia="MS Mincho" w:cs="Batang"/>
          <w:sz w:val="22"/>
          <w:szCs w:val="22"/>
        </w:rPr>
      </w:pPr>
    </w:p>
    <w:p w14:paraId="0FB3DB2E">
      <w:pPr>
        <w:rPr>
          <w:rFonts w:eastAsia="MS Mincho" w:cs="Batang"/>
          <w:sz w:val="22"/>
          <w:szCs w:val="22"/>
        </w:rPr>
      </w:pPr>
      <w:r>
        <w:rPr>
          <w:rFonts w:hint="eastAsia" w:eastAsia="MS Mincho" w:cs="Batang"/>
          <w:sz w:val="22"/>
          <w:szCs w:val="22"/>
        </w:rPr>
        <w:t>T</w:t>
      </w:r>
      <w:r>
        <w:rPr>
          <w:rFonts w:eastAsia="MS Mincho" w:cs="Batang"/>
          <w:sz w:val="22"/>
          <w:szCs w:val="22"/>
        </w:rPr>
        <w:t>his proposal is already supported by Nokia, Apple, MediaTek.</w:t>
      </w:r>
    </w:p>
    <w:p w14:paraId="06967C5B">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5"/>
        <w:gridCol w:w="1023"/>
        <w:gridCol w:w="7200"/>
      </w:tblGrid>
      <w:tr w14:paraId="0497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shd w:val="clear" w:color="auto" w:fill="F1F1F1" w:themeFill="background1" w:themeFillShade="F2"/>
          </w:tcPr>
          <w:p w14:paraId="6369ABC1">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14:paraId="193D57E8">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7200" w:type="dxa"/>
            <w:shd w:val="clear" w:color="auto" w:fill="F1F1F1" w:themeFill="background1" w:themeFillShade="F2"/>
          </w:tcPr>
          <w:p w14:paraId="713ECA8A">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14:paraId="4CCB5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14:paraId="5A973284">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DOCOMO</w:t>
            </w:r>
          </w:p>
        </w:tc>
        <w:tc>
          <w:tcPr>
            <w:tcW w:w="1023" w:type="dxa"/>
          </w:tcPr>
          <w:p w14:paraId="7B318614">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Y</w:t>
            </w:r>
          </w:p>
        </w:tc>
        <w:tc>
          <w:tcPr>
            <w:tcW w:w="7200" w:type="dxa"/>
          </w:tcPr>
          <w:p w14:paraId="4CC335AC">
            <w:pPr>
              <w:overflowPunct w:val="0"/>
              <w:autoSpaceDE w:val="0"/>
              <w:autoSpaceDN w:val="0"/>
              <w:adjustRightInd w:val="0"/>
              <w:spacing w:after="120" w:afterLines="50"/>
              <w:jc w:val="both"/>
              <w:textAlignment w:val="baseline"/>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14:paraId="6FC1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14:paraId="3DC8EBF3">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Apple</w:t>
            </w:r>
          </w:p>
        </w:tc>
        <w:tc>
          <w:tcPr>
            <w:tcW w:w="1023" w:type="dxa"/>
          </w:tcPr>
          <w:p w14:paraId="6939A45C">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7200" w:type="dxa"/>
          </w:tcPr>
          <w:p w14:paraId="48B04FDA">
            <w:pPr>
              <w:overflowPunct w:val="0"/>
              <w:autoSpaceDE w:val="0"/>
              <w:autoSpaceDN w:val="0"/>
              <w:adjustRightInd w:val="0"/>
              <w:spacing w:after="120" w:afterLines="50"/>
              <w:jc w:val="both"/>
              <w:textAlignment w:val="baseline"/>
              <w:rPr>
                <w:sz w:val="22"/>
                <w:lang w:val="en-US"/>
              </w:rPr>
            </w:pPr>
            <w:r>
              <w:rPr>
                <w:sz w:val="22"/>
                <w:lang w:val="en-US"/>
              </w:rPr>
              <w:t xml:space="preserve">We prefer Alt 2. Regarding Alt 2, further discussion is still needed to determine the number of slots. </w:t>
            </w:r>
          </w:p>
        </w:tc>
      </w:tr>
      <w:tr w14:paraId="6999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14:paraId="669BAEDF">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14:paraId="6CD0C70F">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N</w:t>
            </w:r>
          </w:p>
        </w:tc>
        <w:tc>
          <w:tcPr>
            <w:tcW w:w="7200" w:type="dxa"/>
          </w:tcPr>
          <w:p w14:paraId="241883B1">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4F9246F5">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4BE29150">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The benefit to current spec is not clear either. </w:t>
            </w:r>
            <w:r>
              <w:rPr>
                <w:rFonts w:hint="eastAsia" w:eastAsiaTheme="minor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4982F399">
            <w:pPr>
              <w:overflowPunct w:val="0"/>
              <w:autoSpaceDE w:val="0"/>
              <w:autoSpaceDN w:val="0"/>
              <w:adjustRightInd w:val="0"/>
              <w:spacing w:after="120" w:afterLines="50"/>
              <w:jc w:val="both"/>
              <w:textAlignment w:val="baseline"/>
              <w:rPr>
                <w:sz w:val="22"/>
                <w:lang w:val="en-US"/>
              </w:rPr>
            </w:pPr>
          </w:p>
        </w:tc>
      </w:tr>
      <w:tr w14:paraId="2CC3A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14:paraId="5B50E928">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Lenovo/ MotM</w:t>
            </w:r>
          </w:p>
        </w:tc>
        <w:tc>
          <w:tcPr>
            <w:tcW w:w="1023" w:type="dxa"/>
          </w:tcPr>
          <w:p w14:paraId="733DCB9E">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7200" w:type="dxa"/>
          </w:tcPr>
          <w:p w14:paraId="3162D7A2">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14:paraId="536B0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14:paraId="563995A7">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ZTE</w:t>
            </w:r>
          </w:p>
        </w:tc>
        <w:tc>
          <w:tcPr>
            <w:tcW w:w="1023" w:type="dxa"/>
          </w:tcPr>
          <w:p w14:paraId="52F7411F">
            <w:pPr>
              <w:overflowPunct w:val="0"/>
              <w:autoSpaceDE w:val="0"/>
              <w:autoSpaceDN w:val="0"/>
              <w:adjustRightInd w:val="0"/>
              <w:spacing w:after="120" w:afterLines="50"/>
              <w:jc w:val="both"/>
              <w:textAlignment w:val="baseline"/>
              <w:rPr>
                <w:rFonts w:eastAsiaTheme="minorEastAsia"/>
                <w:sz w:val="22"/>
                <w:lang w:val="en-US" w:eastAsia="zh-CN"/>
              </w:rPr>
            </w:pPr>
          </w:p>
        </w:tc>
        <w:tc>
          <w:tcPr>
            <w:tcW w:w="7200" w:type="dxa"/>
          </w:tcPr>
          <w:p w14:paraId="59F10200">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We are open to discuss that, and then, in our views, </w:t>
            </w:r>
            <w:r>
              <w:rPr>
                <w:rFonts w:hint="eastAsia" w:eastAsiaTheme="minor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14:paraId="6D9EA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14:paraId="4A7F8AA4">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14:paraId="15F0ACAD">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Y</w:t>
            </w:r>
          </w:p>
        </w:tc>
        <w:tc>
          <w:tcPr>
            <w:tcW w:w="7200" w:type="dxa"/>
          </w:tcPr>
          <w:p w14:paraId="5C5589B4">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14:paraId="1A6E5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14:paraId="50D33E29">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Qualcomm</w:t>
            </w:r>
          </w:p>
        </w:tc>
        <w:tc>
          <w:tcPr>
            <w:tcW w:w="1023" w:type="dxa"/>
          </w:tcPr>
          <w:p w14:paraId="31D0646A">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7200" w:type="dxa"/>
          </w:tcPr>
          <w:p w14:paraId="25C2E2F1">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For Alt1, existing spec has no correspondence b/w CSI-RS occasion and report, for example</w:t>
            </w:r>
          </w:p>
          <w:p w14:paraId="38096862">
            <w:pPr>
              <w:pStyle w:val="108"/>
              <w:numPr>
                <w:ilvl w:val="0"/>
                <w:numId w:val="49"/>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Each CMR/IMR, and the report, can have different periodicities;</w:t>
            </w:r>
          </w:p>
          <w:p w14:paraId="37560A77">
            <w:pPr>
              <w:pStyle w:val="108"/>
              <w:numPr>
                <w:ilvl w:val="0"/>
                <w:numId w:val="49"/>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P-CMR/-IMR can be configured with AP-report</w:t>
            </w:r>
          </w:p>
          <w:p w14:paraId="2D153ECA">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For Alt2, existing spec has no correspondence b/w each occasion of each CMR/IMR</w:t>
            </w:r>
          </w:p>
          <w:p w14:paraId="395BB769">
            <w:pPr>
              <w:pStyle w:val="108"/>
              <w:numPr>
                <w:ilvl w:val="0"/>
                <w:numId w:val="50"/>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hint="eastAsia" w:eastAsiaTheme="minorEastAsia"/>
                <w:sz w:val="22"/>
                <w:lang w:val="en-US" w:eastAsia="zh-CN"/>
              </w:rPr>
              <w:t>)? This seems not to be the definition of CSI timeline.</w:t>
            </w:r>
          </w:p>
          <w:p w14:paraId="339764C1">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We tend to think proposal 16-1 is more like a totally new framework on ARC (or CPU), and much larger than a TEI.</w:t>
            </w:r>
          </w:p>
        </w:tc>
      </w:tr>
      <w:tr w14:paraId="7DCE0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14:paraId="6E472D7F">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14:paraId="4C084134">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7200" w:type="dxa"/>
          </w:tcPr>
          <w:p w14:paraId="21B6AB2C">
            <w:pPr>
              <w:overflowPunct w:val="0"/>
              <w:autoSpaceDE w:val="0"/>
              <w:autoSpaceDN w:val="0"/>
              <w:adjustRightInd w:val="0"/>
              <w:spacing w:after="180"/>
              <w:textAlignment w:val="baseline"/>
              <w:rPr>
                <w:rFonts w:eastAsiaTheme="minorEastAsia"/>
                <w:bCs/>
                <w:lang w:eastAsia="zh-CN"/>
              </w:rPr>
            </w:pPr>
            <w:r>
              <w:rPr>
                <w:rFonts w:eastAsiaTheme="minorEastAsia"/>
                <w:bCs/>
                <w:lang w:eastAsia="zh-CN"/>
              </w:rPr>
              <w:t xml:space="preserve">UE may do averaging over few CSI-RS occasions. </w:t>
            </w:r>
          </w:p>
          <w:p w14:paraId="4FDFE60C">
            <w:pPr>
              <w:overflowPunct w:val="0"/>
              <w:autoSpaceDE w:val="0"/>
              <w:autoSpaceDN w:val="0"/>
              <w:adjustRightInd w:val="0"/>
              <w:spacing w:after="180"/>
              <w:textAlignment w:val="baseline"/>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r>
              <w:rPr>
                <w:i/>
              </w:rPr>
              <w:t>timeRestrictionForChannelMeasurements</w:t>
            </w:r>
            <w:r>
              <w:rPr>
                <w:color w:val="000000"/>
              </w:rPr>
              <w:t>,</w:t>
            </w:r>
            <w:r>
              <w:rPr>
                <w:rFonts w:eastAsiaTheme="minorEastAsia"/>
                <w:lang w:eastAsia="zh-CN"/>
              </w:rPr>
              <w:t>”?</w:t>
            </w:r>
          </w:p>
          <w:p w14:paraId="7BFB87AF">
            <w:pPr>
              <w:overflowPunct w:val="0"/>
              <w:autoSpaceDE w:val="0"/>
              <w:autoSpaceDN w:val="0"/>
              <w:adjustRightInd w:val="0"/>
              <w:spacing w:after="120" w:afterLines="50"/>
              <w:jc w:val="both"/>
              <w:textAlignment w:val="baseline"/>
              <w:rPr>
                <w:rFonts w:eastAsiaTheme="minorEastAsia"/>
                <w:sz w:val="22"/>
                <w:lang w:eastAsia="zh-CN"/>
              </w:rPr>
            </w:pPr>
          </w:p>
        </w:tc>
      </w:tr>
      <w:tr w14:paraId="38AE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14:paraId="233B5778">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023" w:type="dxa"/>
          </w:tcPr>
          <w:p w14:paraId="17054DE2">
            <w:pPr>
              <w:overflowPunct w:val="0"/>
              <w:autoSpaceDE w:val="0"/>
              <w:autoSpaceDN w:val="0"/>
              <w:adjustRightInd w:val="0"/>
              <w:spacing w:after="120" w:afterLines="50"/>
              <w:jc w:val="both"/>
              <w:textAlignment w:val="baseline"/>
              <w:rPr>
                <w:rFonts w:eastAsiaTheme="minorEastAsia"/>
                <w:sz w:val="22"/>
                <w:lang w:val="en-US" w:eastAsia="zh-CN"/>
              </w:rPr>
            </w:pPr>
          </w:p>
        </w:tc>
        <w:tc>
          <w:tcPr>
            <w:tcW w:w="7200" w:type="dxa"/>
          </w:tcPr>
          <w:p w14:paraId="61F4F5DC">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w:t>
            </w:r>
            <w:r>
              <w:rPr>
                <w:rFonts w:eastAsiaTheme="minorEastAsia"/>
                <w:sz w:val="22"/>
                <w:lang w:val="en-US" w:eastAsia="zh-CN"/>
              </w:rPr>
              <w:t>e are open to discuss the pros and cons of the proposal.</w:t>
            </w:r>
          </w:p>
          <w:p w14:paraId="1FCD9264">
            <w:pPr>
              <w:overflowPunct w:val="0"/>
              <w:autoSpaceDE w:val="0"/>
              <w:autoSpaceDN w:val="0"/>
              <w:adjustRightInd w:val="0"/>
              <w:spacing w:after="180"/>
              <w:textAlignment w:val="baseline"/>
              <w:rPr>
                <w:rFonts w:eastAsiaTheme="minorEastAsia"/>
                <w:bCs/>
                <w:lang w:eastAsia="zh-CN"/>
              </w:rPr>
            </w:pPr>
            <w:r>
              <w:rPr>
                <w:rFonts w:hint="eastAsia" w:eastAsiaTheme="minor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14:paraId="10A2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14:paraId="58BA2FE9">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14:paraId="4C0D2995">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7200" w:type="dxa"/>
          </w:tcPr>
          <w:p w14:paraId="28D7E771">
            <w:pPr>
              <w:overflowPunct w:val="0"/>
              <w:autoSpaceDE w:val="0"/>
              <w:autoSpaceDN w:val="0"/>
              <w:adjustRightInd w:val="0"/>
              <w:spacing w:after="120" w:afterLines="50"/>
              <w:jc w:val="both"/>
              <w:textAlignment w:val="baseline"/>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12CF7518">
            <w:pPr>
              <w:overflowPunct w:val="0"/>
              <w:autoSpaceDE w:val="0"/>
              <w:autoSpaceDN w:val="0"/>
              <w:adjustRightInd w:val="0"/>
              <w:spacing w:after="120" w:afterLines="50"/>
              <w:jc w:val="both"/>
              <w:textAlignment w:val="baseline"/>
              <w:rPr>
                <w:rFonts w:eastAsiaTheme="minorEastAsia"/>
                <w:sz w:val="22"/>
                <w:lang w:val="en-US" w:eastAsia="zh-CN"/>
              </w:rPr>
            </w:pPr>
            <w:r>
              <w:rPr>
                <w:lang w:val="en-US"/>
              </w:rPr>
              <w:object>
                <v:shape id="_x0000_i1055" o:spt="75" type="#_x0000_t75" style="height:134.65pt;width:349.2pt;" o:ole="t" filled="f" o:preferrelative="t" stroked="f" coordsize="21600,21600">
                  <v:path/>
                  <v:fill on="f" focussize="0,0"/>
                  <v:stroke on="f" joinstyle="miter"/>
                  <v:imagedata r:id="rId93" o:title=""/>
                  <o:lock v:ext="edit" aspectratio="t"/>
                  <w10:wrap type="none"/>
                  <w10:anchorlock/>
                </v:shape>
                <o:OLEObject Type="Embed" ProgID="PBrush" ShapeID="_x0000_i1055" DrawAspect="Content" ObjectID="_1468075775" r:id="rId92">
                  <o:LockedField>false</o:LockedField>
                </o:OLEObject>
              </w:object>
            </w:r>
          </w:p>
        </w:tc>
      </w:tr>
      <w:tr w14:paraId="44F86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14:paraId="09CBF746">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14:paraId="5886C85A">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7200" w:type="dxa"/>
          </w:tcPr>
          <w:p w14:paraId="791C3451">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Firstly, this TEI affects several legacy rules that were defined in Rel-15, and therefore it would have a substantial specification/implementation impact on both UE/gNB. In addition, it is not clear what performance/throughput benefit can be achieved by the proposal over current operation. </w:t>
            </w:r>
          </w:p>
        </w:tc>
      </w:tr>
      <w:tr w14:paraId="6E16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14:paraId="2DA5C349">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Ericsson</w:t>
            </w:r>
          </w:p>
        </w:tc>
        <w:tc>
          <w:tcPr>
            <w:tcW w:w="1023" w:type="dxa"/>
          </w:tcPr>
          <w:p w14:paraId="14942AF0">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Y</w:t>
            </w:r>
          </w:p>
        </w:tc>
        <w:tc>
          <w:tcPr>
            <w:tcW w:w="7200" w:type="dxa"/>
          </w:tcPr>
          <w:p w14:paraId="1F2854B2">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14:paraId="45F9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14:paraId="7F47D6F2">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Nokia</w:t>
            </w:r>
          </w:p>
        </w:tc>
        <w:tc>
          <w:tcPr>
            <w:tcW w:w="1023" w:type="dxa"/>
          </w:tcPr>
          <w:p w14:paraId="68FDC6B8">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7200" w:type="dxa"/>
          </w:tcPr>
          <w:p w14:paraId="71900621">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obviously support the proposal</w:t>
            </w:r>
          </w:p>
          <w:p w14:paraId="65CB36AC">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14:paraId="0370FB9E">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4A727702">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bl>
    <w:p w14:paraId="2603BFAB">
      <w:pPr>
        <w:rPr>
          <w:rFonts w:ascii="Arial" w:hAnsi="Arial" w:eastAsia="MS Mincho"/>
          <w:sz w:val="32"/>
          <w:szCs w:val="32"/>
        </w:rPr>
      </w:pPr>
    </w:p>
    <w:p w14:paraId="255E619F">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16-2</w:t>
      </w:r>
    </w:p>
    <w:p w14:paraId="73A29AE0">
      <w:pPr>
        <w:pStyle w:val="108"/>
        <w:numPr>
          <w:ilvl w:val="1"/>
          <w:numId w:val="20"/>
        </w:numPr>
        <w:ind w:leftChars="0"/>
        <w:jc w:val="both"/>
        <w:rPr>
          <w:b/>
        </w:rPr>
      </w:pPr>
      <w:r>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4554EB92">
      <w:pPr>
        <w:pStyle w:val="108"/>
        <w:numPr>
          <w:ilvl w:val="1"/>
          <w:numId w:val="20"/>
        </w:numPr>
        <w:ind w:leftChars="0"/>
        <w:jc w:val="both"/>
        <w:rPr>
          <w:b/>
        </w:rPr>
      </w:pPr>
      <w:r>
        <w:rPr>
          <w:b/>
        </w:rPr>
        <w:t xml:space="preserve">For the purpose of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593E98C6">
      <w:pPr>
        <w:rPr>
          <w:rFonts w:eastAsia="MS Mincho" w:cs="Batang"/>
          <w:sz w:val="22"/>
          <w:szCs w:val="22"/>
        </w:rPr>
      </w:pPr>
    </w:p>
    <w:p w14:paraId="0B090CFA">
      <w:pPr>
        <w:rPr>
          <w:rFonts w:eastAsia="MS Mincho" w:cs="Batang"/>
          <w:sz w:val="22"/>
          <w:szCs w:val="22"/>
        </w:rPr>
      </w:pPr>
      <w:r>
        <w:rPr>
          <w:rFonts w:hint="eastAsia" w:eastAsia="MS Mincho" w:cs="Batang"/>
          <w:sz w:val="22"/>
          <w:szCs w:val="22"/>
        </w:rPr>
        <w:t>T</w:t>
      </w:r>
      <w:r>
        <w:rPr>
          <w:rFonts w:eastAsia="MS Mincho" w:cs="Batang"/>
          <w:sz w:val="22"/>
          <w:szCs w:val="22"/>
        </w:rPr>
        <w:t>his proposal is already supported by Nokia, Apple, MediaTek.</w:t>
      </w:r>
    </w:p>
    <w:p w14:paraId="2F1C5766">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14:paraId="1FA2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14:paraId="4CB5D101">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14:paraId="6FECC404">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14:paraId="7E2E77CA">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14:paraId="55645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3B0D5FE4">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DOCOMO</w:t>
            </w:r>
          </w:p>
        </w:tc>
        <w:tc>
          <w:tcPr>
            <w:tcW w:w="1023" w:type="dxa"/>
          </w:tcPr>
          <w:p w14:paraId="7B751E1F">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Y</w:t>
            </w:r>
          </w:p>
        </w:tc>
        <w:tc>
          <w:tcPr>
            <w:tcW w:w="6912" w:type="dxa"/>
          </w:tcPr>
          <w:p w14:paraId="7A98C791">
            <w:pPr>
              <w:overflowPunct w:val="0"/>
              <w:autoSpaceDE w:val="0"/>
              <w:autoSpaceDN w:val="0"/>
              <w:adjustRightInd w:val="0"/>
              <w:spacing w:after="120" w:afterLines="50"/>
              <w:jc w:val="both"/>
              <w:textAlignment w:val="baseline"/>
              <w:rPr>
                <w:sz w:val="22"/>
                <w:lang w:val="en-US"/>
              </w:rPr>
            </w:pPr>
          </w:p>
        </w:tc>
      </w:tr>
      <w:tr w14:paraId="4C8B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6888E1FF">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Apple</w:t>
            </w:r>
          </w:p>
        </w:tc>
        <w:tc>
          <w:tcPr>
            <w:tcW w:w="1023" w:type="dxa"/>
          </w:tcPr>
          <w:p w14:paraId="1D3D2D03">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14:paraId="7D710928">
            <w:pPr>
              <w:overflowPunct w:val="0"/>
              <w:autoSpaceDE w:val="0"/>
              <w:autoSpaceDN w:val="0"/>
              <w:adjustRightInd w:val="0"/>
              <w:spacing w:after="120" w:afterLines="50"/>
              <w:jc w:val="both"/>
              <w:textAlignment w:val="baseline"/>
              <w:rPr>
                <w:sz w:val="22"/>
                <w:lang w:val="en-US"/>
              </w:rPr>
            </w:pPr>
          </w:p>
        </w:tc>
      </w:tr>
      <w:tr w14:paraId="3E9FF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0319FCB6">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14:paraId="12DB9E39">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N</w:t>
            </w:r>
          </w:p>
        </w:tc>
        <w:tc>
          <w:tcPr>
            <w:tcW w:w="6912" w:type="dxa"/>
          </w:tcPr>
          <w:p w14:paraId="6B429552">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14:paraId="22A96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0B6DFA4C">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Lenovo/ MotM</w:t>
            </w:r>
          </w:p>
        </w:tc>
        <w:tc>
          <w:tcPr>
            <w:tcW w:w="1023" w:type="dxa"/>
          </w:tcPr>
          <w:p w14:paraId="610238D7">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14:paraId="5C99951E">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14:paraId="20221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3B40677D">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ZTE</w:t>
            </w:r>
          </w:p>
        </w:tc>
        <w:tc>
          <w:tcPr>
            <w:tcW w:w="1023" w:type="dxa"/>
          </w:tcPr>
          <w:p w14:paraId="00D9FEC2">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14:paraId="1A7BCE29">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19AE60C4">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14:paraId="75C0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402C3FF1">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Spreadtrum</w:t>
            </w:r>
          </w:p>
        </w:tc>
        <w:tc>
          <w:tcPr>
            <w:tcW w:w="1023" w:type="dxa"/>
          </w:tcPr>
          <w:p w14:paraId="45597ED4">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14:paraId="3A15B090">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hint="eastAsia" w:eastAsiaTheme="minorEastAsia"/>
                <w:sz w:val="22"/>
                <w:lang w:val="en-US" w:eastAsia="zh-CN"/>
              </w:rPr>
              <w:t xml:space="preserve">e </w:t>
            </w:r>
            <w:r>
              <w:rPr>
                <w:rFonts w:eastAsiaTheme="minorEastAsia"/>
                <w:sz w:val="22"/>
                <w:lang w:val="en-US" w:eastAsia="zh-CN"/>
              </w:rPr>
              <w:t>are fine to further study.</w:t>
            </w:r>
          </w:p>
        </w:tc>
      </w:tr>
      <w:tr w14:paraId="1456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41B00722">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Qualcomm</w:t>
            </w:r>
          </w:p>
        </w:tc>
        <w:tc>
          <w:tcPr>
            <w:tcW w:w="1023" w:type="dxa"/>
          </w:tcPr>
          <w:p w14:paraId="02E9CE0A">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14:paraId="75FA7459">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Open with lower-down the </w:t>
            </w:r>
            <w:r>
              <w:rPr>
                <w:rFonts w:eastAsiaTheme="minorEastAsia"/>
                <w:sz w:val="22"/>
                <w:lang w:val="en-US" w:eastAsia="zh-CN"/>
              </w:rPr>
              <w:t>“</w:t>
            </w:r>
            <w:r>
              <w:rPr>
                <w:rFonts w:hint="eastAsia" w:eastAsiaTheme="minorEastAsia"/>
                <w:sz w:val="22"/>
                <w:lang w:val="en-US" w:eastAsia="zh-CN"/>
              </w:rPr>
              <w:t>overcounting</w:t>
            </w:r>
            <w:r>
              <w:rPr>
                <w:rFonts w:eastAsiaTheme="minorEastAsia"/>
                <w:sz w:val="22"/>
                <w:lang w:val="en-US" w:eastAsia="zh-CN"/>
              </w:rPr>
              <w:t>”</w:t>
            </w:r>
            <w:r>
              <w:rPr>
                <w:rFonts w:hint="eastAsia" w:eastAsiaTheme="minorEastAsia"/>
                <w:sz w:val="22"/>
                <w:lang w:val="en-US" w:eastAsia="zh-CN"/>
              </w:rPr>
              <w:t xml:space="preserve"> with some restriction.</w:t>
            </w:r>
          </w:p>
          <w:p w14:paraId="501E3CC1">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We agree the use case elaborated by the proponent, that a same P-CSI-RS </w:t>
            </w:r>
            <w:r>
              <w:rPr>
                <w:rFonts w:eastAsiaTheme="minorEastAsia"/>
                <w:sz w:val="22"/>
                <w:lang w:val="en-US" w:eastAsia="zh-CN"/>
              </w:rPr>
              <w:t>referred</w:t>
            </w:r>
            <w:r>
              <w:rPr>
                <w:rFonts w:hint="eastAsia" w:eastAsiaTheme="minorEastAsia"/>
                <w:sz w:val="22"/>
                <w:lang w:val="en-US" w:eastAsia="zh-CN"/>
              </w:rPr>
              <w:t xml:space="preserve"> by two reports (P and AP) with the same content (both Type-I), is overcounted as twice.</w:t>
            </w:r>
          </w:p>
          <w:p w14:paraId="1A912D85">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But the proposal here has a much wider scope than the use case.</w:t>
            </w:r>
          </w:p>
          <w:p w14:paraId="42FB7FE7">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We can be open further discuss this proposal, at least with the following restriction on the N reports:</w:t>
            </w:r>
          </w:p>
          <w:p w14:paraId="6E11F6DC">
            <w:pPr>
              <w:pStyle w:val="108"/>
              <w:numPr>
                <w:ilvl w:val="0"/>
                <w:numId w:val="50"/>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Same report content e.g. codebook Type, same frequency config (wideband/subbands)</w:t>
            </w:r>
          </w:p>
          <w:p w14:paraId="2B68B0C9">
            <w:pPr>
              <w:pStyle w:val="108"/>
              <w:numPr>
                <w:ilvl w:val="0"/>
                <w:numId w:val="50"/>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Same IMR for the N reports</w:t>
            </w:r>
          </w:p>
          <w:p w14:paraId="03A6BDF3">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The N reports can differ regarding reported manner: P/AP/SP, and report periodicities.</w:t>
            </w:r>
          </w:p>
          <w:p w14:paraId="53CEB9B3">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In short, we think ARC should count for number of </w:t>
            </w:r>
            <w:r>
              <w:rPr>
                <w:rFonts w:eastAsiaTheme="minorEastAsia"/>
                <w:sz w:val="22"/>
                <w:lang w:val="en-US" w:eastAsia="zh-CN"/>
              </w:rPr>
              <w:t>“</w:t>
            </w:r>
            <w:r>
              <w:rPr>
                <w:rFonts w:hint="eastAsia" w:eastAsiaTheme="minorEastAsia"/>
                <w:sz w:val="22"/>
                <w:lang w:val="en-US" w:eastAsia="zh-CN"/>
              </w:rPr>
              <w:t>CSI processes</w:t>
            </w:r>
            <w:r>
              <w:rPr>
                <w:rFonts w:eastAsiaTheme="minorEastAsia"/>
                <w:sz w:val="22"/>
                <w:lang w:val="en-US" w:eastAsia="zh-CN"/>
              </w:rPr>
              <w:t>”</w:t>
            </w:r>
            <w:r>
              <w:rPr>
                <w:rFonts w:hint="eastAsia" w:eastAsiaTheme="minorEastAsia"/>
                <w:sz w:val="22"/>
                <w:lang w:val="en-US" w:eastAsia="zh-CN"/>
              </w:rPr>
              <w:t>.</w:t>
            </w:r>
          </w:p>
          <w:p w14:paraId="32261CB1">
            <w:pPr>
              <w:overflowPunct w:val="0"/>
              <w:autoSpaceDE w:val="0"/>
              <w:autoSpaceDN w:val="0"/>
              <w:adjustRightInd w:val="0"/>
              <w:spacing w:after="120" w:afterLines="50"/>
              <w:jc w:val="both"/>
              <w:textAlignment w:val="baseline"/>
              <w:rPr>
                <w:rFonts w:eastAsiaTheme="minorEastAsia"/>
                <w:sz w:val="22"/>
                <w:lang w:val="en-US" w:eastAsia="zh-CN"/>
              </w:rPr>
            </w:pPr>
          </w:p>
          <w:p w14:paraId="0BA63AF9">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Not support the NES proposal based on the above logic, since different subsets of ports of a same CSI-RS, are associated with different CSI processes.</w:t>
            </w:r>
          </w:p>
        </w:tc>
      </w:tr>
      <w:tr w14:paraId="087A9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2FF7CB33">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14:paraId="4B5094E6">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14:paraId="17A24118">
            <w:pPr>
              <w:overflowPunct w:val="0"/>
              <w:autoSpaceDE w:val="0"/>
              <w:autoSpaceDN w:val="0"/>
              <w:adjustRightInd w:val="0"/>
              <w:spacing w:after="180"/>
              <w:textAlignment w:val="baseline"/>
              <w:rPr>
                <w:rFonts w:eastAsiaTheme="minorEastAsia"/>
                <w:bCs/>
                <w:lang w:eastAsia="zh-CN"/>
              </w:rPr>
            </w:pPr>
            <w:r>
              <w:rPr>
                <w:rFonts w:eastAsiaTheme="minorEastAsia"/>
                <w:lang w:eastAsia="zh-CN"/>
              </w:rPr>
              <w:t>If could be problematic if the same resource is configured for e.g. periodic CSI (Type1 or wideband) and aperiodic (type II or type1 subband)</w:t>
            </w:r>
          </w:p>
        </w:tc>
      </w:tr>
      <w:tr w14:paraId="12B78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0907BB6E">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023" w:type="dxa"/>
          </w:tcPr>
          <w:p w14:paraId="1C733990">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14:paraId="75B08E69">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242AEF0A">
            <w:pPr>
              <w:overflowPunct w:val="0"/>
              <w:autoSpaceDE w:val="0"/>
              <w:autoSpaceDN w:val="0"/>
              <w:adjustRightInd w:val="0"/>
              <w:spacing w:after="180"/>
              <w:textAlignment w:val="baseline"/>
              <w:rPr>
                <w:rFonts w:eastAsiaTheme="minorEastAsia"/>
                <w:lang w:eastAsia="zh-CN"/>
              </w:rPr>
            </w:pPr>
            <w:r>
              <w:rPr>
                <w:rFonts w:hint="eastAsia" w:eastAsiaTheme="minor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14:paraId="7605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377F695A">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14:paraId="0B35EAD2">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14:paraId="5563E171">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lang w:val="en-US" w:eastAsia="zh-CN"/>
              </w:rPr>
              <w:t>We think this can help to align with the actual UE capability.</w:t>
            </w:r>
          </w:p>
        </w:tc>
      </w:tr>
      <w:tr w14:paraId="3DFD4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2952F7FC">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Ericsson</w:t>
            </w:r>
          </w:p>
        </w:tc>
        <w:tc>
          <w:tcPr>
            <w:tcW w:w="1023" w:type="dxa"/>
          </w:tcPr>
          <w:p w14:paraId="64E4F652">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14:paraId="44C8991C">
            <w:pPr>
              <w:overflowPunct w:val="0"/>
              <w:autoSpaceDE w:val="0"/>
              <w:autoSpaceDN w:val="0"/>
              <w:adjustRightInd w:val="0"/>
              <w:spacing w:after="120" w:afterLines="50"/>
              <w:jc w:val="both"/>
              <w:textAlignment w:val="baseline"/>
              <w:rPr>
                <w:rFonts w:eastAsiaTheme="minorEastAsia"/>
                <w:lang w:val="en-US" w:eastAsia="zh-CN"/>
              </w:rPr>
            </w:pPr>
          </w:p>
        </w:tc>
      </w:tr>
      <w:tr w14:paraId="6901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209C3782">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Nokia</w:t>
            </w:r>
          </w:p>
        </w:tc>
        <w:tc>
          <w:tcPr>
            <w:tcW w:w="1023" w:type="dxa"/>
          </w:tcPr>
          <w:p w14:paraId="20E54135">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14:paraId="26D21650">
            <w:pPr>
              <w:overflowPunct w:val="0"/>
              <w:autoSpaceDE w:val="0"/>
              <w:autoSpaceDN w:val="0"/>
              <w:adjustRightInd w:val="0"/>
              <w:spacing w:after="120" w:afterLines="50"/>
              <w:jc w:val="both"/>
              <w:textAlignment w:val="baseline"/>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 the restrictions pointed out by Huawei, Qualcomm, Vivo.</w:t>
            </w:r>
          </w:p>
          <w:p w14:paraId="7052BEC9">
            <w:pPr>
              <w:pStyle w:val="108"/>
              <w:numPr>
                <w:ilvl w:val="0"/>
                <w:numId w:val="47"/>
              </w:numPr>
              <w:overflowPunct w:val="0"/>
              <w:autoSpaceDE w:val="0"/>
              <w:autoSpaceDN w:val="0"/>
              <w:adjustRightInd w:val="0"/>
              <w:spacing w:after="120" w:afterLines="50"/>
              <w:ind w:leftChars="0"/>
              <w:jc w:val="both"/>
              <w:textAlignment w:val="baseline"/>
              <w:rPr>
                <w:rFonts w:eastAsiaTheme="minorEastAsia"/>
                <w:lang w:val="en-US" w:eastAsia="zh-CN"/>
              </w:rPr>
            </w:pPr>
            <w:r>
              <w:rPr>
                <w:rFonts w:eastAsiaTheme="minorEastAsia"/>
                <w:lang w:val="en-US" w:eastAsia="zh-CN"/>
              </w:rPr>
              <w:t>OK that the limitation should be limited to the same report content(e.g. codebook type, same frequency config, i.e. wide/subbands)</w:t>
            </w:r>
          </w:p>
          <w:p w14:paraId="02BCAD52">
            <w:pPr>
              <w:overflowPunct w:val="0"/>
              <w:autoSpaceDE w:val="0"/>
              <w:autoSpaceDN w:val="0"/>
              <w:adjustRightInd w:val="0"/>
              <w:spacing w:after="120" w:afterLines="50"/>
              <w:jc w:val="both"/>
              <w:textAlignment w:val="baseline"/>
              <w:rPr>
                <w:rFonts w:eastAsiaTheme="minorEastAsia"/>
                <w:lang w:val="en-US" w:eastAsia="zh-CN"/>
              </w:rPr>
            </w:pPr>
            <w:r>
              <w:rPr>
                <w:rFonts w:eastAsiaTheme="minorEastAsia"/>
                <w:lang w:val="en-US" w:eastAsia="zh-CN"/>
              </w:rPr>
              <w:t>Same IMR for the N reports</w:t>
            </w:r>
          </w:p>
        </w:tc>
      </w:tr>
    </w:tbl>
    <w:p w14:paraId="1F766CA7">
      <w:pPr>
        <w:rPr>
          <w:b/>
        </w:rPr>
      </w:pPr>
    </w:p>
    <w:p w14:paraId="2B94C141">
      <w:pPr>
        <w:rPr>
          <w:b/>
        </w:rPr>
      </w:pPr>
    </w:p>
    <w:p w14:paraId="7C0BFE42">
      <w:pPr>
        <w:rPr>
          <w:b/>
        </w:rPr>
      </w:pPr>
    </w:p>
    <w:p w14:paraId="0ADDBBC1">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QCL assumption for periodic CSI-RS</w:t>
      </w:r>
    </w:p>
    <w:p w14:paraId="04B8D17C">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14:paraId="2D30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36989F83">
            <w:pPr>
              <w:overflowPunct w:val="0"/>
              <w:autoSpaceDE w:val="0"/>
              <w:autoSpaceDN w:val="0"/>
              <w:adjustRightInd w:val="0"/>
              <w:spacing w:after="0"/>
              <w:textAlignment w:val="baseline"/>
              <w:rPr>
                <w:rFonts w:ascii="Arial" w:hAnsi="Arial" w:eastAsia="MS Mincho"/>
                <w:sz w:val="18"/>
                <w:szCs w:val="18"/>
                <w:lang w:val="en-US"/>
              </w:rPr>
            </w:pPr>
            <w:r>
              <w:rPr>
                <w:rFonts w:hint="eastAsia" w:ascii="Arial" w:hAnsi="Arial" w:eastAsia="MS Mincho"/>
                <w:sz w:val="18"/>
                <w:szCs w:val="18"/>
                <w:lang w:val="en-US"/>
              </w:rPr>
              <w:t>[8</w:t>
            </w:r>
            <w:r>
              <w:rPr>
                <w:rFonts w:ascii="Arial" w:hAnsi="Arial" w:eastAsia="MS Mincho"/>
                <w:sz w:val="18"/>
                <w:szCs w:val="18"/>
                <w:lang w:val="en-US"/>
              </w:rPr>
              <w:t>]</w:t>
            </w:r>
          </w:p>
        </w:tc>
        <w:tc>
          <w:tcPr>
            <w:tcW w:w="9066" w:type="dxa"/>
          </w:tcPr>
          <w:p w14:paraId="73B62461">
            <w:pPr>
              <w:overflowPunct w:val="0"/>
              <w:autoSpaceDE w:val="0"/>
              <w:autoSpaceDN w:val="0"/>
              <w:adjustRightInd w:val="0"/>
              <w:spacing w:after="180"/>
              <w:textAlignment w:val="baseline"/>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r>
              <w:rPr>
                <w:i/>
                <w:iCs/>
                <w:sz w:val="18"/>
                <w:szCs w:val="18"/>
              </w:rPr>
              <w:t>qcl-InfoPeriodicCSI-RS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RRC reconfiguration resulting in signalling overhead and delay. In some cases, such signalling may be unnecessary, e.g. CSI-RS for channel measurement may follow active TCI state of PDCCH without updating its QCL info and . Periodic TRS is typically used as a source RS for PDCCH and other channels, thus its TCI state needs to be updated via RRC mechanism for beam change.</w:t>
            </w:r>
          </w:p>
          <w:p w14:paraId="425379F9">
            <w:pPr>
              <w:overflowPunct w:val="0"/>
              <w:autoSpaceDE w:val="0"/>
              <w:autoSpaceDN w:val="0"/>
              <w:adjustRightInd w:val="0"/>
              <w:spacing w:after="180"/>
              <w:textAlignment w:val="baseline"/>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r>
              <w:rPr>
                <w:i/>
                <w:iCs/>
                <w:sz w:val="18"/>
                <w:szCs w:val="18"/>
              </w:rPr>
              <w:t xml:space="preserve">qcl-InfoPeriodicCSI-RS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similar to that of aperiodic CSI-RS, where UE uses QCL information included in the "indicated" DL only/Joint TCI state when </w:t>
            </w:r>
            <w:r>
              <w:rPr>
                <w:rFonts w:eastAsia="Times New Roman"/>
                <w:i/>
                <w:iCs/>
                <w:sz w:val="18"/>
                <w:szCs w:val="18"/>
              </w:rPr>
              <w:t>qcl-info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CSI-AperiodicTriggerStateList</w:t>
            </w:r>
            <w:r>
              <w:rPr>
                <w:rFonts w:eastAsia="Times New Roman"/>
                <w:sz w:val="18"/>
                <w:szCs w:val="18"/>
              </w:rPr>
              <w:t xml:space="preserve"> and </w:t>
            </w:r>
            <w:r>
              <w:rPr>
                <w:rFonts w:eastAsia="Times New Roman"/>
                <w:i/>
                <w:iCs/>
                <w:sz w:val="18"/>
                <w:szCs w:val="18"/>
              </w:rPr>
              <w:t>applyIndicatedTCI-State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07B4D8C1">
            <w:pPr>
              <w:overflowPunct w:val="0"/>
              <w:autoSpaceDE w:val="0"/>
              <w:autoSpaceDN w:val="0"/>
              <w:adjustRightInd w:val="0"/>
              <w:spacing w:after="180"/>
              <w:textAlignment w:val="baseline"/>
              <w:rPr>
                <w:rFonts w:eastAsia="Times New Roman"/>
                <w:b/>
                <w:bCs/>
                <w:sz w:val="18"/>
                <w:szCs w:val="18"/>
              </w:rPr>
            </w:pPr>
            <w:r>
              <w:rPr>
                <w:rFonts w:eastAsia="Times New Roman"/>
                <w:b/>
                <w:bCs/>
                <w:sz w:val="18"/>
                <w:szCs w:val="18"/>
              </w:rPr>
              <w:t xml:space="preserve">Proposal 2-1: If </w:t>
            </w:r>
            <w:r>
              <w:rPr>
                <w:rFonts w:eastAsia="Times New Roman"/>
                <w:b/>
                <w:bCs/>
                <w:i/>
                <w:iCs/>
                <w:sz w:val="18"/>
                <w:szCs w:val="18"/>
              </w:rPr>
              <w:t xml:space="preserve">qcl-InfoPeriodicCSI-RS </w:t>
            </w:r>
            <w:r>
              <w:rPr>
                <w:rFonts w:eastAsia="Times New Roman"/>
                <w:b/>
                <w:bCs/>
                <w:sz w:val="18"/>
                <w:szCs w:val="18"/>
              </w:rPr>
              <w:t xml:space="preserve">is absent for periodic CSI-RS resource for CSI, UE can assume that the indicated TCI state is applied for that resource. </w:t>
            </w:r>
          </w:p>
          <w:p w14:paraId="1E6FAD91">
            <w:pPr>
              <w:overflowPunct w:val="0"/>
              <w:autoSpaceDE w:val="0"/>
              <w:autoSpaceDN w:val="0"/>
              <w:adjustRightInd w:val="0"/>
              <w:spacing w:after="180"/>
              <w:textAlignment w:val="baseline"/>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5C1C0C3D">
            <w:pPr>
              <w:pBdr>
                <w:top w:val="single" w:color="000000" w:sz="8" w:space="1"/>
                <w:left w:val="single" w:color="000000" w:sz="8" w:space="1"/>
                <w:bottom w:val="single" w:color="000000" w:sz="8" w:space="1"/>
                <w:right w:val="single" w:color="000000" w:sz="8" w:space="1"/>
              </w:pBdr>
              <w:overflowPunct w:val="0"/>
              <w:autoSpaceDE w:val="0"/>
              <w:autoSpaceDN w:val="0"/>
              <w:adjustRightInd w:val="0"/>
              <w:spacing w:after="180"/>
              <w:textAlignment w:val="baseline"/>
              <w:rPr>
                <w:sz w:val="18"/>
                <w:szCs w:val="18"/>
              </w:rPr>
            </w:pPr>
            <w:r>
              <w:rPr>
                <w:rFonts w:ascii="Arial" w:hAnsi="Arial" w:eastAsia="Arial" w:cs="Arial"/>
                <w:color w:val="000000" w:themeColor="text1"/>
                <w:sz w:val="18"/>
                <w:szCs w:val="18"/>
                <w:lang w:eastAsia="zh-CN"/>
                <w14:textFill>
                  <w14:solidFill>
                    <w14:schemeClr w14:val="tx1"/>
                  </w14:solidFill>
                </w14:textFill>
              </w:rPr>
              <w:t>5.1.5</w:t>
            </w:r>
            <w:r>
              <w:rPr>
                <w:sz w:val="18"/>
                <w:szCs w:val="18"/>
              </w:rPr>
              <w:tab/>
            </w:r>
            <w:r>
              <w:rPr>
                <w:rFonts w:ascii="Arial" w:hAnsi="Arial" w:eastAsia="Arial" w:cs="Arial"/>
                <w:color w:val="000000" w:themeColor="text1"/>
                <w:sz w:val="18"/>
                <w:szCs w:val="18"/>
                <w:lang w:eastAsia="zh-CN"/>
                <w14:textFill>
                  <w14:solidFill>
                    <w14:schemeClr w14:val="tx1"/>
                  </w14:solidFill>
                </w14:textFill>
              </w:rPr>
              <w:t xml:space="preserve">     Antenna ports quasi co-location</w:t>
            </w:r>
          </w:p>
          <w:p w14:paraId="00FFFBB6">
            <w:pPr>
              <w:pBdr>
                <w:top w:val="single" w:color="000000" w:sz="8" w:space="1"/>
                <w:left w:val="single" w:color="000000" w:sz="8" w:space="1"/>
                <w:bottom w:val="single" w:color="000000" w:sz="8" w:space="1"/>
                <w:right w:val="single" w:color="000000" w:sz="8" w:space="1"/>
              </w:pBdr>
              <w:overflowPunct w:val="0"/>
              <w:autoSpaceDE w:val="0"/>
              <w:autoSpaceDN w:val="0"/>
              <w:adjustRightInd w:val="0"/>
              <w:spacing w:after="180"/>
              <w:jc w:val="center"/>
              <w:textAlignment w:val="baseline"/>
              <w:rPr>
                <w:rFonts w:eastAsia="Times New Roman"/>
                <w:sz w:val="18"/>
                <w:szCs w:val="18"/>
              </w:rPr>
            </w:pPr>
            <w:r>
              <w:rPr>
                <w:rFonts w:eastAsia="Times New Roman"/>
                <w:sz w:val="18"/>
                <w:szCs w:val="18"/>
              </w:rPr>
              <w:t xml:space="preserve">&lt;&lt;omitted text&gt;&gt;  </w:t>
            </w:r>
          </w:p>
          <w:p w14:paraId="4DB41530">
            <w:pPr>
              <w:pBdr>
                <w:top w:val="single" w:color="000000" w:sz="8" w:space="1"/>
                <w:left w:val="single" w:color="000000" w:sz="8" w:space="1"/>
                <w:bottom w:val="single" w:color="000000" w:sz="8" w:space="1"/>
                <w:right w:val="single" w:color="000000" w:sz="8" w:space="1"/>
              </w:pBdr>
              <w:overflowPunct w:val="0"/>
              <w:autoSpaceDE w:val="0"/>
              <w:autoSpaceDN w:val="0"/>
              <w:adjustRightInd w:val="0"/>
              <w:spacing w:after="180"/>
              <w:textAlignment w:val="baseline"/>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dl-OrJointTCI-StateList</w:t>
            </w:r>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4211B501">
            <w:pPr>
              <w:pBdr>
                <w:top w:val="single" w:color="000000" w:sz="8" w:space="1"/>
                <w:left w:val="single" w:color="000000" w:sz="8" w:space="1"/>
                <w:bottom w:val="single" w:color="000000" w:sz="8" w:space="1"/>
                <w:right w:val="single" w:color="000000" w:sz="8" w:space="1"/>
              </w:pBdr>
              <w:overflowPunct w:val="0"/>
              <w:autoSpaceDE w:val="0"/>
              <w:autoSpaceDN w:val="0"/>
              <w:adjustRightInd w:val="0"/>
              <w:spacing w:after="180"/>
              <w:textAlignment w:val="baseline"/>
              <w:rPr>
                <w:rFonts w:eastAsia="Times New Roman"/>
                <w:color w:val="7030A0"/>
                <w:sz w:val="18"/>
                <w:szCs w:val="18"/>
              </w:rPr>
            </w:pPr>
            <w:r>
              <w:rPr>
                <w:rFonts w:eastAsia="Times New Roman"/>
                <w:color w:val="7030A0"/>
                <w:sz w:val="18"/>
                <w:szCs w:val="18"/>
              </w:rPr>
              <w:t xml:space="preserve">For periodic CSI-RS resource for CSI, if </w:t>
            </w:r>
            <w:r>
              <w:rPr>
                <w:rFonts w:eastAsia="Times New Roman"/>
                <w:i/>
                <w:iCs/>
                <w:color w:val="7030A0"/>
                <w:sz w:val="18"/>
                <w:szCs w:val="18"/>
              </w:rPr>
              <w:t>qcl-InfoPeriodicCSI-RS</w:t>
            </w:r>
            <w:r>
              <w:rPr>
                <w:rFonts w:eastAsia="Times New Roman"/>
                <w:color w:val="7030A0"/>
                <w:sz w:val="18"/>
                <w:szCs w:val="18"/>
              </w:rPr>
              <w:t xml:space="preserve"> is absent and the UE is provided with dl-OrJointTCI-StateList and the indicated TCI state is associated with the PCI of the serving cell, the UE can assume that the indicated TCI state is applied.</w:t>
            </w:r>
          </w:p>
          <w:p w14:paraId="450420A2">
            <w:pPr>
              <w:pBdr>
                <w:top w:val="single" w:color="000000" w:sz="8" w:space="1"/>
                <w:left w:val="single" w:color="000000" w:sz="8" w:space="1"/>
                <w:bottom w:val="single" w:color="000000" w:sz="8" w:space="1"/>
                <w:right w:val="single" w:color="000000" w:sz="8" w:space="1"/>
              </w:pBdr>
              <w:overflowPunct w:val="0"/>
              <w:autoSpaceDE w:val="0"/>
              <w:autoSpaceDN w:val="0"/>
              <w:adjustRightInd w:val="0"/>
              <w:spacing w:after="180"/>
              <w:jc w:val="center"/>
              <w:textAlignment w:val="baseline"/>
              <w:rPr>
                <w:rFonts w:eastAsia="Times New Roman"/>
                <w:sz w:val="18"/>
                <w:szCs w:val="18"/>
              </w:rPr>
            </w:pPr>
            <w:r>
              <w:rPr>
                <w:rFonts w:eastAsia="Times New Roman"/>
                <w:sz w:val="18"/>
                <w:szCs w:val="18"/>
              </w:rPr>
              <w:t xml:space="preserve">&lt;&lt;omitted text&gt;&gt;  </w:t>
            </w:r>
          </w:p>
          <w:p w14:paraId="1C154649">
            <w:pPr>
              <w:overflowPunct w:val="0"/>
              <w:autoSpaceDE w:val="0"/>
              <w:autoSpaceDN w:val="0"/>
              <w:adjustRightInd w:val="0"/>
              <w:spacing w:before="120" w:after="120"/>
              <w:jc w:val="both"/>
              <w:textAlignment w:val="baseline"/>
              <w:rPr>
                <w:rFonts w:ascii="Arial" w:hAnsi="Arial" w:eastAsia="Calibri" w:cs="Arial"/>
                <w:b/>
                <w:bCs/>
                <w:sz w:val="18"/>
                <w:szCs w:val="18"/>
                <w:lang w:val="en-US"/>
              </w:rPr>
            </w:pPr>
          </w:p>
        </w:tc>
      </w:tr>
    </w:tbl>
    <w:p w14:paraId="7DD7D66B">
      <w:pPr>
        <w:rPr>
          <w:b/>
        </w:rPr>
      </w:pPr>
    </w:p>
    <w:p w14:paraId="20495DBB">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14:paraId="7B4F34B7">
      <w:pPr>
        <w:rPr>
          <w:rFonts w:ascii="Arial" w:hAnsi="Arial" w:eastAsia="MS Mincho"/>
          <w:sz w:val="32"/>
          <w:szCs w:val="32"/>
        </w:rPr>
      </w:pPr>
    </w:p>
    <w:p w14:paraId="68B5D8CC">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17</w:t>
      </w:r>
    </w:p>
    <w:p w14:paraId="18521262">
      <w:pPr>
        <w:pStyle w:val="108"/>
        <w:numPr>
          <w:ilvl w:val="0"/>
          <w:numId w:val="20"/>
        </w:numPr>
        <w:ind w:leftChars="0"/>
        <w:jc w:val="both"/>
        <w:rPr>
          <w:b/>
        </w:rPr>
      </w:pPr>
      <w:r>
        <w:rPr>
          <w:rFonts w:hint="eastAsia"/>
          <w:b/>
        </w:rPr>
        <w:t>Support the following QCL assumption for periodic CSI-RS resource.</w:t>
      </w:r>
    </w:p>
    <w:p w14:paraId="0F6D4BC8">
      <w:pPr>
        <w:pStyle w:val="108"/>
        <w:numPr>
          <w:ilvl w:val="1"/>
          <w:numId w:val="20"/>
        </w:numPr>
        <w:ind w:leftChars="0"/>
        <w:jc w:val="both"/>
        <w:rPr>
          <w:b/>
        </w:rPr>
      </w:pPr>
      <w:r>
        <w:rPr>
          <w:rFonts w:eastAsia="Times New Roman"/>
          <w:b/>
          <w:bCs/>
        </w:rPr>
        <w:t xml:space="preserve">If </w:t>
      </w:r>
      <w:r>
        <w:rPr>
          <w:rFonts w:eastAsia="Times New Roman"/>
          <w:b/>
          <w:bCs/>
          <w:i/>
          <w:iCs/>
        </w:rPr>
        <w:t xml:space="preserve">qcl-InfoPeriodicCSI-RS </w:t>
      </w:r>
      <w:r>
        <w:rPr>
          <w:rFonts w:eastAsia="Times New Roman"/>
          <w:b/>
          <w:bCs/>
        </w:rPr>
        <w:t>is absent for periodic CSI-RS resource for CSI, UE can assume that the indicated TCI state is applied for that resource.</w:t>
      </w:r>
    </w:p>
    <w:p w14:paraId="034E2AE9">
      <w:pPr>
        <w:rPr>
          <w:rFonts w:eastAsia="MS Mincho" w:cs="Batang"/>
          <w:sz w:val="22"/>
          <w:szCs w:val="22"/>
        </w:rPr>
      </w:pPr>
    </w:p>
    <w:p w14:paraId="38624DED">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Nokia</w:t>
      </w:r>
      <w:r>
        <w:rPr>
          <w:rFonts w:eastAsia="MS Mincho" w:cs="Batang"/>
          <w:sz w:val="22"/>
          <w:szCs w:val="22"/>
        </w:rPr>
        <w:t>.</w:t>
      </w:r>
    </w:p>
    <w:p w14:paraId="1A9DB887">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14:paraId="4661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14:paraId="3D82A1F4">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14:paraId="7ACAEE7A">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14:paraId="4E3DD589">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14:paraId="1C98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72B40E57">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MS Mincho"/>
                <w:sz w:val="22"/>
                <w:lang w:val="en-US"/>
              </w:rPr>
              <w:t>DOCOMO</w:t>
            </w:r>
          </w:p>
        </w:tc>
        <w:tc>
          <w:tcPr>
            <w:tcW w:w="1023" w:type="dxa"/>
          </w:tcPr>
          <w:p w14:paraId="6B381E50">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MS Mincho"/>
                <w:sz w:val="22"/>
                <w:lang w:val="en-US"/>
              </w:rPr>
              <w:t>N</w:t>
            </w:r>
          </w:p>
        </w:tc>
        <w:tc>
          <w:tcPr>
            <w:tcW w:w="6912" w:type="dxa"/>
          </w:tcPr>
          <w:p w14:paraId="14F678FF">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699DC0E6">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7C81CC1C">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14:paraId="4F736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21060734">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ZTE</w:t>
            </w:r>
          </w:p>
        </w:tc>
        <w:tc>
          <w:tcPr>
            <w:tcW w:w="1023" w:type="dxa"/>
          </w:tcPr>
          <w:p w14:paraId="60754AFD">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14:paraId="5B3A7CB1">
            <w:pPr>
              <w:overflowPunct w:val="0"/>
              <w:autoSpaceDE w:val="0"/>
              <w:autoSpaceDN w:val="0"/>
              <w:adjustRightInd w:val="0"/>
              <w:spacing w:after="120" w:afterLines="50"/>
              <w:jc w:val="both"/>
              <w:textAlignment w:val="baseline"/>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14:paraId="68CBE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2C2F6D42">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Spreadtrum</w:t>
            </w:r>
          </w:p>
        </w:tc>
        <w:tc>
          <w:tcPr>
            <w:tcW w:w="1023" w:type="dxa"/>
          </w:tcPr>
          <w:p w14:paraId="79429A59">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14:paraId="17601017">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14:paraId="20BA0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677F3420">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eastAsia="zh-CN"/>
              </w:rPr>
              <w:t>v</w:t>
            </w:r>
            <w:r>
              <w:rPr>
                <w:rFonts w:eastAsiaTheme="minorEastAsia"/>
                <w:sz w:val="22"/>
                <w:lang w:eastAsia="zh-CN"/>
              </w:rPr>
              <w:t>ivo</w:t>
            </w:r>
          </w:p>
        </w:tc>
        <w:tc>
          <w:tcPr>
            <w:tcW w:w="1023" w:type="dxa"/>
          </w:tcPr>
          <w:p w14:paraId="5BC6DC62">
            <w:pPr>
              <w:overflowPunct w:val="0"/>
              <w:autoSpaceDE w:val="0"/>
              <w:autoSpaceDN w:val="0"/>
              <w:adjustRightInd w:val="0"/>
              <w:spacing w:after="120" w:afterLines="50"/>
              <w:jc w:val="both"/>
              <w:textAlignment w:val="baseline"/>
              <w:rPr>
                <w:sz w:val="22"/>
                <w:lang w:val="en-US"/>
              </w:rPr>
            </w:pPr>
          </w:p>
        </w:tc>
        <w:tc>
          <w:tcPr>
            <w:tcW w:w="6912" w:type="dxa"/>
          </w:tcPr>
          <w:p w14:paraId="76D98199">
            <w:pPr>
              <w:overflowPunct w:val="0"/>
              <w:autoSpaceDE w:val="0"/>
              <w:autoSpaceDN w:val="0"/>
              <w:adjustRightInd w:val="0"/>
              <w:spacing w:after="180"/>
              <w:textAlignment w:val="baseline"/>
              <w:rPr>
                <w:rFonts w:eastAsia="宋体"/>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5113CC52">
            <w:pPr>
              <w:overflowPunct w:val="0"/>
              <w:autoSpaceDE w:val="0"/>
              <w:autoSpaceDN w:val="0"/>
              <w:adjustRightInd w:val="0"/>
              <w:spacing w:after="120" w:afterLines="50"/>
              <w:jc w:val="both"/>
              <w:textAlignment w:val="baseline"/>
              <w:rPr>
                <w:sz w:val="22"/>
              </w:rPr>
            </w:pPr>
          </w:p>
        </w:tc>
      </w:tr>
      <w:tr w14:paraId="1A7C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3177D794">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eastAsia="zh-CN"/>
              </w:rPr>
              <w:t>X</w:t>
            </w:r>
            <w:r>
              <w:rPr>
                <w:rFonts w:eastAsiaTheme="minorEastAsia"/>
                <w:sz w:val="22"/>
                <w:lang w:eastAsia="zh-CN"/>
              </w:rPr>
              <w:t>iaomi</w:t>
            </w:r>
          </w:p>
        </w:tc>
        <w:tc>
          <w:tcPr>
            <w:tcW w:w="1023" w:type="dxa"/>
          </w:tcPr>
          <w:p w14:paraId="74A0BCB1">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N</w:t>
            </w:r>
          </w:p>
        </w:tc>
        <w:tc>
          <w:tcPr>
            <w:tcW w:w="6912" w:type="dxa"/>
          </w:tcPr>
          <w:p w14:paraId="73EDB5F5">
            <w:pPr>
              <w:overflowPunct w:val="0"/>
              <w:autoSpaceDE w:val="0"/>
              <w:autoSpaceDN w:val="0"/>
              <w:adjustRightInd w:val="0"/>
              <w:spacing w:after="180"/>
              <w:textAlignment w:val="baseline"/>
              <w:rPr>
                <w:rFonts w:eastAsiaTheme="minorEastAsia"/>
                <w:lang w:eastAsia="zh-CN"/>
              </w:rPr>
            </w:pPr>
            <w:r>
              <w:rPr>
                <w:sz w:val="22"/>
                <w:lang w:val="en-US"/>
              </w:rPr>
              <w:t>It was discussed during R17 but not agreed. Since the QCL for P CSI-RS can reuse rule of R15/16. i.e., by RRC. we don't think it is an essential issue.</w:t>
            </w:r>
          </w:p>
        </w:tc>
      </w:tr>
      <w:tr w14:paraId="039A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61D200CE">
            <w:pPr>
              <w:overflowPunct w:val="0"/>
              <w:autoSpaceDE w:val="0"/>
              <w:autoSpaceDN w:val="0"/>
              <w:adjustRightInd w:val="0"/>
              <w:spacing w:after="120" w:afterLines="50"/>
              <w:jc w:val="both"/>
              <w:textAlignment w:val="baseline"/>
              <w:rPr>
                <w:rFonts w:eastAsiaTheme="minorEastAsia"/>
                <w:sz w:val="22"/>
                <w:lang w:eastAsia="zh-CN"/>
              </w:rPr>
            </w:pPr>
            <w:r>
              <w:rPr>
                <w:rFonts w:eastAsia="PMingLiU"/>
                <w:sz w:val="22"/>
                <w:lang w:val="en-US" w:eastAsia="zh-TW"/>
              </w:rPr>
              <w:t>MediaTek</w:t>
            </w:r>
          </w:p>
        </w:tc>
        <w:tc>
          <w:tcPr>
            <w:tcW w:w="1023" w:type="dxa"/>
          </w:tcPr>
          <w:p w14:paraId="41DDBFD6">
            <w:pPr>
              <w:overflowPunct w:val="0"/>
              <w:autoSpaceDE w:val="0"/>
              <w:autoSpaceDN w:val="0"/>
              <w:adjustRightInd w:val="0"/>
              <w:spacing w:after="120" w:afterLines="50"/>
              <w:jc w:val="both"/>
              <w:textAlignment w:val="baseline"/>
              <w:rPr>
                <w:rFonts w:eastAsiaTheme="minorEastAsia"/>
                <w:sz w:val="22"/>
                <w:lang w:val="en-US" w:eastAsia="zh-CN"/>
              </w:rPr>
            </w:pPr>
            <w:r>
              <w:rPr>
                <w:rFonts w:eastAsia="PMingLiU"/>
                <w:sz w:val="22"/>
                <w:lang w:val="en-US" w:eastAsia="zh-TW"/>
              </w:rPr>
              <w:t>Y</w:t>
            </w:r>
          </w:p>
        </w:tc>
        <w:tc>
          <w:tcPr>
            <w:tcW w:w="6912" w:type="dxa"/>
          </w:tcPr>
          <w:p w14:paraId="5B5E6EE8">
            <w:pPr>
              <w:overflowPunct w:val="0"/>
              <w:autoSpaceDE w:val="0"/>
              <w:autoSpaceDN w:val="0"/>
              <w:adjustRightInd w:val="0"/>
              <w:spacing w:after="180"/>
              <w:textAlignment w:val="baseline"/>
              <w:rPr>
                <w:sz w:val="22"/>
                <w:lang w:val="en-US"/>
              </w:rPr>
            </w:pPr>
            <w:r>
              <w:rPr>
                <w:rFonts w:eastAsia="PMingLiU"/>
                <w:sz w:val="22"/>
                <w:lang w:val="en-US" w:eastAsia="zh-TW"/>
              </w:rPr>
              <w:t>We could be ok if it is restricted to P-CSI-RS for CSI acquisition only</w:t>
            </w:r>
          </w:p>
        </w:tc>
      </w:tr>
      <w:tr w14:paraId="30682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62B8E442">
            <w:pPr>
              <w:overflowPunct w:val="0"/>
              <w:autoSpaceDE w:val="0"/>
              <w:autoSpaceDN w:val="0"/>
              <w:adjustRightInd w:val="0"/>
              <w:spacing w:after="120" w:afterLines="50"/>
              <w:jc w:val="both"/>
              <w:textAlignment w:val="baseline"/>
              <w:rPr>
                <w:rFonts w:eastAsia="PMingLiU"/>
                <w:sz w:val="22"/>
                <w:lang w:val="en-US" w:eastAsia="zh-TW"/>
              </w:rPr>
            </w:pPr>
            <w:r>
              <w:rPr>
                <w:rFonts w:hint="eastAsia" w:eastAsia="Malgun Gothic"/>
                <w:sz w:val="22"/>
                <w:lang w:val="en-US" w:eastAsia="ko-KR"/>
              </w:rPr>
              <w:t>S</w:t>
            </w:r>
            <w:r>
              <w:rPr>
                <w:rFonts w:eastAsia="Malgun Gothic"/>
                <w:sz w:val="22"/>
                <w:lang w:val="en-US" w:eastAsia="ko-KR"/>
              </w:rPr>
              <w:t>amsung</w:t>
            </w:r>
          </w:p>
        </w:tc>
        <w:tc>
          <w:tcPr>
            <w:tcW w:w="1023" w:type="dxa"/>
          </w:tcPr>
          <w:p w14:paraId="0FF957A3">
            <w:pPr>
              <w:overflowPunct w:val="0"/>
              <w:autoSpaceDE w:val="0"/>
              <w:autoSpaceDN w:val="0"/>
              <w:adjustRightInd w:val="0"/>
              <w:spacing w:after="120" w:afterLines="50"/>
              <w:jc w:val="both"/>
              <w:textAlignment w:val="baseline"/>
              <w:rPr>
                <w:rFonts w:eastAsia="PMingLiU"/>
                <w:sz w:val="22"/>
                <w:lang w:val="en-US" w:eastAsia="zh-TW"/>
              </w:rPr>
            </w:pPr>
            <w:r>
              <w:rPr>
                <w:rFonts w:hint="eastAsia" w:eastAsia="Malgun Gothic"/>
                <w:sz w:val="22"/>
                <w:lang w:val="en-US" w:eastAsia="ko-KR"/>
              </w:rPr>
              <w:t>N</w:t>
            </w:r>
          </w:p>
        </w:tc>
        <w:tc>
          <w:tcPr>
            <w:tcW w:w="6912" w:type="dxa"/>
          </w:tcPr>
          <w:p w14:paraId="0D120776">
            <w:pPr>
              <w:overflowPunct w:val="0"/>
              <w:autoSpaceDE w:val="0"/>
              <w:autoSpaceDN w:val="0"/>
              <w:adjustRightInd w:val="0"/>
              <w:spacing w:after="180"/>
              <w:textAlignment w:val="baseline"/>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14:paraId="3A55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07926002">
            <w:pPr>
              <w:overflowPunct w:val="0"/>
              <w:autoSpaceDE w:val="0"/>
              <w:autoSpaceDN w:val="0"/>
              <w:adjustRightInd w:val="0"/>
              <w:spacing w:after="120" w:afterLines="50"/>
              <w:jc w:val="both"/>
              <w:textAlignment w:val="baseline"/>
              <w:rPr>
                <w:rFonts w:eastAsia="Malgun Gothic"/>
                <w:sz w:val="22"/>
                <w:lang w:val="en-US" w:eastAsia="ko-KR"/>
              </w:rPr>
            </w:pPr>
            <w:r>
              <w:rPr>
                <w:sz w:val="22"/>
              </w:rPr>
              <w:t>Ericsson</w:t>
            </w:r>
          </w:p>
        </w:tc>
        <w:tc>
          <w:tcPr>
            <w:tcW w:w="1023" w:type="dxa"/>
          </w:tcPr>
          <w:p w14:paraId="64CABE04">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Y</w:t>
            </w:r>
          </w:p>
        </w:tc>
        <w:tc>
          <w:tcPr>
            <w:tcW w:w="6912" w:type="dxa"/>
          </w:tcPr>
          <w:p w14:paraId="656E8B62">
            <w:pPr>
              <w:overflowPunct w:val="0"/>
              <w:autoSpaceDE w:val="0"/>
              <w:autoSpaceDN w:val="0"/>
              <w:adjustRightInd w:val="0"/>
              <w:spacing w:after="120" w:afterLines="50"/>
              <w:jc w:val="both"/>
              <w:textAlignment w:val="baseline"/>
              <w:rPr>
                <w:sz w:val="22"/>
                <w:lang w:val="en-US"/>
              </w:rPr>
            </w:pPr>
            <w:r>
              <w:rPr>
                <w:sz w:val="22"/>
                <w:lang w:val="en-US"/>
              </w:rPr>
              <w:t>We think this feature would be useful. Some comments to comment:</w:t>
            </w:r>
          </w:p>
          <w:p w14:paraId="3C31E532">
            <w:pPr>
              <w:pStyle w:val="108"/>
              <w:numPr>
                <w:ilvl w:val="0"/>
                <w:numId w:val="47"/>
              </w:numPr>
              <w:overflowPunct w:val="0"/>
              <w:autoSpaceDE w:val="0"/>
              <w:autoSpaceDN w:val="0"/>
              <w:adjustRightInd w:val="0"/>
              <w:spacing w:after="120" w:afterLines="50"/>
              <w:ind w:leftChars="0"/>
              <w:jc w:val="both"/>
              <w:textAlignment w:val="baseline"/>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104F5795">
            <w:pPr>
              <w:overflowPunct w:val="0"/>
              <w:autoSpaceDE w:val="0"/>
              <w:autoSpaceDN w:val="0"/>
              <w:adjustRightInd w:val="0"/>
              <w:spacing w:after="180"/>
              <w:textAlignment w:val="baseline"/>
              <w:rPr>
                <w:sz w:val="22"/>
                <w:lang w:val="en-US"/>
              </w:rPr>
            </w:pPr>
            <w:r>
              <w:rPr>
                <w:sz w:val="22"/>
                <w:lang w:val="en-US"/>
              </w:rPr>
              <w:t>To ZTE: isn’t this proposal useful without the possibility update the time domain allocation?</w:t>
            </w:r>
          </w:p>
        </w:tc>
      </w:tr>
    </w:tbl>
    <w:p w14:paraId="3AFC55F1">
      <w:pPr>
        <w:rPr>
          <w:b/>
        </w:rPr>
      </w:pPr>
    </w:p>
    <w:p w14:paraId="1C07DFBD">
      <w:pPr>
        <w:rPr>
          <w:b/>
        </w:rPr>
      </w:pPr>
    </w:p>
    <w:p w14:paraId="3693079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Counting of unusable PDCCH candidates</w:t>
      </w:r>
    </w:p>
    <w:p w14:paraId="3A1CFD65">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14:paraId="37E09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0BE70274">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[8</w:t>
            </w:r>
            <w:r>
              <w:rPr>
                <w:rFonts w:ascii="Arial" w:hAnsi="Arial" w:eastAsia="MS Mincho"/>
                <w:sz w:val="22"/>
                <w:szCs w:val="22"/>
                <w:lang w:val="en-US"/>
              </w:rPr>
              <w:t>]</w:t>
            </w:r>
          </w:p>
        </w:tc>
        <w:tc>
          <w:tcPr>
            <w:tcW w:w="9066" w:type="dxa"/>
          </w:tcPr>
          <w:p w14:paraId="6F64C712">
            <w:pPr>
              <w:overflowPunct w:val="0"/>
              <w:autoSpaceDE w:val="0"/>
              <w:autoSpaceDN w:val="0"/>
              <w:adjustRightInd w:val="0"/>
              <w:spacing w:after="180"/>
              <w:textAlignment w:val="baseline"/>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56776CB1">
            <w:pPr>
              <w:overflowPunct w:val="0"/>
              <w:autoSpaceDE w:val="0"/>
              <w:autoSpaceDN w:val="0"/>
              <w:adjustRightInd w:val="0"/>
              <w:spacing w:after="180"/>
              <w:textAlignment w:val="baseline"/>
              <w:rPr>
                <w:sz w:val="18"/>
                <w:szCs w:val="18"/>
                <w:lang w:val="en-US"/>
              </w:rPr>
            </w:pPr>
            <w:r>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077F5FD2">
            <w:pPr>
              <w:keepNext/>
              <w:overflowPunct w:val="0"/>
              <w:autoSpaceDE w:val="0"/>
              <w:autoSpaceDN w:val="0"/>
              <w:adjustRightInd w:val="0"/>
              <w:spacing w:after="180"/>
              <w:jc w:val="center"/>
              <w:textAlignment w:val="baseline"/>
              <w:rPr>
                <w:sz w:val="18"/>
                <w:szCs w:val="18"/>
              </w:rPr>
            </w:pPr>
            <w:r>
              <w:rPr>
                <w:sz w:val="18"/>
                <w:szCs w:val="18"/>
                <w:lang w:val="en-US" w:eastAsia="zh-CN"/>
              </w:rPr>
              <w:drawing>
                <wp:inline distT="0" distB="0" distL="0" distR="0">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09524002">
            <w:pPr>
              <w:pStyle w:val="21"/>
              <w:overflowPunct w:val="0"/>
              <w:autoSpaceDE w:val="0"/>
              <w:autoSpaceDN w:val="0"/>
              <w:adjustRightInd w:val="0"/>
              <w:jc w:val="center"/>
              <w:textAlignment w:val="baseline"/>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4DD92CFD">
            <w:pPr>
              <w:overflowPunct w:val="0"/>
              <w:autoSpaceDE w:val="0"/>
              <w:autoSpaceDN w:val="0"/>
              <w:adjustRightInd w:val="0"/>
              <w:spacing w:after="180"/>
              <w:textAlignment w:val="baseline"/>
              <w:rPr>
                <w:b/>
                <w:bCs/>
                <w:sz w:val="18"/>
                <w:szCs w:val="18"/>
                <w:lang w:val="en-US"/>
              </w:rPr>
            </w:pPr>
          </w:p>
          <w:p w14:paraId="745DD670">
            <w:pPr>
              <w:overflowPunct w:val="0"/>
              <w:autoSpaceDE w:val="0"/>
              <w:autoSpaceDN w:val="0"/>
              <w:adjustRightInd w:val="0"/>
              <w:spacing w:after="180"/>
              <w:textAlignment w:val="baseline"/>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4AEB2DCA">
            <w:pPr>
              <w:overflowPunct w:val="0"/>
              <w:autoSpaceDE w:val="0"/>
              <w:autoSpaceDN w:val="0"/>
              <w:adjustRightInd w:val="0"/>
              <w:spacing w:after="180"/>
              <w:textAlignment w:val="baseline"/>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7C06F9AE">
            <w:pPr>
              <w:overflowPunct w:val="0"/>
              <w:autoSpaceDE w:val="0"/>
              <w:autoSpaceDN w:val="0"/>
              <w:adjustRightInd w:val="0"/>
              <w:spacing w:after="180"/>
              <w:textAlignment w:val="baseline"/>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02F2C08C">
            <w:pPr>
              <w:overflowPunct w:val="0"/>
              <w:autoSpaceDE w:val="0"/>
              <w:autoSpaceDN w:val="0"/>
              <w:adjustRightInd w:val="0"/>
              <w:spacing w:before="120" w:after="120"/>
              <w:jc w:val="both"/>
              <w:textAlignment w:val="baseline"/>
              <w:rPr>
                <w:rFonts w:ascii="Arial" w:hAnsi="Arial" w:eastAsia="Calibri" w:cs="Arial"/>
                <w:b/>
                <w:bCs/>
                <w:sz w:val="20"/>
                <w:szCs w:val="22"/>
                <w:lang w:val="en-US"/>
              </w:rPr>
            </w:pPr>
          </w:p>
        </w:tc>
      </w:tr>
    </w:tbl>
    <w:p w14:paraId="1B6C0DEE">
      <w:pPr>
        <w:rPr>
          <w:b/>
        </w:rPr>
      </w:pPr>
    </w:p>
    <w:p w14:paraId="36918A07">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14:paraId="5B5C9A7E">
      <w:pPr>
        <w:rPr>
          <w:rFonts w:ascii="Arial" w:hAnsi="Arial" w:eastAsia="MS Mincho"/>
          <w:sz w:val="32"/>
          <w:szCs w:val="32"/>
        </w:rPr>
      </w:pPr>
    </w:p>
    <w:p w14:paraId="3897C989">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18</w:t>
      </w:r>
    </w:p>
    <w:p w14:paraId="2375FB42">
      <w:pPr>
        <w:pStyle w:val="108"/>
        <w:numPr>
          <w:ilvl w:val="0"/>
          <w:numId w:val="20"/>
        </w:numPr>
        <w:ind w:leftChars="0"/>
        <w:jc w:val="both"/>
        <w:rPr>
          <w:b/>
        </w:rPr>
      </w:pPr>
      <w:r>
        <w:rPr>
          <w:rFonts w:hint="eastAsia"/>
          <w:b/>
        </w:rPr>
        <w:t>Support the following counting rules for PDCCH candidates.</w:t>
      </w:r>
    </w:p>
    <w:p w14:paraId="3E04915C">
      <w:pPr>
        <w:pStyle w:val="108"/>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0FEDCC7A">
      <w:pPr>
        <w:rPr>
          <w:rFonts w:eastAsia="MS Mincho" w:cs="Batang"/>
          <w:sz w:val="22"/>
          <w:szCs w:val="22"/>
        </w:rPr>
      </w:pPr>
    </w:p>
    <w:p w14:paraId="3A864E59">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Nokia</w:t>
      </w:r>
      <w:r>
        <w:rPr>
          <w:rFonts w:eastAsia="MS Mincho" w:cs="Batang"/>
          <w:sz w:val="22"/>
          <w:szCs w:val="22"/>
        </w:rPr>
        <w:t>.</w:t>
      </w:r>
    </w:p>
    <w:p w14:paraId="4088401E">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14:paraId="3C26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14:paraId="31D4F04A">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14:paraId="7E9A78B0">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14:paraId="48CB3ED6">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14:paraId="3B12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43549C66">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14:paraId="226FF0E8">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N</w:t>
            </w:r>
          </w:p>
        </w:tc>
        <w:tc>
          <w:tcPr>
            <w:tcW w:w="6912" w:type="dxa"/>
          </w:tcPr>
          <w:p w14:paraId="336D9BDC">
            <w:pPr>
              <w:overflowPunct w:val="0"/>
              <w:autoSpaceDE w:val="0"/>
              <w:autoSpaceDN w:val="0"/>
              <w:adjustRightInd w:val="0"/>
              <w:spacing w:after="180"/>
              <w:textAlignment w:val="baseline"/>
              <w:rPr>
                <w:rFonts w:eastAsiaTheme="minorEastAsia"/>
                <w:sz w:val="22"/>
                <w:szCs w:val="18"/>
                <w:lang w:eastAsia="zh-CN"/>
              </w:rPr>
            </w:pPr>
            <w:r>
              <w:rPr>
                <w:sz w:val="22"/>
                <w:szCs w:val="18"/>
                <w:lang w:eastAsia="zh-CN"/>
              </w:rPr>
              <w:t>The technical benefit needs to be justified further.</w:t>
            </w:r>
          </w:p>
          <w:p w14:paraId="4433F982">
            <w:pPr>
              <w:overflowPunct w:val="0"/>
              <w:autoSpaceDE w:val="0"/>
              <w:autoSpaceDN w:val="0"/>
              <w:adjustRightInd w:val="0"/>
              <w:spacing w:after="180"/>
              <w:jc w:val="both"/>
              <w:textAlignment w:val="baseline"/>
              <w:rPr>
                <w:sz w:val="22"/>
                <w:szCs w:val="18"/>
                <w:lang w:eastAsia="zh-CN"/>
              </w:rPr>
            </w:pPr>
            <w:r>
              <w:rPr>
                <w:sz w:val="22"/>
                <w:szCs w:val="18"/>
                <w:lang w:eastAsia="zh-CN"/>
              </w:rPr>
              <w:t xml:space="preserve">From UE perspective, power saving is not significant since only several channel decoding attempts can be saved, demodulation has to be done anyway. Further, this can already be achieved by implementation, i.e., the UE can simply skip these PDCCH candidates according to the semi-statically configured K0/K2. </w:t>
            </w:r>
          </w:p>
          <w:p w14:paraId="1752505E">
            <w:pPr>
              <w:overflowPunct w:val="0"/>
              <w:autoSpaceDE w:val="0"/>
              <w:autoSpaceDN w:val="0"/>
              <w:adjustRightInd w:val="0"/>
              <w:spacing w:after="120" w:afterLines="50"/>
              <w:jc w:val="both"/>
              <w:textAlignment w:val="baseline"/>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14:paraId="32BF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570D773B">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14:paraId="20EDF9F7">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14:paraId="69B5AA69">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14:paraId="44D6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5DB758A7">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Qualcomm</w:t>
            </w:r>
          </w:p>
        </w:tc>
        <w:tc>
          <w:tcPr>
            <w:tcW w:w="1023" w:type="dxa"/>
          </w:tcPr>
          <w:p w14:paraId="3EA2D037">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N</w:t>
            </w:r>
          </w:p>
        </w:tc>
        <w:tc>
          <w:tcPr>
            <w:tcW w:w="6912" w:type="dxa"/>
          </w:tcPr>
          <w:p w14:paraId="465361F4">
            <w:pPr>
              <w:overflowPunct w:val="0"/>
              <w:autoSpaceDE w:val="0"/>
              <w:autoSpaceDN w:val="0"/>
              <w:adjustRightInd w:val="0"/>
              <w:spacing w:after="120" w:afterLines="50"/>
              <w:jc w:val="both"/>
              <w:textAlignment w:val="baseline"/>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14:paraId="6E9CA805">
            <w:pPr>
              <w:overflowPunct w:val="0"/>
              <w:autoSpaceDE w:val="0"/>
              <w:autoSpaceDN w:val="0"/>
              <w:adjustRightInd w:val="0"/>
              <w:spacing w:after="120" w:afterLines="50"/>
              <w:jc w:val="both"/>
              <w:textAlignment w:val="baseline"/>
              <w:rPr>
                <w:sz w:val="22"/>
                <w:lang w:val="en-US"/>
              </w:rPr>
            </w:pPr>
            <w:r>
              <w:rPr>
                <w:sz w:val="22"/>
                <w:lang w:val="en-US"/>
              </w:rPr>
              <w:t>Also, benefit of UE complexity and power reduction can be realized by UE implementation.</w:t>
            </w:r>
          </w:p>
        </w:tc>
      </w:tr>
      <w:tr w14:paraId="723E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33C88097">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14:paraId="0B8F2D00">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14:paraId="15086A1A">
            <w:pPr>
              <w:overflowPunct w:val="0"/>
              <w:autoSpaceDE w:val="0"/>
              <w:autoSpaceDN w:val="0"/>
              <w:adjustRightInd w:val="0"/>
              <w:spacing w:after="120" w:afterLines="50"/>
              <w:jc w:val="both"/>
              <w:textAlignment w:val="baseline"/>
              <w:rPr>
                <w:sz w:val="22"/>
                <w:lang w:val="en-US"/>
              </w:rPr>
            </w:pPr>
            <w:r>
              <w:rPr>
                <w:sz w:val="22"/>
                <w:lang w:val="en-US"/>
              </w:rPr>
              <w:t>The spec already allows the smart UE impl to skip these BDs. Dynamically changing the BD/CCE provides very little benefit.</w:t>
            </w:r>
          </w:p>
        </w:tc>
      </w:tr>
      <w:tr w14:paraId="7A98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3B4F3C0F">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DCM</w:t>
            </w:r>
          </w:p>
        </w:tc>
        <w:tc>
          <w:tcPr>
            <w:tcW w:w="1023" w:type="dxa"/>
          </w:tcPr>
          <w:p w14:paraId="65238C33">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14:paraId="00A338FF">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14:paraId="31BE5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1AE1382B">
            <w:pPr>
              <w:overflowPunct w:val="0"/>
              <w:autoSpaceDE w:val="0"/>
              <w:autoSpaceDN w:val="0"/>
              <w:adjustRightInd w:val="0"/>
              <w:spacing w:after="120" w:afterLines="50"/>
              <w:jc w:val="both"/>
              <w:textAlignment w:val="baseline"/>
              <w:rPr>
                <w:rFonts w:eastAsia="MS Mincho"/>
                <w:sz w:val="22"/>
                <w:lang w:val="en-US"/>
              </w:rPr>
            </w:pPr>
            <w:r>
              <w:rPr>
                <w:sz w:val="22"/>
                <w:lang w:val="en-US"/>
              </w:rPr>
              <w:t>MediaTek</w:t>
            </w:r>
          </w:p>
        </w:tc>
        <w:tc>
          <w:tcPr>
            <w:tcW w:w="1023" w:type="dxa"/>
          </w:tcPr>
          <w:p w14:paraId="592964E6">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N</w:t>
            </w:r>
          </w:p>
        </w:tc>
        <w:tc>
          <w:tcPr>
            <w:tcW w:w="6912" w:type="dxa"/>
          </w:tcPr>
          <w:p w14:paraId="1E024E28">
            <w:pPr>
              <w:overflowPunct w:val="0"/>
              <w:autoSpaceDE w:val="0"/>
              <w:autoSpaceDN w:val="0"/>
              <w:adjustRightInd w:val="0"/>
              <w:spacing w:after="120" w:afterLines="50"/>
              <w:jc w:val="both"/>
              <w:textAlignment w:val="baseline"/>
              <w:rPr>
                <w:sz w:val="22"/>
                <w:lang w:val="en-US"/>
              </w:rPr>
            </w:pPr>
            <w:r>
              <w:rPr>
                <w:sz w:val="22"/>
                <w:lang w:val="en-US"/>
              </w:rPr>
              <w:t>This are not altogether convinced of the gain vs complexity trade-off of this.</w:t>
            </w:r>
          </w:p>
        </w:tc>
      </w:tr>
      <w:tr w14:paraId="79909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417C5943">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S</w:t>
            </w:r>
            <w:r>
              <w:rPr>
                <w:rFonts w:eastAsia="Malgun Gothic"/>
                <w:sz w:val="22"/>
                <w:lang w:val="en-US" w:eastAsia="ko-KR"/>
              </w:rPr>
              <w:t>amsung</w:t>
            </w:r>
          </w:p>
        </w:tc>
        <w:tc>
          <w:tcPr>
            <w:tcW w:w="1023" w:type="dxa"/>
          </w:tcPr>
          <w:p w14:paraId="43A249BA">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912" w:type="dxa"/>
          </w:tcPr>
          <w:p w14:paraId="2E0F4E5E">
            <w:pPr>
              <w:overflowPunct w:val="0"/>
              <w:autoSpaceDE w:val="0"/>
              <w:autoSpaceDN w:val="0"/>
              <w:adjustRightInd w:val="0"/>
              <w:spacing w:after="120" w:afterLines="50"/>
              <w:jc w:val="both"/>
              <w:textAlignment w:val="baseline"/>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14:paraId="60FF4CC4">
            <w:pPr>
              <w:overflowPunct w:val="0"/>
              <w:autoSpaceDE w:val="0"/>
              <w:autoSpaceDN w:val="0"/>
              <w:adjustRightInd w:val="0"/>
              <w:spacing w:after="120" w:afterLines="50"/>
              <w:jc w:val="both"/>
              <w:textAlignment w:val="baseline"/>
              <w:rPr>
                <w:sz w:val="22"/>
                <w:lang w:val="en-US"/>
              </w:rPr>
            </w:pPr>
            <w:r>
              <w:rPr>
                <w:sz w:val="22"/>
                <w:lang w:val="en-US"/>
              </w:rPr>
              <w:t>- Complicated. For each PDCCH MO, a UE is required to determine which a DCI format is not monitored. </w:t>
            </w:r>
          </w:p>
          <w:p w14:paraId="776D986B">
            <w:pPr>
              <w:overflowPunct w:val="0"/>
              <w:autoSpaceDE w:val="0"/>
              <w:autoSpaceDN w:val="0"/>
              <w:adjustRightInd w:val="0"/>
              <w:spacing w:after="120" w:afterLines="50"/>
              <w:jc w:val="both"/>
              <w:textAlignment w:val="baseline"/>
              <w:rPr>
                <w:sz w:val="22"/>
                <w:lang w:val="en-US"/>
              </w:rPr>
            </w:pPr>
            <w:r>
              <w:rPr>
                <w:sz w:val="22"/>
                <w:lang w:val="en-US"/>
              </w:rPr>
              <w:t>- Opens discussion for several other cases. For example, should PDCCH candidates on deactivated cells be counted after the UE reports ACK for the deactivation? </w:t>
            </w:r>
          </w:p>
        </w:tc>
      </w:tr>
    </w:tbl>
    <w:p w14:paraId="306F4A80">
      <w:pPr>
        <w:rPr>
          <w:b/>
        </w:rPr>
      </w:pPr>
    </w:p>
    <w:p w14:paraId="29666224">
      <w:pPr>
        <w:rPr>
          <w:b/>
        </w:rPr>
      </w:pPr>
    </w:p>
    <w:p w14:paraId="01ED41D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PHR reporting triggering condition for a different UL waveform</w:t>
      </w:r>
    </w:p>
    <w:p w14:paraId="2904AD55">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14:paraId="2C130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1C63E579">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[8</w:t>
            </w:r>
            <w:r>
              <w:rPr>
                <w:rFonts w:ascii="Arial" w:hAnsi="Arial" w:eastAsia="MS Mincho"/>
                <w:sz w:val="22"/>
                <w:szCs w:val="22"/>
                <w:lang w:val="en-US"/>
              </w:rPr>
              <w:t>]</w:t>
            </w:r>
          </w:p>
        </w:tc>
        <w:tc>
          <w:tcPr>
            <w:tcW w:w="9066" w:type="dxa"/>
          </w:tcPr>
          <w:p w14:paraId="082A466A">
            <w:pPr>
              <w:overflowPunct w:val="0"/>
              <w:autoSpaceDE w:val="0"/>
              <w:autoSpaceDN w:val="0"/>
              <w:adjustRightInd w:val="0"/>
              <w:spacing w:before="120" w:after="120"/>
              <w:jc w:val="both"/>
              <w:textAlignment w:val="baseline"/>
              <w:rPr>
                <w:sz w:val="18"/>
                <w:szCs w:val="18"/>
                <w:lang w:val="en-US"/>
              </w:rPr>
            </w:pPr>
            <w:r>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m:rPr/>
                    <w:rPr>
                      <w:rFonts w:ascii="Cambria Math" w:hAnsi="Cambria Math"/>
                      <w:sz w:val="18"/>
                      <w:szCs w:val="18"/>
                    </w:rPr>
                    <m:t>P</m:t>
                  </m:r>
                  <m:ctrlPr>
                    <w:rPr>
                      <w:rFonts w:ascii="Cambria Math" w:hAnsi="Cambria Math"/>
                      <w:sz w:val="18"/>
                      <w:szCs w:val="18"/>
                    </w:rPr>
                  </m:ctrlPr>
                </m:e>
                <m:sub>
                  <m:r>
                    <m:rPr>
                      <m:nor/>
                      <m:sty m:val="p"/>
                    </m:rPr>
                    <w:rPr>
                      <w:b w:val="0"/>
                      <w:i w:val="0"/>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sz w:val="18"/>
                      <w:szCs w:val="18"/>
                    </w:rPr>
                  </m:ctrlPr>
                </m:sub>
              </m:sSub>
              <m:r>
                <m:rPr>
                  <m:sty m:val="p"/>
                </m:rPr>
                <w:rPr>
                  <w:rFonts w:ascii="Cambria Math" w:hAnsi="Cambria Math"/>
                  <w:sz w:val="18"/>
                  <w:szCs w:val="18"/>
                </w:rPr>
                <m:t>(</m:t>
              </m:r>
              <m:r>
                <m:rP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m:rPr/>
                    <w:rPr>
                      <w:rFonts w:ascii="Cambria Math" w:hAnsi="Cambria Math"/>
                      <w:sz w:val="18"/>
                      <w:szCs w:val="18"/>
                    </w:rPr>
                    <m:t>P</m:t>
                  </m:r>
                  <m:ctrlPr>
                    <w:rPr>
                      <w:rFonts w:ascii="Cambria Math" w:hAnsi="Cambria Math"/>
                      <w:sz w:val="18"/>
                      <w:szCs w:val="18"/>
                    </w:rPr>
                  </m:ctrlPr>
                </m:e>
                <m:sub>
                  <m:r>
                    <m:rPr>
                      <m:nor/>
                      <m:sty m:val="p"/>
                    </m:rPr>
                    <w:rPr>
                      <w:b w:val="0"/>
                      <w:i w:val="0"/>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sz w:val="18"/>
                      <w:szCs w:val="18"/>
                    </w:rPr>
                  </m:ctrlPr>
                </m:sub>
              </m:sSub>
              <m:r>
                <m:rPr>
                  <m:sty m:val="p"/>
                </m:rPr>
                <w:rPr>
                  <w:rFonts w:ascii="Cambria Math" w:hAnsi="Cambria Math"/>
                  <w:sz w:val="18"/>
                  <w:szCs w:val="18"/>
                </w:rPr>
                <m:t>(</m:t>
              </m:r>
              <m:r>
                <m:rP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3B3E55CE">
            <w:pPr>
              <w:overflowPunct w:val="0"/>
              <w:autoSpaceDE w:val="0"/>
              <w:autoSpaceDN w:val="0"/>
              <w:adjustRightInd w:val="0"/>
              <w:spacing w:before="120" w:after="120"/>
              <w:jc w:val="both"/>
              <w:textAlignment w:val="baseline"/>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ctrlPr>
                    <w:rPr>
                      <w:rFonts w:ascii="Cambria Math" w:hAnsi="Cambria Math"/>
                      <w:b/>
                      <w:bCs/>
                      <w:sz w:val="18"/>
                      <w:szCs w:val="18"/>
                    </w:rPr>
                  </m:ctrlPr>
                </m:e>
                <m:sub>
                  <m:r>
                    <m:rPr>
                      <m:nor/>
                      <m:sty m:val="b"/>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ctrlPr>
                    <w:rPr>
                      <w:rFonts w:ascii="Cambria Math" w:hAnsi="Cambria Math"/>
                      <w:b/>
                      <w:bCs/>
                      <w:sz w:val="18"/>
                      <w:szCs w:val="18"/>
                    </w:rPr>
                  </m:ctrlP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639F48BF">
            <w:pPr>
              <w:overflowPunct w:val="0"/>
              <w:autoSpaceDE w:val="0"/>
              <w:autoSpaceDN w:val="0"/>
              <w:adjustRightInd w:val="0"/>
              <w:spacing w:before="120" w:after="120"/>
              <w:jc w:val="both"/>
              <w:textAlignment w:val="baseline"/>
              <w:rPr>
                <w:b/>
                <w:bCs/>
                <w:sz w:val="18"/>
                <w:szCs w:val="18"/>
                <w:lang w:val="en-US"/>
              </w:rPr>
            </w:pPr>
          </w:p>
          <w:p w14:paraId="43F61B88">
            <w:pPr>
              <w:overflowPunct w:val="0"/>
              <w:autoSpaceDE w:val="0"/>
              <w:autoSpaceDN w:val="0"/>
              <w:adjustRightInd w:val="0"/>
              <w:spacing w:before="120" w:after="120"/>
              <w:jc w:val="both"/>
              <w:textAlignment w:val="baseline"/>
              <w:rPr>
                <w:sz w:val="18"/>
                <w:szCs w:val="18"/>
                <w:lang w:val="en-US"/>
              </w:rPr>
            </w:pPr>
            <w:r>
              <w:rPr>
                <w:sz w:val="18"/>
                <w:szCs w:val="18"/>
                <w:lang w:val="en-US"/>
              </w:rPr>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434F0961">
            <w:pPr>
              <w:pStyle w:val="21"/>
              <w:overflowPunct w:val="0"/>
              <w:autoSpaceDE w:val="0"/>
              <w:autoSpaceDN w:val="0"/>
              <w:adjustRightInd w:val="0"/>
              <w:jc w:val="both"/>
              <w:textAlignment w:val="baseline"/>
              <w:rPr>
                <w:sz w:val="18"/>
                <w:szCs w:val="18"/>
                <w:lang w:val="en-US"/>
              </w:rPr>
            </w:pPr>
            <w:bookmarkStart w:id="31" w:name="_Toc131415286"/>
            <w:bookmarkStart w:id="32" w:name="_Toc131502032"/>
            <w:bookmarkStart w:id="33" w:name="_Toc131683505"/>
            <w:bookmarkStart w:id="34" w:name="_Toc131677051"/>
            <w:bookmarkStart w:id="35" w:name="_Ref127482374"/>
            <w:bookmarkStart w:id="36" w:name="_Toc134804115"/>
            <w:bookmarkStart w:id="37" w:name="_Toc134785499"/>
            <w:bookmarkStart w:id="38" w:name="_Toc134785462"/>
            <w:bookmarkStart w:id="39" w:name="_Toc131677880"/>
            <w:bookmarkStart w:id="40" w:name="_Toc131683433"/>
            <w:bookmarkStart w:id="41" w:name="_Toc131682976"/>
            <w:bookmarkStart w:id="42" w:name="_Toc134804229"/>
            <w:bookmarkStart w:id="43" w:name="_Toc131605368"/>
            <w:bookmarkStart w:id="44" w:name="_Toc131416005"/>
            <w:bookmarkStart w:id="45" w:name="_Toc131678915"/>
            <w:bookmarkStart w:id="46" w:name="_Toc131496967"/>
            <w:bookmarkStart w:id="47" w:name="_Toc131415971"/>
            <w:bookmarkStart w:id="48" w:name="_Toc131679116"/>
            <w:bookmarkStart w:id="49" w:name="_Toc131679084"/>
            <w:bookmarkStart w:id="50" w:name="_Toc131680189"/>
            <w:bookmarkStart w:id="51" w:name="_Toc131680870"/>
            <w:bookmarkStart w:id="52" w:name="_Toc131676608"/>
            <w:bookmarkStart w:id="53" w:name="_Toc131683253"/>
            <w:bookmarkStart w:id="54" w:name="_Toc131692292"/>
            <w:bookmarkStart w:id="55" w:name="_Toc131416022"/>
            <w:bookmarkStart w:id="56" w:name="_Toc131605816"/>
            <w:bookmarkStart w:id="57" w:name="_Toc131415988"/>
            <w:bookmarkStart w:id="58" w:name="_Toc131683541"/>
            <w:bookmarkStart w:id="59" w:name="_Toc131683592"/>
            <w:bookmarkStart w:id="60" w:name="_Toc131682998"/>
            <w:bookmarkStart w:id="61" w:name="_Toc131682804"/>
            <w:bookmarkStart w:id="62" w:name="_Toc131693302"/>
            <w:bookmarkStart w:id="63" w:name="_Toc131683165"/>
            <w:bookmarkStart w:id="64" w:name="_Toc131683469"/>
            <w:bookmarkStart w:id="65" w:name="_Toc131676770"/>
            <w:bookmarkStart w:id="66" w:name="_Toc131682954"/>
            <w:bookmarkStart w:id="67" w:name="_Toc134804180"/>
            <w:bookmarkStart w:id="68" w:name="_Toc131683397"/>
            <w:bookmarkStart w:id="69" w:name="_Toc131683361"/>
            <w:bookmarkStart w:id="70" w:name="_Toc131692329"/>
            <w:bookmarkStart w:id="71" w:name="_Toc131683325"/>
            <w:bookmarkStart w:id="72" w:name="_Toc131683042"/>
            <w:bookmarkStart w:id="73" w:name="_Toc131680894"/>
            <w:bookmarkStart w:id="74" w:name="_Toc131683289"/>
            <w:bookmarkStart w:id="75" w:name="_Toc131677934"/>
            <w:bookmarkStart w:id="76" w:name="_Toc131683020"/>
            <w:bookmarkStart w:id="77" w:name="_Toc134803082"/>
            <w:bookmarkStart w:id="78" w:name="_Toc131680074"/>
            <w:r>
              <w:rPr>
                <w:sz w:val="18"/>
                <w:szCs w:val="18"/>
              </w:rPr>
              <w:t>Observation 4-2: I</w:t>
            </w:r>
            <w:r>
              <w:rPr>
                <w:sz w:val="18"/>
                <w:szCs w:val="18"/>
                <w:lang w:val="en-US"/>
              </w:rPr>
              <w:t>f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642054B8">
            <w:pPr>
              <w:overflowPunct w:val="0"/>
              <w:autoSpaceDE w:val="0"/>
              <w:autoSpaceDN w:val="0"/>
              <w:adjustRightInd w:val="0"/>
              <w:spacing w:after="180"/>
              <w:textAlignment w:val="baseline"/>
              <w:rPr>
                <w:b/>
                <w:bCs/>
                <w:sz w:val="18"/>
                <w:szCs w:val="18"/>
                <w:lang w:val="en-US"/>
              </w:rPr>
            </w:pPr>
            <w:r>
              <w:rPr>
                <w:b/>
                <w:bCs/>
                <w:sz w:val="18"/>
                <w:szCs w:val="18"/>
                <w:lang w:val="en-US"/>
              </w:rPr>
              <w:t>Proposal 4-1: The report of assistance information, are triggered when the following conditions are satisfied:</w:t>
            </w:r>
          </w:p>
          <w:p w14:paraId="0DB70C94">
            <w:pPr>
              <w:pStyle w:val="108"/>
              <w:numPr>
                <w:ilvl w:val="0"/>
                <w:numId w:val="48"/>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There is a change in PL compared to that in previous report.</w:t>
            </w:r>
          </w:p>
          <w:p w14:paraId="641675F7">
            <w:pPr>
              <w:pStyle w:val="108"/>
              <w:numPr>
                <w:ilvl w:val="0"/>
                <w:numId w:val="48"/>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There is a change in PH difference between the two waveforms compared to that in previous report.</w:t>
            </w:r>
          </w:p>
        </w:tc>
      </w:tr>
    </w:tbl>
    <w:p w14:paraId="1D9C5E88">
      <w:pPr>
        <w:rPr>
          <w:b/>
        </w:rPr>
      </w:pPr>
    </w:p>
    <w:p w14:paraId="13134B65">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14:paraId="078EFC00">
      <w:pPr>
        <w:rPr>
          <w:rFonts w:ascii="Arial" w:hAnsi="Arial" w:eastAsia="MS Mincho"/>
          <w:sz w:val="32"/>
          <w:szCs w:val="32"/>
        </w:rPr>
      </w:pPr>
    </w:p>
    <w:p w14:paraId="150C36AB">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19</w:t>
      </w:r>
    </w:p>
    <w:p w14:paraId="74CF9C83">
      <w:pPr>
        <w:pStyle w:val="108"/>
        <w:numPr>
          <w:ilvl w:val="0"/>
          <w:numId w:val="20"/>
        </w:numPr>
        <w:ind w:leftChars="0"/>
        <w:jc w:val="both"/>
        <w:rPr>
          <w:b/>
        </w:rPr>
      </w:pPr>
      <w:r>
        <w:rPr>
          <w:rFonts w:hint="eastAsia"/>
          <w:b/>
        </w:rPr>
        <w:t>Support the following conditions for the trigger of assistance information reporting.</w:t>
      </w:r>
    </w:p>
    <w:p w14:paraId="2AAF2ED6">
      <w:pPr>
        <w:pStyle w:val="108"/>
        <w:numPr>
          <w:ilvl w:val="1"/>
          <w:numId w:val="20"/>
        </w:numPr>
        <w:ind w:leftChars="0"/>
        <w:jc w:val="both"/>
        <w:rPr>
          <w:b/>
        </w:rPr>
      </w:pPr>
      <w:r>
        <w:rPr>
          <w:b/>
        </w:rPr>
        <w:t>There is a change in PL compared to that in previous report.</w:t>
      </w:r>
    </w:p>
    <w:p w14:paraId="474304AE">
      <w:pPr>
        <w:pStyle w:val="108"/>
        <w:numPr>
          <w:ilvl w:val="1"/>
          <w:numId w:val="20"/>
        </w:numPr>
        <w:ind w:leftChars="0"/>
        <w:jc w:val="both"/>
        <w:rPr>
          <w:b/>
        </w:rPr>
      </w:pPr>
      <w:r>
        <w:rPr>
          <w:b/>
        </w:rPr>
        <w:t>There is a change in PH difference between the two waveforms compared to that in previous report.</w:t>
      </w:r>
    </w:p>
    <w:p w14:paraId="7D06FFDE">
      <w:pPr>
        <w:rPr>
          <w:rFonts w:eastAsia="MS Mincho" w:cs="Batang"/>
          <w:sz w:val="22"/>
          <w:szCs w:val="22"/>
        </w:rPr>
      </w:pPr>
    </w:p>
    <w:p w14:paraId="46385623">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Nokia</w:t>
      </w:r>
      <w:r>
        <w:rPr>
          <w:rFonts w:eastAsia="MS Mincho" w:cs="Batang"/>
          <w:sz w:val="22"/>
          <w:szCs w:val="22"/>
        </w:rPr>
        <w:t>.</w:t>
      </w:r>
    </w:p>
    <w:p w14:paraId="43F2BAE5">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121"/>
        <w:gridCol w:w="6912"/>
      </w:tblGrid>
      <w:tr w14:paraId="6EDD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14:paraId="5BC0F10C">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14:paraId="48BFD117">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14:paraId="0DCFF919">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14:paraId="35877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06E27F62">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DOCOMO</w:t>
            </w:r>
          </w:p>
        </w:tc>
        <w:tc>
          <w:tcPr>
            <w:tcW w:w="1023" w:type="dxa"/>
          </w:tcPr>
          <w:p w14:paraId="535726C8">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N</w:t>
            </w:r>
          </w:p>
        </w:tc>
        <w:tc>
          <w:tcPr>
            <w:tcW w:w="6912" w:type="dxa"/>
          </w:tcPr>
          <w:p w14:paraId="694D7A89">
            <w:pPr>
              <w:overflowPunct w:val="0"/>
              <w:autoSpaceDE w:val="0"/>
              <w:autoSpaceDN w:val="0"/>
              <w:adjustRightInd w:val="0"/>
              <w:spacing w:after="120" w:afterLines="50"/>
              <w:jc w:val="both"/>
              <w:textAlignment w:val="baseline"/>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be considered to be captured in 38.321 by RAN2 experts. </w:t>
            </w:r>
          </w:p>
          <w:p w14:paraId="7C0A6555">
            <w:pPr>
              <w:overflowPunct w:val="0"/>
              <w:autoSpaceDE w:val="0"/>
              <w:autoSpaceDN w:val="0"/>
              <w:adjustRightInd w:val="0"/>
              <w:spacing w:after="120" w:afterLines="50"/>
              <w:jc w:val="both"/>
              <w:textAlignment w:val="baseline"/>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14:paraId="0C9AF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6DB041C8">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Huawei</w:t>
            </w:r>
            <w:r>
              <w:rPr>
                <w:rFonts w:eastAsiaTheme="minorEastAsia"/>
                <w:sz w:val="22"/>
                <w:lang w:val="en-US" w:eastAsia="zh-CN"/>
              </w:rPr>
              <w:t>, HiSilicon</w:t>
            </w:r>
          </w:p>
        </w:tc>
        <w:tc>
          <w:tcPr>
            <w:tcW w:w="1023" w:type="dxa"/>
          </w:tcPr>
          <w:p w14:paraId="0F8BAE40">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14:paraId="74635867">
            <w:pPr>
              <w:overflowPunct w:val="0"/>
              <w:autoSpaceDE w:val="0"/>
              <w:autoSpaceDN w:val="0"/>
              <w:adjustRightInd w:val="0"/>
              <w:spacing w:after="120" w:afterLines="50"/>
              <w:jc w:val="both"/>
              <w:textAlignment w:val="baseline"/>
              <w:rPr>
                <w:sz w:val="22"/>
                <w:lang w:val="en-US"/>
              </w:rPr>
            </w:pPr>
            <w:r>
              <w:rPr>
                <w:sz w:val="22"/>
                <w:lang w:val="en-US"/>
              </w:rPr>
              <w:t>OK to discuss it but we suggest different solutions with consideration of minimized RAN2 spec impacts.</w:t>
            </w:r>
          </w:p>
          <w:p w14:paraId="2AF024BA">
            <w:pPr>
              <w:overflowPunct w:val="0"/>
              <w:autoSpaceDE w:val="0"/>
              <w:autoSpaceDN w:val="0"/>
              <w:adjustRightInd w:val="0"/>
              <w:spacing w:after="120" w:afterLines="50"/>
              <w:jc w:val="both"/>
              <w:textAlignment w:val="baseline"/>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MAC-CEs are triggered to be reported in the same PUSCH, only the R18 PHR is reported.</w:t>
            </w:r>
          </w:p>
          <w:p w14:paraId="30E0B8B2">
            <w:pPr>
              <w:overflowPunct w:val="0"/>
              <w:autoSpaceDE w:val="0"/>
              <w:autoSpaceDN w:val="0"/>
              <w:adjustRightInd w:val="0"/>
              <w:spacing w:after="120" w:afterLines="50"/>
              <w:jc w:val="both"/>
              <w:textAlignment w:val="baseline"/>
              <w:rPr>
                <w:sz w:val="22"/>
                <w:lang w:val="en-US"/>
              </w:rPr>
            </w:pPr>
            <w:r>
              <w:rPr>
                <w:sz w:val="22"/>
                <w:lang w:val="en-US"/>
              </w:rPr>
              <w:t>Solution#1-2: With both R18 PHR MAC-CE and the legacy PHR MAC-CE configured, add an PHR event for R18 PHR reporting that is triggered as long as the DWS field in scheduling DCI is flipped.</w:t>
            </w:r>
          </w:p>
        </w:tc>
      </w:tr>
      <w:tr w14:paraId="6430A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5A285BF9">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14:paraId="3F409BED">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14:paraId="47059B0A">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have similar view as DOCOMO. Reporting overhead is not big problem.</w:t>
            </w:r>
          </w:p>
          <w:p w14:paraId="5350AC24">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 xml:space="preserve">In R18, the </w:t>
            </w:r>
            <w:r>
              <w:rPr>
                <w:rFonts w:hint="eastAsia" w:eastAsiaTheme="minorEastAsia"/>
                <w:sz w:val="22"/>
                <w:lang w:val="en-US" w:eastAsia="zh-CN"/>
              </w:rPr>
              <w:t xml:space="preserve">trigger </w:t>
            </w:r>
            <w:r>
              <w:rPr>
                <w:rFonts w:eastAsiaTheme="minorEastAsia"/>
                <w:sz w:val="22"/>
                <w:lang w:val="en-US" w:eastAsia="zh-CN"/>
              </w:rPr>
              <w:t xml:space="preserve">condition </w:t>
            </w:r>
            <w:r>
              <w:rPr>
                <w:rFonts w:hint="eastAsia" w:eastAsiaTheme="minorEastAsia"/>
                <w:sz w:val="22"/>
                <w:lang w:val="en-US" w:eastAsia="zh-CN"/>
              </w:rPr>
              <w:t>of assistance information reporting</w:t>
            </w:r>
            <w:r>
              <w:rPr>
                <w:rFonts w:eastAsiaTheme="minorEastAsia"/>
                <w:sz w:val="22"/>
                <w:lang w:val="en-US" w:eastAsia="zh-CN"/>
              </w:rPr>
              <w:t xml:space="preserve"> has been discussed in RAN1 and RAN2</w:t>
            </w:r>
            <w:r>
              <w:rPr>
                <w:rFonts w:hint="eastAsia" w:eastAsiaTheme="minorEastAsia"/>
                <w:sz w:val="22"/>
                <w:lang w:val="en-US" w:eastAsia="zh-CN"/>
              </w:rPr>
              <w:t xml:space="preserve">. </w:t>
            </w:r>
            <w:r>
              <w:rPr>
                <w:sz w:val="22"/>
                <w:lang w:val="en-US"/>
              </w:rPr>
              <w:t>New PHR triggers mechanisms was precluded in RAN#100. It is not necessary to discuss it again.</w:t>
            </w:r>
          </w:p>
          <w:p w14:paraId="347D85FF">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14:paraId="50464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171F6384">
            <w:pPr>
              <w:overflowPunct w:val="0"/>
              <w:autoSpaceDE w:val="0"/>
              <w:autoSpaceDN w:val="0"/>
              <w:adjustRightInd w:val="0"/>
              <w:spacing w:after="120" w:afterLines="50"/>
              <w:jc w:val="both"/>
              <w:textAlignment w:val="baseline"/>
              <w:rPr>
                <w:sz w:val="22"/>
                <w:lang w:val="en-US"/>
              </w:rPr>
            </w:pPr>
            <w:r>
              <w:rPr>
                <w:sz w:val="22"/>
                <w:lang w:val="en-US"/>
              </w:rPr>
              <w:t>QC</w:t>
            </w:r>
          </w:p>
        </w:tc>
        <w:tc>
          <w:tcPr>
            <w:tcW w:w="1023" w:type="dxa"/>
          </w:tcPr>
          <w:p w14:paraId="390836DF">
            <w:pPr>
              <w:overflowPunct w:val="0"/>
              <w:autoSpaceDE w:val="0"/>
              <w:autoSpaceDN w:val="0"/>
              <w:adjustRightInd w:val="0"/>
              <w:spacing w:after="120" w:afterLines="50"/>
              <w:jc w:val="both"/>
              <w:textAlignment w:val="baseline"/>
              <w:rPr>
                <w:sz w:val="22"/>
                <w:lang w:val="en-US"/>
              </w:rPr>
            </w:pPr>
          </w:p>
        </w:tc>
        <w:tc>
          <w:tcPr>
            <w:tcW w:w="6912" w:type="dxa"/>
          </w:tcPr>
          <w:p w14:paraId="20FC352C">
            <w:pPr>
              <w:overflowPunct w:val="0"/>
              <w:autoSpaceDE w:val="0"/>
              <w:autoSpaceDN w:val="0"/>
              <w:adjustRightInd w:val="0"/>
              <w:spacing w:after="120" w:afterLines="50"/>
              <w:jc w:val="both"/>
              <w:textAlignment w:val="baseline"/>
              <w:rPr>
                <w:sz w:val="22"/>
                <w:lang w:val="en-US"/>
              </w:rPr>
            </w:pPr>
            <w:r>
              <w:rPr>
                <w:sz w:val="22"/>
                <w:lang w:val="en-US"/>
              </w:rPr>
              <w:t>Open to supporting a new trigger. However, for us, overhead is not a concern; we are motivated by ensuring the gNB receives the information in a timely manner.</w:t>
            </w:r>
          </w:p>
          <w:p w14:paraId="7DD98087">
            <w:pPr>
              <w:overflowPunct w:val="0"/>
              <w:autoSpaceDE w:val="0"/>
              <w:autoSpaceDN w:val="0"/>
              <w:adjustRightInd w:val="0"/>
              <w:spacing w:after="120" w:afterLines="50"/>
              <w:jc w:val="both"/>
              <w:textAlignment w:val="baseline"/>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2F870C63">
            <w:pPr>
              <w:overflowPunct w:val="0"/>
              <w:autoSpaceDE w:val="0"/>
              <w:autoSpaceDN w:val="0"/>
              <w:adjustRightInd w:val="0"/>
              <w:spacing w:after="120" w:afterLines="50"/>
              <w:jc w:val="both"/>
              <w:textAlignment w:val="baseline"/>
              <w:rPr>
                <w:sz w:val="22"/>
                <w:lang w:val="en-US"/>
              </w:rPr>
            </w:pPr>
            <w:r>
              <w:rPr>
                <w:sz w:val="22"/>
                <w:lang w:val="en-US"/>
              </w:rPr>
              <w:t xml:space="preserve">Sympathize with DCM’s views. Triggers are typically in RAN2 domain, and this trigger too may have to be captured in the RAN2 specs. </w:t>
            </w:r>
          </w:p>
        </w:tc>
      </w:tr>
      <w:tr w14:paraId="649BD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32B75A84">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14:paraId="1E8DA8C0">
            <w:pPr>
              <w:overflowPunct w:val="0"/>
              <w:autoSpaceDE w:val="0"/>
              <w:autoSpaceDN w:val="0"/>
              <w:adjustRightInd w:val="0"/>
              <w:spacing w:after="120" w:afterLines="50"/>
              <w:jc w:val="both"/>
              <w:textAlignment w:val="baseline"/>
              <w:rPr>
                <w:sz w:val="22"/>
                <w:lang w:val="en-US"/>
              </w:rPr>
            </w:pPr>
          </w:p>
        </w:tc>
        <w:tc>
          <w:tcPr>
            <w:tcW w:w="6912" w:type="dxa"/>
          </w:tcPr>
          <w:p w14:paraId="636AD068">
            <w:pPr>
              <w:overflowPunct w:val="0"/>
              <w:autoSpaceDE w:val="0"/>
              <w:autoSpaceDN w:val="0"/>
              <w:adjustRightInd w:val="0"/>
              <w:spacing w:after="120" w:afterLines="50"/>
              <w:jc w:val="both"/>
              <w:textAlignment w:val="baseline"/>
              <w:rPr>
                <w:sz w:val="22"/>
                <w:lang w:val="en-US"/>
              </w:rPr>
            </w:pPr>
            <w:r>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03849F2E">
            <w:pPr>
              <w:overflowPunct w:val="0"/>
              <w:autoSpaceDE w:val="0"/>
              <w:autoSpaceDN w:val="0"/>
              <w:adjustRightInd w:val="0"/>
              <w:spacing w:after="180"/>
              <w:textAlignment w:val="baseline"/>
              <w:rPr>
                <w:sz w:val="22"/>
                <w:lang w:val="en-US"/>
              </w:rPr>
            </w:pPr>
            <w:r>
              <w:rPr>
                <w:sz w:val="22"/>
                <w:lang w:val="en-US"/>
              </w:rPr>
              <w:t xml:space="preserve">phr-Tx-PowerFactorChange ENUMERATED {dB1, dB3, dB6, infinity}, </w:t>
            </w:r>
          </w:p>
          <w:p w14:paraId="687995F6">
            <w:pPr>
              <w:pStyle w:val="24"/>
              <w:overflowPunct w:val="0"/>
              <w:autoSpaceDE w:val="0"/>
              <w:autoSpaceDN w:val="0"/>
              <w:adjustRightInd w:val="0"/>
              <w:spacing w:after="180"/>
              <w:textAlignment w:val="baseline"/>
              <w:rPr>
                <w:sz w:val="22"/>
                <w:lang w:val="en-US"/>
              </w:rPr>
            </w:pPr>
            <w:r>
              <w:rPr>
                <w:sz w:val="22"/>
                <w:lang w:val="en-US"/>
              </w:rPr>
              <w:t>In addition, PAI is only needed when waveform of current transmission is different from waveform of previous transmission.</w:t>
            </w:r>
          </w:p>
        </w:tc>
      </w:tr>
      <w:tr w14:paraId="75CCC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0B2D252B">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Xiaomi</w:t>
            </w:r>
          </w:p>
        </w:tc>
        <w:tc>
          <w:tcPr>
            <w:tcW w:w="1023" w:type="dxa"/>
          </w:tcPr>
          <w:p w14:paraId="1D77FE75">
            <w:pPr>
              <w:overflowPunct w:val="0"/>
              <w:autoSpaceDE w:val="0"/>
              <w:autoSpaceDN w:val="0"/>
              <w:adjustRightInd w:val="0"/>
              <w:spacing w:after="120" w:afterLines="50"/>
              <w:jc w:val="both"/>
              <w:textAlignment w:val="baseline"/>
              <w:rPr>
                <w:sz w:val="22"/>
                <w:lang w:val="en-US"/>
              </w:rPr>
            </w:pPr>
          </w:p>
        </w:tc>
        <w:tc>
          <w:tcPr>
            <w:tcW w:w="6912" w:type="dxa"/>
          </w:tcPr>
          <w:p w14:paraId="2BF74F2A">
            <w:pPr>
              <w:overflowPunct w:val="0"/>
              <w:autoSpaceDE w:val="0"/>
              <w:autoSpaceDN w:val="0"/>
              <w:adjustRightInd w:val="0"/>
              <w:spacing w:after="120" w:afterLines="50"/>
              <w:jc w:val="both"/>
              <w:textAlignment w:val="baseline"/>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14:paraId="0EDE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1BD32959">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MediaTek</w:t>
            </w:r>
          </w:p>
        </w:tc>
        <w:tc>
          <w:tcPr>
            <w:tcW w:w="1023" w:type="dxa"/>
          </w:tcPr>
          <w:p w14:paraId="7CB92FE6">
            <w:pPr>
              <w:overflowPunct w:val="0"/>
              <w:autoSpaceDE w:val="0"/>
              <w:autoSpaceDN w:val="0"/>
              <w:adjustRightInd w:val="0"/>
              <w:spacing w:after="120" w:afterLines="50"/>
              <w:jc w:val="both"/>
              <w:textAlignment w:val="baseline"/>
              <w:rPr>
                <w:sz w:val="22"/>
                <w:lang w:val="en-US"/>
              </w:rPr>
            </w:pPr>
          </w:p>
        </w:tc>
        <w:tc>
          <w:tcPr>
            <w:tcW w:w="6912" w:type="dxa"/>
          </w:tcPr>
          <w:p w14:paraId="62087404">
            <w:pPr>
              <w:overflowPunct w:val="0"/>
              <w:autoSpaceDE w:val="0"/>
              <w:autoSpaceDN w:val="0"/>
              <w:adjustRightInd w:val="0"/>
              <w:spacing w:after="120" w:afterLines="50"/>
              <w:jc w:val="both"/>
              <w:textAlignment w:val="baseline"/>
              <w:rPr>
                <w:sz w:val="22"/>
                <w:lang w:val="en-US"/>
              </w:rPr>
            </w:pPr>
            <w:r>
              <w:rPr>
                <w:sz w:val="22"/>
                <w:lang w:val="en-US"/>
              </w:rPr>
              <w:t>This would seem to need RAN4 as well as RAN2 input. Would seem to need more effort than a single meeting cycle?</w:t>
            </w:r>
          </w:p>
        </w:tc>
      </w:tr>
      <w:tr w14:paraId="562C7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6B1F09A2">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14:paraId="65C1618D">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912" w:type="dxa"/>
          </w:tcPr>
          <w:p w14:paraId="28F84EAB">
            <w:pPr>
              <w:overflowPunct w:val="0"/>
              <w:autoSpaceDE w:val="0"/>
              <w:autoSpaceDN w:val="0"/>
              <w:adjustRightInd w:val="0"/>
              <w:spacing w:after="120" w:afterLines="50"/>
              <w:jc w:val="both"/>
              <w:textAlignment w:val="baseline"/>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14:paraId="137FA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136F1467">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Ericsson</w:t>
            </w:r>
          </w:p>
        </w:tc>
        <w:tc>
          <w:tcPr>
            <w:tcW w:w="1023" w:type="dxa"/>
          </w:tcPr>
          <w:p w14:paraId="7AD229D9">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See comments</w:t>
            </w:r>
          </w:p>
        </w:tc>
        <w:tc>
          <w:tcPr>
            <w:tcW w:w="6912" w:type="dxa"/>
          </w:tcPr>
          <w:p w14:paraId="260C5297">
            <w:pPr>
              <w:overflowPunct w:val="0"/>
              <w:autoSpaceDE w:val="0"/>
              <w:autoSpaceDN w:val="0"/>
              <w:adjustRightInd w:val="0"/>
              <w:spacing w:after="120" w:afterLines="50"/>
              <w:jc w:val="both"/>
              <w:textAlignment w:val="baseline"/>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14:paraId="66442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Align w:val="top"/>
          </w:tcPr>
          <w:p w14:paraId="131CB0E5">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CATT</w:t>
            </w:r>
          </w:p>
        </w:tc>
        <w:tc>
          <w:tcPr>
            <w:tcW w:w="1023" w:type="dxa"/>
            <w:vAlign w:val="top"/>
          </w:tcPr>
          <w:p w14:paraId="5FB94812">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N</w:t>
            </w:r>
          </w:p>
        </w:tc>
        <w:tc>
          <w:tcPr>
            <w:tcW w:w="6912" w:type="dxa"/>
            <w:vAlign w:val="top"/>
          </w:tcPr>
          <w:p w14:paraId="06AF3571">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The proposal was discussed in Rel-18 CE but was not agreed. There are various different ways to optimize and we do not think it should be considered in TEI19.</w:t>
            </w:r>
            <w:bookmarkStart w:id="84" w:name="_GoBack"/>
            <w:bookmarkEnd w:id="84"/>
          </w:p>
        </w:tc>
      </w:tr>
    </w:tbl>
    <w:p w14:paraId="6DDA0445">
      <w:pPr>
        <w:rPr>
          <w:b/>
        </w:rPr>
      </w:pPr>
    </w:p>
    <w:p w14:paraId="6E5815BE">
      <w:pPr>
        <w:rPr>
          <w:b/>
        </w:rPr>
      </w:pPr>
    </w:p>
    <w:p w14:paraId="084F85FB">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Closed loop power control for dynamic waveform switching</w:t>
      </w:r>
    </w:p>
    <w:p w14:paraId="0E260704">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14:paraId="307DB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2FFC5023">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[8</w:t>
            </w:r>
            <w:r>
              <w:rPr>
                <w:rFonts w:ascii="Arial" w:hAnsi="Arial" w:eastAsia="MS Mincho"/>
                <w:sz w:val="22"/>
                <w:szCs w:val="22"/>
                <w:lang w:val="en-US"/>
              </w:rPr>
              <w:t>]</w:t>
            </w:r>
          </w:p>
        </w:tc>
        <w:tc>
          <w:tcPr>
            <w:tcW w:w="9066" w:type="dxa"/>
          </w:tcPr>
          <w:p w14:paraId="48B70918">
            <w:pPr>
              <w:overflowPunct w:val="0"/>
              <w:autoSpaceDE w:val="0"/>
              <w:autoSpaceDN w:val="0"/>
              <w:adjustRightInd w:val="0"/>
              <w:spacing w:after="180"/>
              <w:jc w:val="both"/>
              <w:textAlignment w:val="baseline"/>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7046B189">
            <w:pPr>
              <w:overflowPunct w:val="0"/>
              <w:autoSpaceDE w:val="0"/>
              <w:autoSpaceDN w:val="0"/>
              <w:adjustRightInd w:val="0"/>
              <w:spacing w:after="180"/>
              <w:jc w:val="both"/>
              <w:textAlignment w:val="baseline"/>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m:rPr/>
                    <w:rPr>
                      <w:rFonts w:ascii="Cambria Math" w:hAnsi="Cambria Math"/>
                      <w:sz w:val="18"/>
                      <w:szCs w:val="18"/>
                      <w:lang w:val="en-US"/>
                    </w:rPr>
                    <m:t>δ</m:t>
                  </m:r>
                  <m:ctrlPr>
                    <w:rPr>
                      <w:rFonts w:ascii="Cambria Math" w:hAnsi="Cambria Math"/>
                      <w:sz w:val="18"/>
                      <w:szCs w:val="18"/>
                      <w:lang w:val="en-US"/>
                    </w:rPr>
                  </m:ctrlPr>
                </m:e>
                <m:sub>
                  <m:r>
                    <m:rPr>
                      <m:sty m:val="p"/>
                    </m:rPr>
                    <w:rPr>
                      <w:rFonts w:ascii="Cambria Math"/>
                      <w:sz w:val="18"/>
                      <w:szCs w:val="18"/>
                      <w:lang w:val="en-US"/>
                    </w:rPr>
                    <m:t>PUSCH</m:t>
                  </m:r>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r>
                <m:rP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sz w:val="18"/>
                      <w:szCs w:val="18"/>
                      <w:lang w:val="en-US"/>
                    </w:rPr>
                    <m:t>i,l</m:t>
                  </m:r>
                  <m:ctrlPr>
                    <w:rPr>
                      <w:rFonts w:ascii="Cambria Math" w:hAnsi="Cambria Math"/>
                      <w:sz w:val="18"/>
                      <w:szCs w:val="18"/>
                      <w:lang w:val="en-US"/>
                    </w:rPr>
                  </m:ctrlPr>
                </m:e>
              </m:d>
              <m:r>
                <m:rPr/>
                <w:rPr>
                  <w:rFonts w:ascii="Cambria Math"/>
                  <w:sz w:val="18"/>
                  <w:szCs w:val="18"/>
                  <w:lang w:val="en-US"/>
                </w:rPr>
                <m:t>=</m:t>
              </m:r>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r>
                    <m:rPr/>
                    <w:rPr>
                      <w:rFonts w:ascii="Cambria Math"/>
                      <w:sz w:val="18"/>
                      <w:szCs w:val="18"/>
                      <w:lang w:val="en-US"/>
                    </w:rPr>
                    <m:t>,l</m:t>
                  </m:r>
                  <m:ctrlPr>
                    <w:rPr>
                      <w:rFonts w:ascii="Cambria Math" w:hAnsi="Cambria Math"/>
                      <w:sz w:val="18"/>
                      <w:szCs w:val="18"/>
                      <w:lang w:val="en-US"/>
                    </w:rPr>
                  </m:ctrlPr>
                </m:e>
              </m:d>
              <m:r>
                <m:rPr/>
                <w:rPr>
                  <w:rFonts w:ascii="Cambria Math"/>
                  <w:sz w:val="18"/>
                  <w:szCs w:val="18"/>
                  <w:lang w:val="en-US"/>
                </w:rPr>
                <m:t>+</m:t>
              </m:r>
              <m:nary>
                <m:naryPr>
                  <m:chr m:val="∑"/>
                  <m:limLoc m:val="undOvr"/>
                  <m:ctrlPr>
                    <w:rPr>
                      <w:rFonts w:ascii="Cambria Math" w:hAnsi="Cambria Math"/>
                      <w:i/>
                      <w:sz w:val="18"/>
                      <w:szCs w:val="18"/>
                      <w:lang w:val="en-US"/>
                    </w:rPr>
                  </m:ctrlPr>
                </m:naryPr>
                <m:sub>
                  <m:r>
                    <m:rPr/>
                    <w:rPr>
                      <w:rFonts w:ascii="Cambria Math" w:hAnsi="Cambria Math"/>
                      <w:sz w:val="18"/>
                      <w:szCs w:val="18"/>
                      <w:lang w:val="en-US"/>
                    </w:rPr>
                    <m:t>m=0</m:t>
                  </m:r>
                  <m:ctrlPr>
                    <w:rPr>
                      <w:rFonts w:ascii="Cambria Math" w:hAnsi="Cambria Math"/>
                      <w:i/>
                      <w:sz w:val="18"/>
                      <w:szCs w:val="18"/>
                      <w:lang w:val="en-US"/>
                    </w:rPr>
                  </m:ctrlPr>
                </m:sub>
                <m:sup>
                  <m:r>
                    <m:rPr>
                      <m:nor/>
                      <m:sty m:val="p"/>
                    </m:rPr>
                    <w:rPr>
                      <w:rFonts w:ascii="Freestyle Script" w:hAnsi="Freestyle Script"/>
                      <w:b w:val="0"/>
                      <w:i w:val="0"/>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m:rPr/>
                            <w:rPr>
                              <w:rFonts w:ascii="Cambria Math" w:hAnsi="Cambria Math"/>
                              <w:sz w:val="18"/>
                              <w:szCs w:val="18"/>
                              <w:lang w:val="en-US"/>
                            </w:rPr>
                            <m:t>D</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ctrlPr>
                        <w:rPr>
                          <w:rFonts w:ascii="Cambria Math" w:hAnsi="Cambria Math" w:cs="Helvetica"/>
                          <w:i/>
                          <w:sz w:val="18"/>
                          <w:szCs w:val="18"/>
                          <w:lang w:val="en-US"/>
                        </w:rPr>
                      </m:ctrlPr>
                    </m:e>
                  </m:d>
                  <m:r>
                    <m:rPr/>
                    <w:rPr>
                      <w:rFonts w:ascii="Cambria Math" w:hAnsi="Cambria Math" w:cs="Helvetica"/>
                      <w:sz w:val="18"/>
                      <w:szCs w:val="18"/>
                      <w:lang w:val="en-US"/>
                    </w:rPr>
                    <m:t>−1</m:t>
                  </m:r>
                  <m:ctrlPr>
                    <w:rPr>
                      <w:rFonts w:ascii="Cambria Math" w:hAnsi="Cambria Math"/>
                      <w:i/>
                      <w:sz w:val="18"/>
                      <w:szCs w:val="18"/>
                      <w:lang w:val="en-US"/>
                    </w:rPr>
                  </m:ctrlPr>
                </m:sup>
                <m:e>
                  <m:sSub>
                    <m:sSubPr>
                      <m:ctrlPr>
                        <w:rPr>
                          <w:rFonts w:ascii="Cambria Math" w:hAnsi="Cambria Math"/>
                          <w:sz w:val="18"/>
                          <w:szCs w:val="18"/>
                          <w:lang w:val="en-US"/>
                        </w:rPr>
                      </m:ctrlPr>
                    </m:sSubPr>
                    <m:e>
                      <m:r>
                        <m:rPr/>
                        <w:rPr>
                          <w:rFonts w:ascii="Cambria Math" w:hAnsi="Cambria Math"/>
                          <w:sz w:val="18"/>
                          <w:szCs w:val="18"/>
                          <w:lang w:val="en-US"/>
                        </w:rPr>
                        <m:t>δ</m:t>
                      </m:r>
                      <m:ctrlPr>
                        <w:rPr>
                          <w:rFonts w:ascii="Cambria Math" w:hAnsi="Cambria Math"/>
                          <w:sz w:val="18"/>
                          <w:szCs w:val="18"/>
                          <w:lang w:val="en-US"/>
                        </w:rPr>
                      </m:ctrlPr>
                    </m:e>
                    <m:sub>
                      <m:r>
                        <m:rPr>
                          <m:sty m:val="p"/>
                        </m:rPr>
                        <w:rPr>
                          <w:rFonts w:ascii="Cambria Math"/>
                          <w:sz w:val="18"/>
                          <w:szCs w:val="18"/>
                          <w:lang w:val="en-US"/>
                        </w:rPr>
                        <m:t>PUSCH</m:t>
                      </m:r>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r>
                    <m:rPr/>
                    <w:rPr>
                      <w:rFonts w:ascii="Cambria Math" w:hAnsi="Cambria Math"/>
                      <w:sz w:val="18"/>
                      <w:szCs w:val="18"/>
                      <w:lang w:val="en-US"/>
                    </w:rPr>
                    <m:t>(m,l)</m:t>
                  </m:r>
                  <m:ctrlPr>
                    <w:rPr>
                      <w:rFonts w:ascii="Cambria Math" w:hAnsi="Cambria Math"/>
                      <w:i/>
                      <w:sz w:val="18"/>
                      <w:szCs w:val="18"/>
                      <w:lang w:val="en-US"/>
                    </w:rPr>
                  </m:ctrlPr>
                </m:e>
              </m:nary>
            </m:oMath>
            <w:r>
              <w:rPr>
                <w:sz w:val="18"/>
                <w:szCs w:val="18"/>
                <w:lang w:val="en-US"/>
              </w:rPr>
              <w:t xml:space="preserve">. </w:t>
            </w:r>
          </w:p>
          <w:p w14:paraId="26513A25">
            <w:pPr>
              <w:pStyle w:val="74"/>
              <w:overflowPunct w:val="0"/>
              <w:autoSpaceDE w:val="0"/>
              <w:autoSpaceDN w:val="0"/>
              <w:adjustRightInd w:val="0"/>
              <w:jc w:val="center"/>
              <w:textAlignment w:val="baseline"/>
              <w:rPr>
                <w:sz w:val="18"/>
                <w:szCs w:val="18"/>
                <w:lang w:val="sv-SE"/>
              </w:rPr>
            </w:pPr>
            <m:oMath>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b w:val="0"/>
                      <w:i w:val="0"/>
                      <w:iCs/>
                      <w:sz w:val="18"/>
                      <w:szCs w:val="18"/>
                      <w:lang w:val="de-DE"/>
                    </w:rPr>
                    <m:t>PUSCH</m:t>
                  </m:r>
                  <m:r>
                    <m:rPr>
                      <m:sty m:val="p"/>
                    </m:rPr>
                    <w:rPr>
                      <w:rFonts w:ascii="Cambria Math" w:hAnsi="Cambria Math"/>
                      <w:sz w:val="18"/>
                      <w:szCs w:val="18"/>
                      <w:lang w:val="de-DE"/>
                    </w:rPr>
                    <m:t>,</m:t>
                  </m:r>
                  <m:r>
                    <m:rPr/>
                    <w:rPr>
                      <w:rFonts w:ascii="Cambria Math" w:hAnsi="Cambria Math"/>
                      <w:sz w:val="18"/>
                      <w:szCs w:val="18"/>
                    </w:rPr>
                    <m:t>b</m:t>
                  </m:r>
                  <m:r>
                    <m:rPr>
                      <m:sty m:val="p"/>
                    </m:rPr>
                    <w:rPr>
                      <w:rFonts w:ascii="Cambria Math" w:hAnsi="Cambria Math"/>
                      <w:sz w:val="18"/>
                      <w:szCs w:val="18"/>
                      <w:lang w:val="de-DE"/>
                    </w:rPr>
                    <m:t>,</m:t>
                  </m:r>
                  <m:r>
                    <m:rPr/>
                    <w:rPr>
                      <w:rFonts w:ascii="Cambria Math" w:hAnsi="Cambria Math"/>
                      <w:sz w:val="18"/>
                      <w:szCs w:val="18"/>
                    </w:rPr>
                    <m:t>f</m:t>
                  </m:r>
                  <m:r>
                    <m:rPr>
                      <m:sty m:val="p"/>
                    </m:rPr>
                    <w:rPr>
                      <w:rFonts w:ascii="Cambria Math" w:hAnsi="Cambria Math"/>
                      <w:sz w:val="18"/>
                      <w:szCs w:val="18"/>
                      <w:lang w:val="de-DE"/>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lang w:val="de-DE"/>
                    </w:rPr>
                    <m:t>,</m:t>
                  </m:r>
                  <m:r>
                    <m:rP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d</m:t>
                      </m:r>
                      <m:ctrlPr>
                        <w:rPr>
                          <w:rFonts w:ascii="Cambria Math" w:hAnsi="Cambria Math"/>
                          <w:iCs/>
                          <w:sz w:val="18"/>
                          <w:szCs w:val="18"/>
                        </w:rPr>
                      </m:ctrlPr>
                    </m:sub>
                  </m:sSub>
                  <m:r>
                    <m:rPr>
                      <m:sty m:val="p"/>
                    </m:rPr>
                    <w:rPr>
                      <w:rFonts w:ascii="Cambria Math" w:hAnsi="Cambria Math"/>
                      <w:sz w:val="18"/>
                      <w:szCs w:val="18"/>
                      <w:lang w:val="de-DE"/>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b w:val="0"/>
                                <w:i w:val="0"/>
                                <w:iCs/>
                                <w:sz w:val="18"/>
                                <w:szCs w:val="18"/>
                                <w:lang w:val="sv-SE"/>
                              </w:rPr>
                              <m:t>CMAX</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sz w:val="18"/>
                            <w:szCs w:val="18"/>
                          </w:rPr>
                        </m:ctrlPr>
                      </m:e>
                    </m:m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sty m:val="p"/>
                              </m:rPr>
                              <w:rPr>
                                <w:rFonts w:ascii="Cambria Math" w:hAnsi="Cambria Math"/>
                                <w:sz w:val="18"/>
                                <w:szCs w:val="18"/>
                                <w:lang w:val="sv-SE"/>
                              </w:rPr>
                              <m:t>O_PUSCH,</m:t>
                            </m:r>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ctrlPr>
                                  <w:rPr>
                                    <w:rFonts w:ascii="Cambria Math" w:hAnsi="Cambria Math"/>
                                    <w:sz w:val="18"/>
                                    <w:szCs w:val="18"/>
                                  </w:rPr>
                                </m:ctrlPr>
                              </m:e>
                              <m:sub>
                                <m:r>
                                  <m:rPr>
                                    <m:sty m:val="p"/>
                                  </m:rPr>
                                  <w:rPr>
                                    <w:rFonts w:ascii="Cambria Math" w:hAnsi="Cambria Math"/>
                                    <w:sz w:val="18"/>
                                    <w:szCs w:val="18"/>
                                    <w:lang w:val="sv-SE"/>
                                  </w:rPr>
                                  <m:t>10</m:t>
                                </m:r>
                                <m:ctrlPr>
                                  <w:rPr>
                                    <w:rFonts w:ascii="Cambria Math" w:hAnsi="Cambria Math"/>
                                    <w:sz w:val="18"/>
                                    <w:szCs w:val="18"/>
                                  </w:rPr>
                                </m:ctrlPr>
                              </m:sub>
                            </m:sSub>
                            <m:ctrlPr>
                              <w:rPr>
                                <w:rFonts w:ascii="Cambria Math" w:hAnsi="Cambria Math"/>
                                <w:sz w:val="18"/>
                                <w:szCs w:val="18"/>
                              </w:rPr>
                            </m:ctrlPr>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ctrlPr>
                                      <w:rPr>
                                        <w:rFonts w:ascii="Cambria Math" w:hAnsi="Cambria Math"/>
                                        <w:sz w:val="18"/>
                                        <w:szCs w:val="18"/>
                                      </w:rPr>
                                    </m:ctrlPr>
                                  </m:e>
                                  <m:sup>
                                    <m:r>
                                      <m:rPr/>
                                      <w:rPr>
                                        <w:rFonts w:ascii="Cambria Math" w:hAnsi="Cambria Math"/>
                                        <w:sz w:val="18"/>
                                        <w:szCs w:val="18"/>
                                      </w:rPr>
                                      <m:t>μ</m:t>
                                    </m:r>
                                    <m:ctrlPr>
                                      <w:rPr>
                                        <w:rFonts w:ascii="Cambria Math" w:hAnsi="Cambria Math"/>
                                        <w:sz w:val="18"/>
                                        <w:szCs w:val="18"/>
                                      </w:rPr>
                                    </m:ctrlPr>
                                  </m:sup>
                                </m:sSup>
                                <m:r>
                                  <m:rPr>
                                    <m:sty m:val="p"/>
                                  </m:rPr>
                                  <w:rPr>
                                    <w:rFonts w:ascii="Cambria Math" w:hAnsi="Cambria Math"/>
                                    <w:sz w:val="18"/>
                                    <w:szCs w:val="18"/>
                                    <w:lang w:val="sv-SE"/>
                                  </w:rPr>
                                  <m:t>∙</m:t>
                                </m:r>
                                <m:sSubSup>
                                  <m:sSubSupPr>
                                    <m:ctrlPr>
                                      <w:rPr>
                                        <w:rFonts w:ascii="Cambria Math" w:hAnsi="Cambria Math"/>
                                        <w:sz w:val="18"/>
                                        <w:szCs w:val="18"/>
                                      </w:rPr>
                                    </m:ctrlPr>
                                  </m:sSubSupPr>
                                  <m:e>
                                    <m:r>
                                      <m:rPr/>
                                      <w:rPr>
                                        <w:rFonts w:ascii="Cambria Math" w:hAnsi="Cambria Math"/>
                                        <w:sz w:val="18"/>
                                        <w:szCs w:val="18"/>
                                      </w:rPr>
                                      <m:t>M</m:t>
                                    </m:r>
                                    <m:ctrlPr>
                                      <w:rPr>
                                        <w:rFonts w:ascii="Cambria Math" w:hAnsi="Cambria Math"/>
                                        <w:sz w:val="18"/>
                                        <w:szCs w:val="18"/>
                                      </w:rPr>
                                    </m:ctrlPr>
                                  </m:e>
                                  <m:sub>
                                    <m:r>
                                      <m:rPr>
                                        <m:sty m:val="p"/>
                                      </m:rPr>
                                      <w:rPr>
                                        <w:rFonts w:ascii="Cambria Math" w:hAnsi="Cambria Math"/>
                                        <w:sz w:val="18"/>
                                        <w:szCs w:val="18"/>
                                        <w:lang w:val="sv-SE"/>
                                      </w:rPr>
                                      <m:t>RB,</m:t>
                                    </m:r>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sz w:val="18"/>
                                        <w:szCs w:val="18"/>
                                      </w:rPr>
                                    </m:ctrlPr>
                                  </m:sub>
                                  <m:sup>
                                    <m:r>
                                      <m:rPr>
                                        <m:sty m:val="p"/>
                                      </m:rPr>
                                      <w:rPr>
                                        <w:rFonts w:ascii="Cambria Math" w:hAnsi="Cambria Math"/>
                                        <w:sz w:val="18"/>
                                        <w:szCs w:val="18"/>
                                        <w:lang w:val="sv-SE"/>
                                      </w:rPr>
                                      <m:t>PUSCH</m:t>
                                    </m:r>
                                    <m:ctrlPr>
                                      <w:rPr>
                                        <w:rFonts w:ascii="Cambria Math" w:hAnsi="Cambria Math"/>
                                        <w:sz w:val="18"/>
                                        <w:szCs w:val="18"/>
                                      </w:rPr>
                                    </m:ctrlPr>
                                  </m:sup>
                                </m:sSubSup>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sz w:val="18"/>
                                    <w:szCs w:val="18"/>
                                  </w:rPr>
                                </m:ctrlPr>
                              </m:e>
                            </m:d>
                            <m:ctrlPr>
                              <w:rPr>
                                <w:rFonts w:ascii="Cambria Math" w:hAnsi="Cambria Math"/>
                                <w:sz w:val="18"/>
                                <w:szCs w:val="18"/>
                              </w:rPr>
                            </m:ctrlPr>
                          </m:e>
                        </m:func>
                        <m:r>
                          <m:rPr>
                            <m:sty m:val="p"/>
                          </m:rPr>
                          <w:rPr>
                            <w:rFonts w:ascii="Cambria Math" w:hAnsi="Cambria Math"/>
                            <w:sz w:val="18"/>
                            <w:szCs w:val="18"/>
                            <w:lang w:val="sv-SE"/>
                          </w:rPr>
                          <m:t>+</m:t>
                        </m:r>
                        <m:sSub>
                          <m:sSubPr>
                            <m:ctrlPr>
                              <w:rPr>
                                <w:rFonts w:ascii="Cambria Math" w:hAnsi="Cambria Math"/>
                                <w:sz w:val="18"/>
                                <w:szCs w:val="18"/>
                              </w:rPr>
                            </m:ctrlPr>
                          </m:sSubPr>
                          <m:e>
                            <m:r>
                              <m:rPr/>
                              <w:rPr>
                                <w:rFonts w:ascii="Cambria Math" w:hAnsi="Cambria Math"/>
                                <w:sz w:val="18"/>
                                <w:szCs w:val="18"/>
                              </w:rPr>
                              <m:t>α</m:t>
                            </m:r>
                            <m:ctrlPr>
                              <w:rPr>
                                <w:rFonts w:ascii="Cambria Math" w:hAnsi="Cambria Math"/>
                                <w:sz w:val="18"/>
                                <w:szCs w:val="18"/>
                              </w:rPr>
                            </m:ctrlPr>
                          </m:e>
                          <m:sub>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lang w:val="sv-SE"/>
                          </w:rPr>
                          <m:t>∙</m:t>
                        </m:r>
                        <m:sSub>
                          <m:sSubPr>
                            <m:ctrlPr>
                              <w:rPr>
                                <w:rFonts w:ascii="Cambria Math" w:hAnsi="Cambria Math"/>
                                <w:sz w:val="18"/>
                                <w:szCs w:val="18"/>
                              </w:rPr>
                            </m:ctrlPr>
                          </m:sSubPr>
                          <m:e>
                            <m:r>
                              <m:rPr/>
                              <w:rPr>
                                <w:rFonts w:ascii="Cambria Math" w:hAnsi="Cambria Math"/>
                                <w:sz w:val="18"/>
                                <w:szCs w:val="18"/>
                              </w:rPr>
                              <m:t>PL</m:t>
                            </m:r>
                            <m:ctrlPr>
                              <w:rPr>
                                <w:rFonts w:ascii="Cambria Math" w:hAnsi="Cambria Math"/>
                                <w:sz w:val="18"/>
                                <w:szCs w:val="18"/>
                              </w:rPr>
                            </m:ctrlPr>
                          </m:e>
                          <m:sub>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sz w:val="18"/>
                                <w:szCs w:val="18"/>
                              </w:rPr>
                            </m:ctrlPr>
                          </m:sub>
                        </m:sSub>
                        <m:d>
                          <m:dPr>
                            <m:ctrlPr>
                              <w:rPr>
                                <w:rFonts w:ascii="Cambria Math" w:hAnsi="Cambria Math"/>
                                <w:sz w:val="18"/>
                                <w:szCs w:val="18"/>
                              </w:rPr>
                            </m:ctrlPr>
                          </m:dPr>
                          <m:e>
                            <m:sSub>
                              <m:sSubPr>
                                <m:ctrlPr>
                                  <w:rPr>
                                    <w:rFonts w:ascii="Cambria Math" w:hAnsi="Cambria Math"/>
                                    <w:sz w:val="18"/>
                                    <w:szCs w:val="18"/>
                                  </w:rPr>
                                </m:ctrlPr>
                              </m:sSubPr>
                              <m:e>
                                <m:r>
                                  <m:rPr/>
                                  <w:rPr>
                                    <w:rFonts w:ascii="Cambria Math" w:hAnsi="Cambria Math"/>
                                    <w:sz w:val="18"/>
                                    <w:szCs w:val="18"/>
                                  </w:rPr>
                                  <m:t>q</m:t>
                                </m:r>
                                <m:ctrlPr>
                                  <w:rPr>
                                    <w:rFonts w:ascii="Cambria Math" w:hAnsi="Cambria Math"/>
                                    <w:sz w:val="18"/>
                                    <w:szCs w:val="18"/>
                                  </w:rPr>
                                </m:ctrlPr>
                              </m:e>
                              <m:sub>
                                <m:r>
                                  <m:rPr/>
                                  <w:rPr>
                                    <w:rFonts w:ascii="Cambria Math" w:hAnsi="Cambria Math"/>
                                    <w:sz w:val="18"/>
                                    <w:szCs w:val="18"/>
                                  </w:rPr>
                                  <m:t>d</m:t>
                                </m:r>
                                <m:ctrlPr>
                                  <w:rPr>
                                    <w:rFonts w:ascii="Cambria Math" w:hAnsi="Cambria Math"/>
                                    <w:sz w:val="18"/>
                                    <w:szCs w:val="18"/>
                                  </w:rPr>
                                </m:ctrlPr>
                              </m:sub>
                            </m:sSub>
                            <m:ctrlPr>
                              <w:rPr>
                                <w:rFonts w:ascii="Cambria Math" w:hAnsi="Cambria Math"/>
                                <w:sz w:val="18"/>
                                <w:szCs w:val="18"/>
                              </w:rPr>
                            </m:ctrlPr>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ctrlPr>
                              <w:rPr>
                                <w:rFonts w:ascii="Cambria Math" w:hAnsi="Cambria Math"/>
                                <w:sz w:val="18"/>
                                <w:szCs w:val="18"/>
                              </w:rPr>
                            </m:ctrlPr>
                          </m:e>
                          <m:sub>
                            <m:r>
                              <m:rPr>
                                <m:sty m:val="p"/>
                              </m:rPr>
                              <w:rPr>
                                <w:rFonts w:ascii="Cambria Math" w:hAnsi="Cambria Math"/>
                                <w:sz w:val="18"/>
                                <w:szCs w:val="18"/>
                                <w:lang w:val="sv-SE"/>
                              </w:rPr>
                              <m:t>TF,</m:t>
                            </m:r>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r>
                          <m:rPr>
                            <m:sty m:val="p"/>
                          </m:rPr>
                          <w:rPr>
                            <w:rFonts w:ascii="Cambria Math" w:hAnsi="Cambria Math"/>
                            <w:sz w:val="18"/>
                            <w:szCs w:val="18"/>
                            <w:lang w:val="sv-SE"/>
                          </w:rPr>
                          <m:t>+</m:t>
                        </m:r>
                        <m:sSub>
                          <m:sSubPr>
                            <m:ctrlPr>
                              <w:rPr>
                                <w:rFonts w:ascii="Cambria Math" w:hAnsi="Cambria Math"/>
                                <w:iCs/>
                                <w:sz w:val="18"/>
                                <w:szCs w:val="18"/>
                              </w:rPr>
                            </m:ctrlPr>
                          </m:sSubPr>
                          <m:e>
                            <m:r>
                              <m:rPr/>
                              <w:rPr>
                                <w:rFonts w:ascii="Cambria Math" w:hAnsi="Cambria Math"/>
                                <w:sz w:val="18"/>
                                <w:szCs w:val="18"/>
                              </w:rPr>
                              <m:t>f</m:t>
                            </m:r>
                            <m:ctrlPr>
                              <w:rPr>
                                <w:rFonts w:ascii="Cambria Math" w:hAnsi="Cambria Math"/>
                                <w:iCs/>
                                <w:sz w:val="18"/>
                                <w:szCs w:val="18"/>
                              </w:rPr>
                            </m:ctrlPr>
                          </m:e>
                          <m:sub>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lang w:val="sv-SE"/>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lang w:val="sv-SE"/>
                          </w:rPr>
                          <m:t xml:space="preserve">  </m:t>
                        </m:r>
                        <m:ctrlPr>
                          <w:rPr>
                            <w:rFonts w:ascii="Cambria Math" w:hAnsi="Cambria Math"/>
                            <w:sz w:val="18"/>
                            <w:szCs w:val="18"/>
                          </w:rPr>
                        </m:ctrlPr>
                      </m:e>
                    </m:mr>
                  </m:m>
                  <m:ctrlPr>
                    <w:rPr>
                      <w:rFonts w:ascii="Cambria Math" w:hAnsi="Cambria Math"/>
                      <w:sz w:val="18"/>
                      <w:szCs w:val="18"/>
                    </w:rPr>
                  </m:ctrlPr>
                </m:e>
              </m:d>
            </m:oMath>
            <w:r>
              <w:rPr>
                <w:sz w:val="18"/>
                <w:szCs w:val="18"/>
                <w:lang w:val="sv-SE"/>
              </w:rPr>
              <w:t xml:space="preserve"> [dBm]</w:t>
            </w:r>
          </w:p>
          <w:p w14:paraId="59788DD6">
            <w:pPr>
              <w:overflowPunct w:val="0"/>
              <w:autoSpaceDE w:val="0"/>
              <w:autoSpaceDN w:val="0"/>
              <w:adjustRightInd w:val="0"/>
              <w:spacing w:after="180"/>
              <w:jc w:val="both"/>
              <w:textAlignment w:val="baseline"/>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m:rPr/>
                <w:rPr>
                  <w:rFonts w:ascii="Cambria Math" w:hAnsi="Cambria Math" w:eastAsiaTheme="minorEastAsia"/>
                  <w:sz w:val="18"/>
                  <w:szCs w:val="18"/>
                  <w:lang w:val="en-US"/>
                </w:rPr>
                <m:t>T</m:t>
              </m:r>
              <m:sSub>
                <m:sSubPr>
                  <m:ctrlPr>
                    <w:rPr>
                      <w:rFonts w:ascii="Cambria Math" w:hAnsi="Cambria Math" w:eastAsiaTheme="minorEastAsia"/>
                      <w:i/>
                      <w:sz w:val="18"/>
                      <w:szCs w:val="18"/>
                      <w:lang w:val="en-US"/>
                    </w:rPr>
                  </m:ctrlPr>
                </m:sSubPr>
                <m:e>
                  <m:r>
                    <m:rPr/>
                    <w:rPr>
                      <w:rFonts w:ascii="Cambria Math" w:hAnsi="Cambria Math" w:eastAsiaTheme="minorEastAsia"/>
                      <w:sz w:val="18"/>
                      <w:szCs w:val="18"/>
                      <w:lang w:val="en-US"/>
                    </w:rPr>
                    <m:t>O</m:t>
                  </m:r>
                  <m:ctrlPr>
                    <w:rPr>
                      <w:rFonts w:ascii="Cambria Math" w:hAnsi="Cambria Math" w:eastAsiaTheme="minorEastAsia"/>
                      <w:i/>
                      <w:sz w:val="18"/>
                      <w:szCs w:val="18"/>
                      <w:lang w:val="en-US"/>
                    </w:rPr>
                  </m:ctrlPr>
                </m:e>
                <m:sub>
                  <m:r>
                    <m:rPr/>
                    <w:rPr>
                      <w:rFonts w:ascii="Cambria Math" w:hAnsi="Cambria Math" w:eastAsiaTheme="minorEastAsia"/>
                      <w:sz w:val="18"/>
                      <w:szCs w:val="18"/>
                      <w:lang w:val="en-US"/>
                    </w:rPr>
                    <m:t>i−</m:t>
                  </m:r>
                  <m:sSub>
                    <m:sSubPr>
                      <m:ctrlPr>
                        <w:rPr>
                          <w:rFonts w:ascii="Cambria Math" w:hAnsi="Cambria Math" w:eastAsiaTheme="minorEastAsia"/>
                          <w:i/>
                          <w:sz w:val="18"/>
                          <w:szCs w:val="18"/>
                          <w:lang w:val="en-US"/>
                        </w:rPr>
                      </m:ctrlPr>
                    </m:sSubPr>
                    <m:e>
                      <m:r>
                        <m:rPr/>
                        <w:rPr>
                          <w:rFonts w:ascii="Cambria Math" w:hAnsi="Cambria Math" w:eastAsiaTheme="minorEastAsia"/>
                          <w:sz w:val="18"/>
                          <w:szCs w:val="18"/>
                          <w:lang w:val="en-US"/>
                        </w:rPr>
                        <m:t>i</m:t>
                      </m:r>
                      <m:ctrlPr>
                        <w:rPr>
                          <w:rFonts w:ascii="Cambria Math" w:hAnsi="Cambria Math" w:eastAsiaTheme="minorEastAsia"/>
                          <w:i/>
                          <w:sz w:val="18"/>
                          <w:szCs w:val="18"/>
                          <w:lang w:val="en-US"/>
                        </w:rPr>
                      </m:ctrlPr>
                    </m:e>
                    <m:sub>
                      <m:r>
                        <m:rPr/>
                        <w:rPr>
                          <w:rFonts w:ascii="Cambria Math" w:hAnsi="Cambria Math" w:eastAsiaTheme="minorEastAsia"/>
                          <w:sz w:val="18"/>
                          <w:szCs w:val="18"/>
                          <w:lang w:val="en-US"/>
                        </w:rPr>
                        <m:t xml:space="preserve"> 0</m:t>
                      </m:r>
                      <m:ctrlPr>
                        <w:rPr>
                          <w:rFonts w:ascii="Cambria Math" w:hAnsi="Cambria Math" w:eastAsiaTheme="minorEastAsia"/>
                          <w:i/>
                          <w:sz w:val="18"/>
                          <w:szCs w:val="18"/>
                          <w:lang w:val="en-US"/>
                        </w:rPr>
                      </m:ctrlPr>
                    </m:sub>
                  </m:sSub>
                  <m:ctrlPr>
                    <w:rPr>
                      <w:rFonts w:ascii="Cambria Math" w:hAnsi="Cambria Math" w:eastAsiaTheme="minorEastAsia"/>
                      <w:i/>
                      <w:sz w:val="18"/>
                      <w:szCs w:val="18"/>
                      <w:lang w:val="en-US"/>
                    </w:rPr>
                  </m:ctrlPr>
                </m:sub>
              </m:sSub>
            </m:oMath>
            <w:r>
              <w:rPr>
                <w:rFonts w:eastAsiaTheme="minorEastAsia"/>
                <w:sz w:val="18"/>
                <w:szCs w:val="18"/>
                <w:lang w:val="en-US"/>
              </w:rPr>
              <w:t xml:space="preserve"> and, </w:t>
            </w:r>
            <w:r>
              <w:rPr>
                <w:sz w:val="18"/>
                <w:szCs w:val="18"/>
                <w:lang w:val="en-US"/>
              </w:rPr>
              <w:t xml:space="preserve">at the same time, the accumulated TPC command value for </w:t>
            </w:r>
            <m:oMath>
              <m:r>
                <m:rPr/>
                <w:rPr>
                  <w:rFonts w:ascii="Cambria Math" w:hAnsi="Cambria Math"/>
                  <w:sz w:val="18"/>
                  <w:szCs w:val="18"/>
                  <w:lang w:val="en-US"/>
                </w:rPr>
                <m:t>T</m:t>
              </m:r>
              <m:sSub>
                <m:sSubPr>
                  <m:ctrlPr>
                    <w:rPr>
                      <w:rFonts w:ascii="Cambria Math" w:hAnsi="Cambria Math"/>
                      <w:i/>
                      <w:sz w:val="18"/>
                      <w:szCs w:val="18"/>
                      <w:lang w:val="en-US"/>
                    </w:rPr>
                  </m:ctrlPr>
                </m:sSubPr>
                <m:e>
                  <m:r>
                    <m:rPr/>
                    <w:rPr>
                      <w:rFonts w:ascii="Cambria Math" w:hAnsi="Cambria Math"/>
                      <w:sz w:val="18"/>
                      <w:szCs w:val="18"/>
                      <w:lang w:val="en-US"/>
                    </w:rPr>
                    <m: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m:rPr/>
                    <w:rPr>
                      <w:rFonts w:ascii="Cambria Math" w:hAnsi="Cambria Math"/>
                      <w:sz w:val="18"/>
                      <w:szCs w:val="18"/>
                      <w:lang w:val="en-US"/>
                    </w:rPr>
                    <m:t>f</m:t>
                  </m:r>
                  <m:ctrlPr>
                    <w:rPr>
                      <w:rFonts w:ascii="Cambria Math" w:hAnsi="Cambria Math"/>
                      <w:i/>
                      <w:sz w:val="18"/>
                      <w:szCs w:val="18"/>
                      <w:lang w:val="en-US"/>
                    </w:rPr>
                  </m:ctrlPr>
                </m:e>
                <m:sub>
                  <m:r>
                    <m:rPr/>
                    <w:rPr>
                      <w:rFonts w:ascii="Cambria Math" w:hAnsi="Cambria Math"/>
                      <w:sz w:val="18"/>
                      <w:szCs w:val="18"/>
                      <w:lang w:val="en-US"/>
                    </w:rPr>
                    <m:t>b,f,c</m:t>
                  </m:r>
                  <m:ctrlPr>
                    <w:rPr>
                      <w:rFonts w:ascii="Cambria Math" w:hAnsi="Cambria Math"/>
                      <w:i/>
                      <w:sz w:val="18"/>
                      <w:szCs w:val="18"/>
                      <w:lang w:val="en-US"/>
                    </w:rPr>
                  </m:ctrlPr>
                </m:sub>
              </m:sSub>
              <m:d>
                <m:dPr>
                  <m:ctrlPr>
                    <w:rPr>
                      <w:rFonts w:ascii="Cambria Math" w:hAnsi="Cambria Math"/>
                      <w:i/>
                      <w:sz w:val="18"/>
                      <w:szCs w:val="18"/>
                      <w:lang w:val="en-US"/>
                    </w:rPr>
                  </m:ctrlPr>
                </m:dPr>
                <m:e>
                  <m:r>
                    <m:rPr/>
                    <w:rPr>
                      <w:rFonts w:ascii="Cambria Math" w:hAnsi="Cambria Math"/>
                      <w:sz w:val="18"/>
                      <w:szCs w:val="18"/>
                      <w:lang w:val="en-US"/>
                    </w:rPr>
                    <m:t>i,l</m:t>
                  </m:r>
                  <m:ctrlPr>
                    <w:rPr>
                      <w:rFonts w:ascii="Cambria Math" w:hAnsi="Cambria Math"/>
                      <w:i/>
                      <w:sz w:val="18"/>
                      <w:szCs w:val="18"/>
                      <w:lang w:val="en-US"/>
                    </w:rPr>
                  </m:ctrlPr>
                </m:e>
              </m:d>
              <m:r>
                <m:rPr/>
                <w:rPr>
                  <w:rFonts w:ascii="Cambria Math" w:hAnsi="Cambria Math"/>
                  <w:sz w:val="18"/>
                  <w:szCs w:val="18"/>
                  <w:lang w:val="en-US"/>
                </w:rPr>
                <m:t xml:space="preserve">= </m:t>
              </m:r>
              <m:sSub>
                <m:sSubPr>
                  <m:ctrlPr>
                    <w:rPr>
                      <w:rFonts w:ascii="Cambria Math" w:hAnsi="Cambria Math"/>
                      <w:i/>
                      <w:sz w:val="18"/>
                      <w:szCs w:val="18"/>
                      <w:lang w:val="en-US"/>
                    </w:rPr>
                  </m:ctrlPr>
                </m:sSubPr>
                <m:e>
                  <m:r>
                    <m:rPr/>
                    <w:rPr>
                      <w:rFonts w:ascii="Cambria Math" w:hAnsi="Cambria Math"/>
                      <w:sz w:val="18"/>
                      <w:szCs w:val="18"/>
                      <w:lang w:val="en-US"/>
                    </w:rPr>
                    <m:t>f</m:t>
                  </m:r>
                  <m:ctrlPr>
                    <w:rPr>
                      <w:rFonts w:ascii="Cambria Math" w:hAnsi="Cambria Math"/>
                      <w:i/>
                      <w:sz w:val="18"/>
                      <w:szCs w:val="18"/>
                      <w:lang w:val="en-US"/>
                    </w:rPr>
                  </m:ctrlPr>
                </m:e>
                <m:sub>
                  <m:r>
                    <m:rPr/>
                    <w:rPr>
                      <w:rFonts w:ascii="Cambria Math" w:hAnsi="Cambria Math"/>
                      <w:sz w:val="18"/>
                      <w:szCs w:val="18"/>
                      <w:lang w:val="en-US"/>
                    </w:rPr>
                    <m:t>b,f,c</m:t>
                  </m:r>
                  <m:ctrlPr>
                    <w:rPr>
                      <w:rFonts w:ascii="Cambria Math" w:hAnsi="Cambria Math"/>
                      <w:i/>
                      <w:sz w:val="18"/>
                      <w:szCs w:val="18"/>
                      <w:lang w:val="en-US"/>
                    </w:rPr>
                  </m:ctrlPr>
                </m:sub>
              </m:sSub>
              <m:d>
                <m:dPr>
                  <m:ctrlPr>
                    <w:rPr>
                      <w:rFonts w:ascii="Cambria Math" w:hAnsi="Cambria Math"/>
                      <w:i/>
                      <w:sz w:val="18"/>
                      <w:szCs w:val="18"/>
                      <w:lang w:val="en-US"/>
                    </w:rPr>
                  </m:ctrlPr>
                </m:dPr>
                <m:e>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r>
                    <m:rPr/>
                    <w:rPr>
                      <w:rFonts w:ascii="Cambria Math" w:hAnsi="Cambria Math"/>
                      <w:sz w:val="18"/>
                      <w:szCs w:val="18"/>
                      <w:lang w:val="en-US"/>
                    </w:rPr>
                    <m:t>,l</m:t>
                  </m:r>
                  <m:ctrlPr>
                    <w:rPr>
                      <w:rFonts w:ascii="Cambria Math" w:hAnsi="Cambria Math"/>
                      <w:i/>
                      <w:sz w:val="18"/>
                      <w:szCs w:val="18"/>
                      <w:lang w:val="en-US"/>
                    </w:rPr>
                  </m:ctrlPr>
                </m:e>
              </m:d>
              <m:r>
                <m:rP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may be larger than 0.</w:t>
            </w:r>
          </w:p>
          <w:p w14:paraId="1B2D5C7A">
            <w:pPr>
              <w:overflowPunct w:val="0"/>
              <w:autoSpaceDE w:val="0"/>
              <w:autoSpaceDN w:val="0"/>
              <w:adjustRightInd w:val="0"/>
              <w:spacing w:after="180"/>
              <w:jc w:val="both"/>
              <w:textAlignment w:val="baseline"/>
              <w:rPr>
                <w:sz w:val="18"/>
                <w:szCs w:val="18"/>
                <w:u w:val="single"/>
                <w:lang w:val="en-US"/>
              </w:rPr>
            </w:pPr>
            <w:r>
              <w:rPr>
                <w:sz w:val="18"/>
                <w:szCs w:val="18"/>
                <w:u w:val="single"/>
                <w:lang w:val="en-US"/>
              </w:rPr>
              <w:t>TS 38.213, Clause 7.1.1:</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0"/>
            </w:tblGrid>
            <w:tr w14:paraId="791DE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F129BFE">
                  <w:pPr>
                    <w:overflowPunct w:val="0"/>
                    <w:autoSpaceDE w:val="0"/>
                    <w:autoSpaceDN w:val="0"/>
                    <w:adjustRightInd w:val="0"/>
                    <w:spacing w:after="180"/>
                    <w:jc w:val="center"/>
                    <w:textAlignment w:val="baseline"/>
                    <w:rPr>
                      <w:sz w:val="18"/>
                      <w:szCs w:val="18"/>
                      <w:lang w:val="en-US"/>
                    </w:rPr>
                  </w:pPr>
                  <w:r>
                    <w:rPr>
                      <w:sz w:val="18"/>
                      <w:szCs w:val="18"/>
                      <w:lang w:val="en-US"/>
                    </w:rPr>
                    <w:t>&lt;&lt;omitted text&gt;&gt;</w:t>
                  </w:r>
                </w:p>
                <w:p w14:paraId="6E46E955">
                  <w:pPr>
                    <w:overflowPunct w:val="0"/>
                    <w:autoSpaceDE w:val="0"/>
                    <w:autoSpaceDN w:val="0"/>
                    <w:adjustRightInd w:val="0"/>
                    <w:spacing w:after="180"/>
                    <w:textAlignment w:val="baseline"/>
                    <w:rPr>
                      <w:sz w:val="18"/>
                      <w:szCs w:val="18"/>
                      <w:lang w:val="en-US"/>
                    </w:rPr>
                  </w:pPr>
                  <w:r>
                    <w:rPr>
                      <w:sz w:val="18"/>
                      <w:szCs w:val="18"/>
                      <w:lang w:val="en-US"/>
                    </w:rPr>
                    <w:t xml:space="preserve">If the UE has reached maximum power for active UL BWP </w:t>
                  </w:r>
                  <m:oMath>
                    <m:r>
                      <m:rPr/>
                      <w:rPr>
                        <w:rFonts w:ascii="Cambria Math" w:hAnsi="Cambria Math"/>
                        <w:sz w:val="18"/>
                        <w:szCs w:val="18"/>
                        <w:lang w:val="en-US"/>
                      </w:rPr>
                      <m:t>b</m:t>
                    </m:r>
                  </m:oMath>
                  <w:r>
                    <w:rPr>
                      <w:sz w:val="18"/>
                      <w:szCs w:val="18"/>
                      <w:lang w:val="en-US"/>
                    </w:rPr>
                    <w:t xml:space="preserve"> of carrier </w:t>
                  </w:r>
                  <m:oMath>
                    <m:r>
                      <m:rPr/>
                      <w:rPr>
                        <w:rFonts w:ascii="Cambria Math" w:hAnsi="Cambria Math"/>
                        <w:sz w:val="18"/>
                        <w:szCs w:val="18"/>
                        <w:lang w:val="en-US"/>
                      </w:rPr>
                      <m:t>f</m:t>
                    </m:r>
                  </m:oMath>
                  <w:r>
                    <w:rPr>
                      <w:sz w:val="18"/>
                      <w:szCs w:val="18"/>
                      <w:lang w:val="en-US"/>
                    </w:rPr>
                    <w:t xml:space="preserve"> of serving cell </w:t>
                  </w:r>
                  <m:oMath>
                    <m:r>
                      <m:rP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m:rPr/>
                          <w:rPr>
                            <w:rFonts w:ascii="Cambria Math" w:hAnsi="Cambria Math"/>
                            <w:sz w:val="18"/>
                            <w:szCs w:val="18"/>
                            <w:lang w:val="en-US"/>
                          </w:rPr>
                          <m:t>m=0</m:t>
                        </m:r>
                        <m:ctrlPr>
                          <w:rPr>
                            <w:rFonts w:ascii="Cambria Math" w:hAnsi="Cambria Math"/>
                            <w:i/>
                            <w:sz w:val="18"/>
                            <w:szCs w:val="18"/>
                            <w:lang w:val="en-US"/>
                          </w:rPr>
                        </m:ctrlPr>
                      </m:sub>
                      <m:sup>
                        <m:r>
                          <m:rPr>
                            <m:nor/>
                            <m:sty m:val="p"/>
                          </m:rPr>
                          <w:rPr>
                            <w:rFonts w:ascii="Freestyle Script" w:hAnsi="Freestyle Script"/>
                            <w:b w:val="0"/>
                            <w:i w:val="0"/>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m:rPr/>
                                  <w:rPr>
                                    <w:rFonts w:ascii="Cambria Math" w:hAnsi="Cambria Math"/>
                                    <w:sz w:val="18"/>
                                    <w:szCs w:val="18"/>
                                    <w:lang w:val="en-US"/>
                                  </w:rPr>
                                  <m:t>D</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ctrlPr>
                              <w:rPr>
                                <w:rFonts w:ascii="Cambria Math" w:hAnsi="Cambria Math" w:cs="Helvetica"/>
                                <w:i/>
                                <w:sz w:val="18"/>
                                <w:szCs w:val="18"/>
                                <w:lang w:val="en-US"/>
                              </w:rPr>
                            </m:ctrlPr>
                          </m:e>
                        </m:d>
                        <m:r>
                          <m:rPr/>
                          <w:rPr>
                            <w:rFonts w:ascii="Cambria Math" w:hAnsi="Cambria Math" w:cs="Helvetica"/>
                            <w:sz w:val="18"/>
                            <w:szCs w:val="18"/>
                            <w:lang w:val="en-US"/>
                          </w:rPr>
                          <m:t>−1</m:t>
                        </m:r>
                        <m:ctrlPr>
                          <w:rPr>
                            <w:rFonts w:ascii="Cambria Math" w:hAnsi="Cambria Math"/>
                            <w:i/>
                            <w:sz w:val="18"/>
                            <w:szCs w:val="18"/>
                            <w:lang w:val="en-US"/>
                          </w:rPr>
                        </m:ctrlPr>
                      </m:sup>
                      <m:e>
                        <m:sSub>
                          <m:sSubPr>
                            <m:ctrlPr>
                              <w:rPr>
                                <w:rFonts w:ascii="Cambria Math" w:hAnsi="Cambria Math"/>
                                <w:sz w:val="18"/>
                                <w:szCs w:val="18"/>
                                <w:lang w:val="en-US"/>
                              </w:rPr>
                            </m:ctrlPr>
                          </m:sSubPr>
                          <m:e>
                            <m:r>
                              <m:rPr/>
                              <w:rPr>
                                <w:rFonts w:ascii="Cambria Math" w:hAnsi="Cambria Math"/>
                                <w:sz w:val="18"/>
                                <w:szCs w:val="18"/>
                                <w:lang w:val="en-US"/>
                              </w:rPr>
                              <m:t>δ</m:t>
                            </m:r>
                            <m:ctrlPr>
                              <w:rPr>
                                <w:rFonts w:ascii="Cambria Math" w:hAnsi="Cambria Math"/>
                                <w:sz w:val="18"/>
                                <w:szCs w:val="18"/>
                                <w:lang w:val="en-US"/>
                              </w:rPr>
                            </m:ctrlPr>
                          </m:e>
                          <m:sub>
                            <m:r>
                              <m:rPr>
                                <m:sty m:val="p"/>
                              </m:rPr>
                              <w:rPr>
                                <w:rFonts w:ascii="Cambria Math"/>
                                <w:sz w:val="18"/>
                                <w:szCs w:val="18"/>
                                <w:lang w:val="en-US"/>
                              </w:rPr>
                              <m:t>PUSCH</m:t>
                            </m:r>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r>
                          <m:rPr/>
                          <w:rPr>
                            <w:rFonts w:ascii="Cambria Math" w:hAnsi="Cambria Math"/>
                            <w:sz w:val="18"/>
                            <w:szCs w:val="18"/>
                            <w:lang w:val="en-US"/>
                          </w:rPr>
                          <m:t>(m,l)</m:t>
                        </m:r>
                        <m:r>
                          <m:rPr/>
                          <w:rPr>
                            <w:rFonts w:hint="eastAsia" w:ascii="Cambria Math" w:hAnsi="Cambria Math"/>
                            <w:sz w:val="18"/>
                            <w:szCs w:val="18"/>
                            <w:lang w:val="en-US"/>
                          </w:rPr>
                          <m:t>≥</m:t>
                        </m:r>
                        <m:r>
                          <m:rPr/>
                          <w:rPr>
                            <w:rFonts w:ascii="Cambria Math" w:hAnsi="Cambria Math"/>
                            <w:sz w:val="18"/>
                            <w:szCs w:val="18"/>
                            <w:lang w:val="en-US"/>
                          </w:rPr>
                          <m:t>0</m:t>
                        </m:r>
                        <m:ctrlPr>
                          <w:rPr>
                            <w:rFonts w:ascii="Cambria Math" w:hAnsi="Cambria Math"/>
                            <w:i/>
                            <w:sz w:val="18"/>
                            <w:szCs w:val="18"/>
                            <w:lang w:val="en-US"/>
                          </w:rPr>
                        </m:ctrlPr>
                      </m:e>
                    </m:nary>
                  </m:oMath>
                  <w:r>
                    <w:rPr>
                      <w:sz w:val="18"/>
                      <w:szCs w:val="18"/>
                      <w:lang w:val="en-US"/>
                    </w:rPr>
                    <w:t xml:space="preserve">, then </w:t>
                  </w:r>
                  <m:oMath>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sz w:val="18"/>
                            <w:szCs w:val="18"/>
                            <w:lang w:val="en-US"/>
                          </w:rPr>
                          <m:t>i,l</m:t>
                        </m:r>
                        <m:ctrlPr>
                          <w:rPr>
                            <w:rFonts w:ascii="Cambria Math" w:hAnsi="Cambria Math"/>
                            <w:sz w:val="18"/>
                            <w:szCs w:val="18"/>
                            <w:lang w:val="en-US"/>
                          </w:rPr>
                        </m:ctrlPr>
                      </m:e>
                    </m:d>
                    <m:r>
                      <m:rPr/>
                      <w:rPr>
                        <w:rFonts w:ascii="Cambria Math"/>
                        <w:sz w:val="18"/>
                        <w:szCs w:val="18"/>
                        <w:lang w:val="en-US"/>
                      </w:rPr>
                      <m:t>=</m:t>
                    </m:r>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r>
                          <m:rPr/>
                          <w:rPr>
                            <w:rFonts w:ascii="Cambria Math"/>
                            <w:sz w:val="18"/>
                            <w:szCs w:val="18"/>
                            <w:lang w:val="en-US"/>
                          </w:rPr>
                          <m:t>,l</m:t>
                        </m:r>
                        <m:ctrlPr>
                          <w:rPr>
                            <w:rFonts w:ascii="Cambria Math" w:hAnsi="Cambria Math"/>
                            <w:sz w:val="18"/>
                            <w:szCs w:val="18"/>
                            <w:lang w:val="en-US"/>
                          </w:rPr>
                        </m:ctrlPr>
                      </m:e>
                    </m:d>
                  </m:oMath>
                </w:p>
                <w:p w14:paraId="33E509C1">
                  <w:pPr>
                    <w:overflowPunct w:val="0"/>
                    <w:autoSpaceDE w:val="0"/>
                    <w:autoSpaceDN w:val="0"/>
                    <w:adjustRightInd w:val="0"/>
                    <w:spacing w:after="180"/>
                    <w:jc w:val="center"/>
                    <w:textAlignment w:val="baseline"/>
                    <w:rPr>
                      <w:sz w:val="18"/>
                      <w:szCs w:val="18"/>
                      <w:lang w:val="en-US"/>
                    </w:rPr>
                  </w:pPr>
                  <w:r>
                    <w:rPr>
                      <w:sz w:val="18"/>
                      <w:szCs w:val="18"/>
                      <w:lang w:val="en-US"/>
                    </w:rPr>
                    <w:t>&lt;&lt;omitted text&gt;&gt;</w:t>
                  </w:r>
                </w:p>
              </w:tc>
            </w:tr>
          </w:tbl>
          <w:p w14:paraId="51C2082E">
            <w:pPr>
              <w:overflowPunct w:val="0"/>
              <w:autoSpaceDE w:val="0"/>
              <w:autoSpaceDN w:val="0"/>
              <w:adjustRightInd w:val="0"/>
              <w:spacing w:after="180" w:line="276" w:lineRule="auto"/>
              <w:jc w:val="both"/>
              <w:textAlignment w:val="baseline"/>
              <w:rPr>
                <w:sz w:val="18"/>
                <w:szCs w:val="18"/>
                <w:lang w:val="en-US"/>
              </w:rPr>
            </w:pPr>
          </w:p>
          <w:p w14:paraId="3006A5E4">
            <w:pPr>
              <w:keepNext/>
              <w:overflowPunct w:val="0"/>
              <w:autoSpaceDE w:val="0"/>
              <w:autoSpaceDN w:val="0"/>
              <w:adjustRightInd w:val="0"/>
              <w:spacing w:after="180" w:line="276" w:lineRule="auto"/>
              <w:jc w:val="center"/>
              <w:textAlignment w:val="baseline"/>
              <w:rPr>
                <w:sz w:val="18"/>
                <w:szCs w:val="18"/>
              </w:rPr>
            </w:pPr>
            <w:r>
              <w:rPr>
                <w:sz w:val="18"/>
                <w:szCs w:val="18"/>
                <w:lang w:val="en-US" w:eastAsia="zh-CN"/>
              </w:rPr>
              <w:drawing>
                <wp:inline distT="0" distB="0" distL="0" distR="0">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95"/>
                          <a:stretch>
                            <a:fillRect/>
                          </a:stretch>
                        </pic:blipFill>
                        <pic:spPr>
                          <a:xfrm>
                            <a:off x="0" y="0"/>
                            <a:ext cx="5538316" cy="2206364"/>
                          </a:xfrm>
                          <a:prstGeom prst="rect">
                            <a:avLst/>
                          </a:prstGeom>
                        </pic:spPr>
                      </pic:pic>
                    </a:graphicData>
                  </a:graphic>
                </wp:inline>
              </w:drawing>
            </w:r>
          </w:p>
          <w:p w14:paraId="65C59771">
            <w:pPr>
              <w:pStyle w:val="21"/>
              <w:overflowPunct w:val="0"/>
              <w:autoSpaceDE w:val="0"/>
              <w:autoSpaceDN w:val="0"/>
              <w:adjustRightInd w:val="0"/>
              <w:jc w:val="center"/>
              <w:textAlignment w:val="baseline"/>
              <w:rPr>
                <w:sz w:val="18"/>
                <w:szCs w:val="18"/>
                <w:lang w:val="en-US"/>
              </w:rPr>
            </w:pPr>
            <w:bookmarkStart w:id="79"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79"/>
            <w:r>
              <w:rPr>
                <w:sz w:val="18"/>
                <w:szCs w:val="18"/>
              </w:rPr>
              <w:t>. Illustration of the issue when DWS feature is used with CLPC.</w:t>
            </w:r>
          </w:p>
          <w:p w14:paraId="754A9FDD">
            <w:pPr>
              <w:overflowPunct w:val="0"/>
              <w:autoSpaceDE w:val="0"/>
              <w:autoSpaceDN w:val="0"/>
              <w:adjustRightInd w:val="0"/>
              <w:spacing w:before="120" w:after="120"/>
              <w:jc w:val="both"/>
              <w:textAlignment w:val="baseline"/>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m:rPr/>
                    <w:rPr>
                      <w:rFonts w:ascii="Cambria Math" w:hAnsi="Cambria Math"/>
                      <w:sz w:val="18"/>
                      <w:szCs w:val="18"/>
                      <w:lang w:val="en-US"/>
                    </w:rPr>
                    <m:t>A</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r>
                <m:rP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m:rPr/>
                        <w:rPr>
                          <w:rFonts w:ascii="Cambria Math" w:hAnsi="Cambria Math"/>
                          <w:sz w:val="18"/>
                          <w:szCs w:val="18"/>
                          <w:lang w:val="en-US"/>
                        </w:rPr>
                        <m:t>P</m:t>
                      </m:r>
                      <m:ctrlPr>
                        <w:rPr>
                          <w:rFonts w:ascii="Cambria Math" w:hAnsi="Cambria Math"/>
                          <w:i/>
                          <w:sz w:val="18"/>
                          <w:szCs w:val="18"/>
                          <w:lang w:val="en-US"/>
                        </w:rPr>
                      </m:ctrlPr>
                    </m:e>
                    <m:sub>
                      <m:r>
                        <m:rPr/>
                        <w:rPr>
                          <w:rFonts w:ascii="Cambria Math" w:hAnsi="Cambria Math"/>
                          <w:sz w:val="18"/>
                          <w:szCs w:val="18"/>
                          <w:lang w:val="nl-NL"/>
                        </w:rPr>
                        <m:t>0</m:t>
                      </m:r>
                      <m:ctrlPr>
                        <w:rPr>
                          <w:rFonts w:ascii="Cambria Math" w:hAnsi="Cambria Math"/>
                          <w:i/>
                          <w:sz w:val="18"/>
                          <w:szCs w:val="18"/>
                          <w:lang w:val="en-US"/>
                        </w:rPr>
                      </m:ctrlPr>
                    </m:sub>
                  </m:sSub>
                  <m:ctrlPr>
                    <w:rPr>
                      <w:rFonts w:ascii="Cambria Math" w:hAnsi="Cambria Math"/>
                      <w:i/>
                      <w:sz w:val="18"/>
                      <w:szCs w:val="18"/>
                      <w:lang w:val="en-US"/>
                    </w:rPr>
                  </m:ctrlPr>
                </m:e>
                <m:sub>
                  <m:r>
                    <m:rPr/>
                    <w:rPr>
                      <w:rFonts w:ascii="Cambria Math" w:hAnsi="Cambria Math"/>
                      <w:sz w:val="18"/>
                      <w:szCs w:val="18"/>
                      <w:lang w:val="en-US"/>
                    </w:rPr>
                    <m:t>PUSCH</m:t>
                  </m:r>
                  <m:r>
                    <m:rPr/>
                    <w:rPr>
                      <w:rFonts w:ascii="Cambria Math" w:hAnsi="Cambria Math"/>
                      <w:sz w:val="18"/>
                      <w:szCs w:val="18"/>
                      <w:lang w:val="nl-NL"/>
                    </w:rPr>
                    <m:t>,</m:t>
                  </m:r>
                  <m:r>
                    <m:rPr/>
                    <w:rPr>
                      <w:rFonts w:ascii="Cambria Math" w:hAnsi="Cambria Math"/>
                      <w:sz w:val="18"/>
                      <w:szCs w:val="18"/>
                      <w:lang w:val="en-US"/>
                    </w:rPr>
                    <m:t>b</m:t>
                  </m:r>
                  <m:r>
                    <m:rPr/>
                    <w:rPr>
                      <w:rFonts w:ascii="Cambria Math" w:hAnsi="Cambria Math"/>
                      <w:sz w:val="18"/>
                      <w:szCs w:val="18"/>
                      <w:lang w:val="nl-NL"/>
                    </w:rPr>
                    <m:t>,</m:t>
                  </m:r>
                  <m:r>
                    <m:rPr/>
                    <w:rPr>
                      <w:rFonts w:ascii="Cambria Math" w:hAnsi="Cambria Math"/>
                      <w:sz w:val="18"/>
                      <w:szCs w:val="18"/>
                      <w:lang w:val="en-US"/>
                    </w:rPr>
                    <m:t>f</m:t>
                  </m:r>
                  <m:r>
                    <m:rPr/>
                    <w:rPr>
                      <w:rFonts w:ascii="Cambria Math" w:hAnsi="Cambria Math"/>
                      <w:sz w:val="18"/>
                      <w:szCs w:val="18"/>
                      <w:lang w:val="nl-NL"/>
                    </w:rPr>
                    <m:t>,</m:t>
                  </m:r>
                  <m:r>
                    <m:rPr/>
                    <w:rPr>
                      <w:rFonts w:ascii="Cambria Math" w:hAnsi="Cambria Math"/>
                      <w:sz w:val="18"/>
                      <w:szCs w:val="18"/>
                      <w:lang w:val="en-US"/>
                    </w:rPr>
                    <m:t>c</m:t>
                  </m:r>
                  <m:ctrlPr>
                    <w:rPr>
                      <w:rFonts w:ascii="Cambria Math" w:hAnsi="Cambria Math"/>
                      <w:i/>
                      <w:sz w:val="18"/>
                      <w:szCs w:val="18"/>
                      <w:lang w:val="en-US"/>
                    </w:rPr>
                  </m:ctrlPr>
                </m:sub>
              </m:sSub>
              <m:d>
                <m:dPr>
                  <m:ctrlPr>
                    <w:rPr>
                      <w:rFonts w:ascii="Cambria Math" w:hAnsi="Cambria Math"/>
                      <w:i/>
                      <w:sz w:val="18"/>
                      <w:szCs w:val="18"/>
                      <w:lang w:val="en-US"/>
                    </w:rPr>
                  </m:ctrlPr>
                </m:dPr>
                <m:e>
                  <m:r>
                    <m:rPr/>
                    <w:rPr>
                      <w:rFonts w:ascii="Cambria Math" w:hAnsi="Cambria Math"/>
                      <w:sz w:val="18"/>
                      <w:szCs w:val="18"/>
                      <w:lang w:val="en-US"/>
                    </w:rPr>
                    <m:t>j</m:t>
                  </m:r>
                  <m:ctrlPr>
                    <w:rPr>
                      <w:rFonts w:ascii="Cambria Math" w:hAnsi="Cambria Math"/>
                      <w:i/>
                      <w:sz w:val="18"/>
                      <w:szCs w:val="18"/>
                      <w:lang w:val="en-US"/>
                    </w:rPr>
                  </m:ctrlPr>
                </m:e>
              </m:d>
              <m:r>
                <m:rP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ctrlPr>
                        <w:rPr>
                          <w:rFonts w:ascii="Cambria Math" w:hAnsi="Cambria Math"/>
                          <w:i/>
                          <w:sz w:val="18"/>
                          <w:szCs w:val="18"/>
                          <w:lang w:val="en-US"/>
                        </w:rPr>
                      </m:ctrlPr>
                    </m:e>
                    <m:sub>
                      <m:r>
                        <m:rPr/>
                        <w:rPr>
                          <w:rFonts w:ascii="Cambria Math" w:hAnsi="Cambria Math"/>
                          <w:sz w:val="18"/>
                          <w:szCs w:val="18"/>
                          <w:lang w:val="nl-NL"/>
                        </w:rPr>
                        <m:t>10</m:t>
                      </m:r>
                      <m:ctrlPr>
                        <w:rPr>
                          <w:rFonts w:ascii="Cambria Math" w:hAnsi="Cambria Math"/>
                          <w:i/>
                          <w:sz w:val="18"/>
                          <w:szCs w:val="18"/>
                          <w:lang w:val="en-US"/>
                        </w:rPr>
                      </m:ctrlPr>
                    </m:sub>
                  </m:sSub>
                  <m:ctrlPr>
                    <w:rPr>
                      <w:rFonts w:ascii="Cambria Math" w:hAnsi="Cambria Math"/>
                      <w:i/>
                      <w:sz w:val="18"/>
                      <w:szCs w:val="18"/>
                      <w:lang w:val="en-US"/>
                    </w:rPr>
                  </m:ctrlPr>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m:rPr/>
                            <w:rPr>
                              <w:rFonts w:ascii="Cambria Math" w:hAnsi="Cambria Math"/>
                              <w:sz w:val="18"/>
                              <w:szCs w:val="18"/>
                              <w:lang w:val="nl-NL"/>
                            </w:rPr>
                            <m:t>2</m:t>
                          </m:r>
                          <m:ctrlPr>
                            <w:rPr>
                              <w:rFonts w:ascii="Cambria Math" w:hAnsi="Cambria Math"/>
                              <w:i/>
                              <w:sz w:val="18"/>
                              <w:szCs w:val="18"/>
                              <w:lang w:val="en-US"/>
                            </w:rPr>
                          </m:ctrlPr>
                        </m:e>
                        <m:sup>
                          <m:r>
                            <m:rPr/>
                            <w:rPr>
                              <w:rFonts w:ascii="Cambria Math" w:hAnsi="Cambria Math"/>
                              <w:sz w:val="18"/>
                              <w:szCs w:val="18"/>
                              <w:lang w:val="en-US"/>
                            </w:rPr>
                            <m:t>μ</m:t>
                          </m:r>
                          <m:ctrlPr>
                            <w:rPr>
                              <w:rFonts w:ascii="Cambria Math" w:hAnsi="Cambria Math"/>
                              <w:i/>
                              <w:sz w:val="18"/>
                              <w:szCs w:val="18"/>
                              <w:lang w:val="en-US"/>
                            </w:rPr>
                          </m:ctrlPr>
                        </m:sup>
                      </m:sSup>
                      <m:r>
                        <m:rPr/>
                        <w:rPr>
                          <w:rFonts w:ascii="Cambria Math" w:hAnsi="Cambria Math"/>
                          <w:sz w:val="18"/>
                          <w:szCs w:val="18"/>
                          <w:lang w:val="nl-NL"/>
                        </w:rPr>
                        <m:t>∙</m:t>
                      </m:r>
                      <m:sSubSup>
                        <m:sSubSupPr>
                          <m:ctrlPr>
                            <w:rPr>
                              <w:rFonts w:ascii="Cambria Math" w:hAnsi="Cambria Math"/>
                              <w:i/>
                              <w:sz w:val="18"/>
                              <w:szCs w:val="18"/>
                              <w:lang w:val="en-US"/>
                            </w:rPr>
                          </m:ctrlPr>
                        </m:sSubSupPr>
                        <m:e>
                          <m:r>
                            <m:rPr/>
                            <w:rPr>
                              <w:rFonts w:ascii="Cambria Math" w:hAnsi="Cambria Math"/>
                              <w:sz w:val="18"/>
                              <w:szCs w:val="18"/>
                              <w:lang w:val="en-US"/>
                            </w:rPr>
                            <m:t>M</m:t>
                          </m:r>
                          <m:ctrlPr>
                            <w:rPr>
                              <w:rFonts w:ascii="Cambria Math" w:hAnsi="Cambria Math"/>
                              <w:i/>
                              <w:sz w:val="18"/>
                              <w:szCs w:val="18"/>
                              <w:lang w:val="en-US"/>
                            </w:rPr>
                          </m:ctrlPr>
                        </m:e>
                        <m:sub>
                          <m:r>
                            <m:rPr/>
                            <w:rPr>
                              <w:rFonts w:ascii="Cambria Math" w:hAnsi="Cambria Math"/>
                              <w:sz w:val="18"/>
                              <w:szCs w:val="18"/>
                              <w:lang w:val="en-US"/>
                            </w:rPr>
                            <m:t>RB</m:t>
                          </m:r>
                          <m:r>
                            <m:rPr/>
                            <w:rPr>
                              <w:rFonts w:ascii="Cambria Math" w:hAnsi="Cambria Math"/>
                              <w:sz w:val="18"/>
                              <w:szCs w:val="18"/>
                              <w:lang w:val="nl-NL"/>
                            </w:rPr>
                            <m:t xml:space="preserve">, </m:t>
                          </m:r>
                          <m:r>
                            <m:rPr/>
                            <w:rPr>
                              <w:rFonts w:ascii="Cambria Math" w:hAnsi="Cambria Math"/>
                              <w:sz w:val="18"/>
                              <w:szCs w:val="18"/>
                              <w:lang w:val="en-US"/>
                            </w:rPr>
                            <m:t>b</m:t>
                          </m:r>
                          <m:r>
                            <m:rPr/>
                            <w:rPr>
                              <w:rFonts w:ascii="Cambria Math" w:hAnsi="Cambria Math"/>
                              <w:sz w:val="18"/>
                              <w:szCs w:val="18"/>
                              <w:lang w:val="nl-NL"/>
                            </w:rPr>
                            <m:t>,</m:t>
                          </m:r>
                          <m:r>
                            <m:rPr/>
                            <w:rPr>
                              <w:rFonts w:ascii="Cambria Math" w:hAnsi="Cambria Math"/>
                              <w:sz w:val="18"/>
                              <w:szCs w:val="18"/>
                              <w:lang w:val="en-US"/>
                            </w:rPr>
                            <m:t>f</m:t>
                          </m:r>
                          <m:r>
                            <m:rPr/>
                            <w:rPr>
                              <w:rFonts w:ascii="Cambria Math" w:hAnsi="Cambria Math"/>
                              <w:sz w:val="18"/>
                              <w:szCs w:val="18"/>
                              <w:lang w:val="nl-NL"/>
                            </w:rPr>
                            <m:t>,</m:t>
                          </m:r>
                          <m:r>
                            <m:rPr/>
                            <w:rPr>
                              <w:rFonts w:ascii="Cambria Math" w:hAnsi="Cambria Math"/>
                              <w:sz w:val="18"/>
                              <w:szCs w:val="18"/>
                              <w:lang w:val="en-US"/>
                            </w:rPr>
                            <m:t>c</m:t>
                          </m:r>
                          <m:ctrlPr>
                            <w:rPr>
                              <w:rFonts w:ascii="Cambria Math" w:hAnsi="Cambria Math"/>
                              <w:i/>
                              <w:sz w:val="18"/>
                              <w:szCs w:val="18"/>
                              <w:lang w:val="en-US"/>
                            </w:rPr>
                          </m:ctrlPr>
                        </m:sub>
                        <m:sup>
                          <m:r>
                            <m:rPr/>
                            <w:rPr>
                              <w:rFonts w:ascii="Cambria Math" w:hAnsi="Cambria Math"/>
                              <w:sz w:val="18"/>
                              <w:szCs w:val="18"/>
                              <w:lang w:val="en-US"/>
                            </w:rPr>
                            <m:t>PUSCH</m:t>
                          </m:r>
                          <m:ctrlPr>
                            <w:rPr>
                              <w:rFonts w:ascii="Cambria Math" w:hAnsi="Cambria Math"/>
                              <w:i/>
                              <w:sz w:val="18"/>
                              <w:szCs w:val="18"/>
                              <w:lang w:val="en-US"/>
                            </w:rPr>
                          </m:ctrlPr>
                        </m:sup>
                      </m:sSubSup>
                      <m:d>
                        <m:dPr>
                          <m:ctrlPr>
                            <w:rPr>
                              <w:rFonts w:ascii="Cambria Math" w:hAnsi="Cambria Math"/>
                              <w:i/>
                              <w:sz w:val="18"/>
                              <w:szCs w:val="18"/>
                              <w:lang w:val="en-US"/>
                            </w:rPr>
                          </m:ctrlPr>
                        </m:dPr>
                        <m:e>
                          <m:r>
                            <m:rPr/>
                            <w:rPr>
                              <w:rFonts w:ascii="Cambria Math" w:hAnsi="Cambria Math"/>
                              <w:sz w:val="18"/>
                              <w:szCs w:val="18"/>
                              <w:lang w:val="en-US"/>
                            </w:rPr>
                            <m:t>i</m:t>
                          </m:r>
                          <m:ctrlPr>
                            <w:rPr>
                              <w:rFonts w:ascii="Cambria Math" w:hAnsi="Cambria Math"/>
                              <w:i/>
                              <w:sz w:val="18"/>
                              <w:szCs w:val="18"/>
                              <w:lang w:val="en-US"/>
                            </w:rPr>
                          </m:ctrlPr>
                        </m:e>
                      </m:d>
                      <m:ctrlPr>
                        <w:rPr>
                          <w:rFonts w:ascii="Cambria Math" w:hAnsi="Cambria Math"/>
                          <w:i/>
                          <w:sz w:val="18"/>
                          <w:szCs w:val="18"/>
                          <w:lang w:val="en-US"/>
                        </w:rPr>
                      </m:ctrlPr>
                    </m:e>
                  </m:d>
                  <m:r>
                    <m:rPr/>
                    <w:rPr>
                      <w:rFonts w:ascii="Cambria Math" w:hAnsi="Cambria Math"/>
                      <w:sz w:val="18"/>
                      <w:szCs w:val="18"/>
                      <w:lang w:val="nl-NL"/>
                    </w:rPr>
                    <m:t>+</m:t>
                  </m:r>
                  <m:sSub>
                    <m:sSubPr>
                      <m:ctrlPr>
                        <w:rPr>
                          <w:rFonts w:ascii="Cambria Math" w:hAnsi="Cambria Math"/>
                          <w:i/>
                          <w:sz w:val="18"/>
                          <w:szCs w:val="18"/>
                          <w:lang w:val="en-US"/>
                        </w:rPr>
                      </m:ctrlPr>
                    </m:sSubPr>
                    <m:e>
                      <m:r>
                        <m:rPr/>
                        <w:rPr>
                          <w:rFonts w:ascii="Cambria Math" w:hAnsi="Cambria Math"/>
                          <w:sz w:val="18"/>
                          <w:szCs w:val="18"/>
                          <w:lang w:val="en-US"/>
                        </w:rPr>
                        <m:t>α</m:t>
                      </m:r>
                      <m:ctrlPr>
                        <w:rPr>
                          <w:rFonts w:ascii="Cambria Math" w:hAnsi="Cambria Math"/>
                          <w:i/>
                          <w:sz w:val="18"/>
                          <w:szCs w:val="18"/>
                          <w:lang w:val="en-US"/>
                        </w:rPr>
                      </m:ctrlPr>
                    </m:e>
                    <m:sub>
                      <m:r>
                        <m:rPr/>
                        <w:rPr>
                          <w:rFonts w:ascii="Cambria Math" w:hAnsi="Cambria Math"/>
                          <w:sz w:val="18"/>
                          <w:szCs w:val="18"/>
                          <w:lang w:val="en-US"/>
                        </w:rPr>
                        <m:t>b</m:t>
                      </m:r>
                      <m:r>
                        <m:rPr/>
                        <w:rPr>
                          <w:rFonts w:ascii="Cambria Math" w:hAnsi="Cambria Math"/>
                          <w:sz w:val="18"/>
                          <w:szCs w:val="18"/>
                          <w:lang w:val="nl-NL"/>
                        </w:rPr>
                        <m:t>,</m:t>
                      </m:r>
                      <m:r>
                        <m:rPr/>
                        <w:rPr>
                          <w:rFonts w:ascii="Cambria Math" w:hAnsi="Cambria Math"/>
                          <w:sz w:val="18"/>
                          <w:szCs w:val="18"/>
                          <w:lang w:val="en-US"/>
                        </w:rPr>
                        <m:t>f</m:t>
                      </m:r>
                      <m:r>
                        <m:rPr/>
                        <w:rPr>
                          <w:rFonts w:ascii="Cambria Math" w:hAnsi="Cambria Math"/>
                          <w:sz w:val="18"/>
                          <w:szCs w:val="18"/>
                          <w:lang w:val="nl-NL"/>
                        </w:rPr>
                        <m:t>,</m:t>
                      </m:r>
                      <m:r>
                        <m:rPr/>
                        <w:rPr>
                          <w:rFonts w:ascii="Cambria Math" w:hAnsi="Cambria Math"/>
                          <w:sz w:val="18"/>
                          <w:szCs w:val="18"/>
                          <w:lang w:val="en-US"/>
                        </w:rPr>
                        <m:t>c</m:t>
                      </m:r>
                      <m:ctrlPr>
                        <w:rPr>
                          <w:rFonts w:ascii="Cambria Math" w:hAnsi="Cambria Math"/>
                          <w:i/>
                          <w:sz w:val="18"/>
                          <w:szCs w:val="18"/>
                          <w:lang w:val="en-US"/>
                        </w:rPr>
                      </m:ctrlPr>
                    </m:sub>
                  </m:sSub>
                  <m:d>
                    <m:dPr>
                      <m:ctrlPr>
                        <w:rPr>
                          <w:rFonts w:ascii="Cambria Math" w:hAnsi="Cambria Math"/>
                          <w:i/>
                          <w:sz w:val="18"/>
                          <w:szCs w:val="18"/>
                          <w:lang w:val="en-US"/>
                        </w:rPr>
                      </m:ctrlPr>
                    </m:dPr>
                    <m:e>
                      <m:r>
                        <m:rPr/>
                        <w:rPr>
                          <w:rFonts w:ascii="Cambria Math" w:hAnsi="Cambria Math"/>
                          <w:sz w:val="18"/>
                          <w:szCs w:val="18"/>
                          <w:lang w:val="en-US"/>
                        </w:rPr>
                        <m:t>j</m:t>
                      </m:r>
                      <m:ctrlPr>
                        <w:rPr>
                          <w:rFonts w:ascii="Cambria Math" w:hAnsi="Cambria Math"/>
                          <w:i/>
                          <w:sz w:val="18"/>
                          <w:szCs w:val="18"/>
                          <w:lang w:val="en-US"/>
                        </w:rPr>
                      </m:ctrlPr>
                    </m:e>
                  </m:d>
                  <m:r>
                    <m:rPr/>
                    <w:rPr>
                      <w:rFonts w:ascii="Cambria Math" w:hAnsi="Cambria Math"/>
                      <w:sz w:val="18"/>
                      <w:szCs w:val="18"/>
                      <w:lang w:val="nl-NL"/>
                    </w:rPr>
                    <m:t>∙</m:t>
                  </m:r>
                  <m:r>
                    <m:rPr/>
                    <w:rPr>
                      <w:rFonts w:ascii="Cambria Math" w:hAnsi="Cambria Math"/>
                      <w:sz w:val="18"/>
                      <w:szCs w:val="18"/>
                      <w:lang w:val="en-US"/>
                    </w:rPr>
                    <m:t>P</m:t>
                  </m:r>
                  <m:sSub>
                    <m:sSubPr>
                      <m:ctrlPr>
                        <w:rPr>
                          <w:rFonts w:ascii="Cambria Math" w:hAnsi="Cambria Math"/>
                          <w:i/>
                          <w:sz w:val="18"/>
                          <w:szCs w:val="18"/>
                          <w:lang w:val="en-US"/>
                        </w:rPr>
                      </m:ctrlPr>
                    </m:sSubPr>
                    <m:e>
                      <m:r>
                        <m:rPr/>
                        <w:rPr>
                          <w:rFonts w:ascii="Cambria Math" w:hAnsi="Cambria Math"/>
                          <w:sz w:val="18"/>
                          <w:szCs w:val="18"/>
                          <w:lang w:val="en-US"/>
                        </w:rPr>
                        <m:t>L</m:t>
                      </m:r>
                      <m:ctrlPr>
                        <w:rPr>
                          <w:rFonts w:ascii="Cambria Math" w:hAnsi="Cambria Math"/>
                          <w:i/>
                          <w:sz w:val="18"/>
                          <w:szCs w:val="18"/>
                          <w:lang w:val="en-US"/>
                        </w:rPr>
                      </m:ctrlPr>
                    </m:e>
                    <m:sub>
                      <m:r>
                        <m:rPr/>
                        <w:rPr>
                          <w:rFonts w:ascii="Cambria Math" w:hAnsi="Cambria Math"/>
                          <w:sz w:val="18"/>
                          <w:szCs w:val="18"/>
                          <w:lang w:val="en-US"/>
                        </w:rPr>
                        <m:t>b</m:t>
                      </m:r>
                      <m:r>
                        <m:rPr/>
                        <w:rPr>
                          <w:rFonts w:ascii="Cambria Math" w:hAnsi="Cambria Math"/>
                          <w:sz w:val="18"/>
                          <w:szCs w:val="18"/>
                          <w:lang w:val="nl-NL"/>
                        </w:rPr>
                        <m:t>,</m:t>
                      </m:r>
                      <m:r>
                        <m:rPr/>
                        <w:rPr>
                          <w:rFonts w:ascii="Cambria Math" w:hAnsi="Cambria Math"/>
                          <w:sz w:val="18"/>
                          <w:szCs w:val="18"/>
                          <w:lang w:val="en-US"/>
                        </w:rPr>
                        <m:t>f</m:t>
                      </m:r>
                      <m:r>
                        <m:rPr/>
                        <w:rPr>
                          <w:rFonts w:ascii="Cambria Math" w:hAnsi="Cambria Math"/>
                          <w:sz w:val="18"/>
                          <w:szCs w:val="18"/>
                          <w:lang w:val="nl-NL"/>
                        </w:rPr>
                        <m:t>,</m:t>
                      </m:r>
                      <m:r>
                        <m:rPr/>
                        <w:rPr>
                          <w:rFonts w:ascii="Cambria Math" w:hAnsi="Cambria Math"/>
                          <w:sz w:val="18"/>
                          <w:szCs w:val="18"/>
                          <w:lang w:val="en-US"/>
                        </w:rPr>
                        <m:t>c</m:t>
                      </m:r>
                      <m:ctrlPr>
                        <w:rPr>
                          <w:rFonts w:ascii="Cambria Math" w:hAnsi="Cambria Math"/>
                          <w:i/>
                          <w:sz w:val="18"/>
                          <w:szCs w:val="18"/>
                          <w:lang w:val="en-US"/>
                        </w:rPr>
                      </m:ctrlP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m:rPr/>
                            <w:rPr>
                              <w:rFonts w:ascii="Cambria Math" w:hAnsi="Cambria Math"/>
                              <w:sz w:val="18"/>
                              <w:szCs w:val="18"/>
                              <w:lang w:val="en-US"/>
                            </w:rPr>
                            <m:t>q</m:t>
                          </m:r>
                          <m:ctrlPr>
                            <w:rPr>
                              <w:rFonts w:ascii="Cambria Math" w:hAnsi="Cambria Math"/>
                              <w:i/>
                              <w:sz w:val="18"/>
                              <w:szCs w:val="18"/>
                              <w:lang w:val="en-US"/>
                            </w:rPr>
                          </m:ctrlPr>
                        </m:e>
                        <m:sub>
                          <m:r>
                            <m:rPr/>
                            <w:rPr>
                              <w:rFonts w:ascii="Cambria Math" w:hAnsi="Cambria Math"/>
                              <w:sz w:val="18"/>
                              <w:szCs w:val="18"/>
                              <w:lang w:val="en-US"/>
                            </w:rPr>
                            <m:t>d</m:t>
                          </m:r>
                          <m:ctrlPr>
                            <w:rPr>
                              <w:rFonts w:ascii="Cambria Math" w:hAnsi="Cambria Math"/>
                              <w:i/>
                              <w:sz w:val="18"/>
                              <w:szCs w:val="18"/>
                              <w:lang w:val="en-US"/>
                            </w:rPr>
                          </m:ctrlPr>
                        </m:sub>
                      </m:sSub>
                      <m:ctrlPr>
                        <w:rPr>
                          <w:rFonts w:ascii="Cambria Math" w:hAnsi="Cambria Math"/>
                          <w:i/>
                          <w:sz w:val="18"/>
                          <w:szCs w:val="18"/>
                          <w:lang w:val="en-US"/>
                        </w:rPr>
                      </m:ctrlPr>
                    </m:e>
                  </m:d>
                  <m:r>
                    <m:rP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m:rPr/>
                        <w:rPr>
                          <w:rFonts w:ascii="Cambria Math" w:hAnsi="Cambria Math"/>
                          <w:sz w:val="18"/>
                          <w:szCs w:val="18"/>
                          <w:lang w:val="nl-NL"/>
                        </w:rPr>
                        <m:t>,</m:t>
                      </m:r>
                      <m:r>
                        <m:rPr/>
                        <w:rPr>
                          <w:rFonts w:ascii="Cambria Math" w:hAnsi="Cambria Math"/>
                          <w:sz w:val="18"/>
                          <w:szCs w:val="18"/>
                          <w:lang w:val="en-US"/>
                        </w:rPr>
                        <m:t>b</m:t>
                      </m:r>
                      <m:r>
                        <m:rPr/>
                        <w:rPr>
                          <w:rFonts w:ascii="Cambria Math" w:hAnsi="Cambria Math"/>
                          <w:sz w:val="18"/>
                          <w:szCs w:val="18"/>
                          <w:lang w:val="nl-NL"/>
                        </w:rPr>
                        <m:t>,</m:t>
                      </m:r>
                      <m:r>
                        <m:rPr/>
                        <w:rPr>
                          <w:rFonts w:ascii="Cambria Math" w:hAnsi="Cambria Math"/>
                          <w:sz w:val="18"/>
                          <w:szCs w:val="18"/>
                          <w:lang w:val="en-US"/>
                        </w:rPr>
                        <m:t>f</m:t>
                      </m:r>
                      <m:r>
                        <m:rPr/>
                        <w:rPr>
                          <w:rFonts w:ascii="Cambria Math" w:hAnsi="Cambria Math"/>
                          <w:sz w:val="18"/>
                          <w:szCs w:val="18"/>
                          <w:lang w:val="nl-NL"/>
                        </w:rPr>
                        <m:t>,</m:t>
                      </m:r>
                      <m:r>
                        <m:rPr/>
                        <w:rPr>
                          <w:rFonts w:ascii="Cambria Math" w:hAnsi="Cambria Math"/>
                          <w:sz w:val="18"/>
                          <w:szCs w:val="18"/>
                          <w:lang w:val="en-US"/>
                        </w:rPr>
                        <m:t>c</m:t>
                      </m:r>
                      <m:r>
                        <m:rPr>
                          <m:sty m:val="p"/>
                        </m:rPr>
                        <w:rPr>
                          <w:rFonts w:ascii="Cambria Math" w:hAnsi="Cambria Math"/>
                          <w:sz w:val="18"/>
                          <w:szCs w:val="18"/>
                          <w:lang w:val="nl-NL"/>
                        </w:rPr>
                        <m:t xml:space="preserve"> </m:t>
                      </m:r>
                      <m:ctrlPr>
                        <w:rPr>
                          <w:rFonts w:ascii="Cambria Math" w:hAnsi="Cambria Math"/>
                          <w:sz w:val="18"/>
                          <w:szCs w:val="18"/>
                          <w:lang w:val="en-US"/>
                        </w:rPr>
                      </m:ctrlPr>
                    </m:sub>
                  </m:sSub>
                  <m:r>
                    <m:rPr/>
                    <w:rPr>
                      <w:rFonts w:ascii="Cambria Math" w:hAnsi="Cambria Math"/>
                      <w:sz w:val="18"/>
                      <w:szCs w:val="18"/>
                      <w:lang w:val="nl-NL"/>
                    </w:rPr>
                    <m:t>(</m:t>
                  </m:r>
                  <m:r>
                    <m:rPr/>
                    <w:rPr>
                      <w:rFonts w:ascii="Cambria Math" w:hAnsi="Cambria Math"/>
                      <w:sz w:val="18"/>
                      <w:szCs w:val="18"/>
                      <w:lang w:val="en-US"/>
                    </w:rPr>
                    <m:t>i</m:t>
                  </m:r>
                  <m:r>
                    <m:rPr/>
                    <w:rPr>
                      <w:rFonts w:ascii="Cambria Math" w:hAnsi="Cambria Math"/>
                      <w:sz w:val="18"/>
                      <w:szCs w:val="18"/>
                      <w:lang w:val="nl-NL"/>
                    </w:rPr>
                    <m:t>)</m:t>
                  </m:r>
                  <m:ctrlPr>
                    <w:rPr>
                      <w:rFonts w:ascii="Cambria Math" w:hAnsi="Cambria Math"/>
                      <w:i/>
                      <w:sz w:val="18"/>
                      <w:szCs w:val="18"/>
                      <w:lang w:val="en-US"/>
                    </w:rPr>
                  </m:ctrlPr>
                </m:e>
              </m:func>
            </m:oMath>
            <w:r>
              <w:rPr>
                <w:sz w:val="18"/>
                <w:szCs w:val="18"/>
                <w:lang w:val="nl-NL"/>
              </w:rPr>
              <w:t xml:space="preserve">. </w:t>
            </w:r>
            <w:r>
              <w:rPr>
                <w:sz w:val="18"/>
                <w:szCs w:val="18"/>
                <w:lang w:val="en-US"/>
              </w:rPr>
              <w:t xml:space="preserve">It can be observed from the figure that, if a UE was indicated with CP-OFDM (i.e, Transform precoder indicator field = 1) and reached maximum transmit power for a PUSCH transmission at </w:t>
            </w:r>
            <m:oMath>
              <m:sSub>
                <m:sSubPr>
                  <m:ctrlPr>
                    <w:rPr>
                      <w:rFonts w:ascii="Cambria Math" w:hAnsi="Cambria Math" w:eastAsiaTheme="minorEastAsia"/>
                      <w:i/>
                      <w:sz w:val="18"/>
                      <w:szCs w:val="18"/>
                      <w:lang w:val="en-US"/>
                    </w:rPr>
                  </m:ctrlPr>
                </m:sSubPr>
                <m:e>
                  <m:r>
                    <m:rPr/>
                    <w:rPr>
                      <w:rFonts w:ascii="Cambria Math" w:hAnsi="Cambria Math" w:eastAsiaTheme="minorEastAsia"/>
                      <w:sz w:val="18"/>
                      <w:szCs w:val="18"/>
                      <w:lang w:val="en-US"/>
                    </w:rPr>
                    <m:t>TO</m:t>
                  </m:r>
                  <m:ctrlPr>
                    <w:rPr>
                      <w:rFonts w:ascii="Cambria Math" w:hAnsi="Cambria Math" w:eastAsiaTheme="minorEastAsia"/>
                      <w:i/>
                      <w:sz w:val="18"/>
                      <w:szCs w:val="18"/>
                      <w:lang w:val="en-US"/>
                    </w:rPr>
                  </m:ctrlPr>
                </m:e>
                <m:sub>
                  <m:r>
                    <m:rPr/>
                    <w:rPr>
                      <w:rFonts w:ascii="Cambria Math" w:hAnsi="Cambria Math" w:eastAsiaTheme="minorEastAsia"/>
                      <w:sz w:val="18"/>
                      <w:szCs w:val="18"/>
                      <w:lang w:val="en-US"/>
                    </w:rPr>
                    <m:t>i−</m:t>
                  </m:r>
                  <m:sSub>
                    <m:sSubPr>
                      <m:ctrlPr>
                        <w:rPr>
                          <w:rFonts w:ascii="Cambria Math" w:hAnsi="Cambria Math" w:eastAsiaTheme="minorEastAsia"/>
                          <w:i/>
                          <w:sz w:val="18"/>
                          <w:szCs w:val="18"/>
                          <w:lang w:val="en-US"/>
                        </w:rPr>
                      </m:ctrlPr>
                    </m:sSubPr>
                    <m:e>
                      <m:r>
                        <m:rPr/>
                        <w:rPr>
                          <w:rFonts w:ascii="Cambria Math" w:hAnsi="Cambria Math" w:eastAsiaTheme="minorEastAsia"/>
                          <w:sz w:val="18"/>
                          <w:szCs w:val="18"/>
                          <w:lang w:val="en-US"/>
                        </w:rPr>
                        <m:t>i</m:t>
                      </m:r>
                      <m:ctrlPr>
                        <w:rPr>
                          <w:rFonts w:ascii="Cambria Math" w:hAnsi="Cambria Math" w:eastAsiaTheme="minorEastAsia"/>
                          <w:i/>
                          <w:sz w:val="18"/>
                          <w:szCs w:val="18"/>
                          <w:lang w:val="en-US"/>
                        </w:rPr>
                      </m:ctrlPr>
                    </m:e>
                    <m:sub>
                      <m:r>
                        <m:rPr/>
                        <w:rPr>
                          <w:rFonts w:ascii="Cambria Math" w:hAnsi="Cambria Math" w:eastAsiaTheme="minorEastAsia"/>
                          <w:sz w:val="18"/>
                          <w:szCs w:val="18"/>
                          <w:lang w:val="en-US"/>
                        </w:rPr>
                        <m:t>0</m:t>
                      </m:r>
                      <m:ctrlPr>
                        <w:rPr>
                          <w:rFonts w:ascii="Cambria Math" w:hAnsi="Cambria Math" w:eastAsiaTheme="minorEastAsia"/>
                          <w:i/>
                          <w:sz w:val="18"/>
                          <w:szCs w:val="18"/>
                          <w:lang w:val="en-US"/>
                        </w:rPr>
                      </m:ctrlPr>
                    </m:sub>
                  </m:sSub>
                  <m:ctrlPr>
                    <w:rPr>
                      <w:rFonts w:ascii="Cambria Math" w:hAnsi="Cambria Math" w:eastAsiaTheme="minorEastAsia"/>
                      <w:i/>
                      <w:sz w:val="18"/>
                      <w:szCs w:val="18"/>
                      <w:lang w:val="en-US"/>
                    </w:rPr>
                  </m:ctrlPr>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the UE could not transmit with max power of DFT-s-OFDM for the PUSCH transmission at</w:t>
            </w:r>
            <m:oMath>
              <m:r>
                <m:rPr/>
                <w:rPr>
                  <w:rFonts w:ascii="Cambria Math" w:hAnsi="Cambria Math"/>
                  <w:sz w:val="18"/>
                  <w:szCs w:val="18"/>
                  <w:lang w:val="en-US"/>
                </w:rPr>
                <m:t xml:space="preserve"> </m:t>
              </m:r>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m:rPr/>
                    <w:rPr>
                      <w:rFonts w:ascii="Cambria Math" w:hAnsi="Cambria Math"/>
                      <w:sz w:val="18"/>
                      <w:szCs w:val="18"/>
                      <w:lang w:val="en-US"/>
                    </w:rPr>
                    <m:t>f</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must be equal to </w:t>
            </w:r>
            <m:oMath>
              <m:sSub>
                <m:sSubPr>
                  <m:ctrlPr>
                    <w:rPr>
                      <w:rFonts w:ascii="Cambria Math" w:hAnsi="Cambria Math"/>
                      <w:i/>
                      <w:sz w:val="18"/>
                      <w:szCs w:val="18"/>
                      <w:lang w:val="en-US"/>
                    </w:rPr>
                  </m:ctrlPr>
                </m:sSubPr>
                <m:e>
                  <m:r>
                    <m:rPr/>
                    <w:rPr>
                      <w:rFonts w:ascii="Cambria Math" w:hAnsi="Cambria Math"/>
                      <w:sz w:val="18"/>
                      <w:szCs w:val="18"/>
                      <w:lang w:val="en-US"/>
                    </w:rPr>
                    <m:t>f</m:t>
                  </m:r>
                  <m:ctrlPr>
                    <w:rPr>
                      <w:rFonts w:ascii="Cambria Math" w:hAnsi="Cambria Math"/>
                      <w:i/>
                      <w:sz w:val="18"/>
                      <w:szCs w:val="18"/>
                      <w:lang w:val="en-US"/>
                    </w:rPr>
                  </m:ctrlPr>
                </m:e>
                <m:sub>
                  <m:r>
                    <m:rPr/>
                    <w:rPr>
                      <w:rFonts w:ascii="Cambria Math" w:hAnsi="Cambria Math"/>
                      <w:sz w:val="18"/>
                      <w:szCs w:val="18"/>
                      <w:lang w:val="en-US"/>
                    </w:rPr>
                    <m:t>i−i0</m:t>
                  </m:r>
                  <m:ctrlPr>
                    <w:rPr>
                      <w:rFonts w:ascii="Cambria Math" w:hAnsi="Cambria Math"/>
                      <w:i/>
                      <w:sz w:val="18"/>
                      <w:szCs w:val="18"/>
                      <w:lang w:val="en-US"/>
                    </w:rPr>
                  </m:ctrlP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Note also that we assume </w:t>
            </w:r>
            <m:oMath>
              <m:sSub>
                <m:sSubPr>
                  <m:ctrlPr>
                    <w:rPr>
                      <w:rFonts w:ascii="Cambria Math" w:hAnsi="Cambria Math"/>
                      <w:i/>
                      <w:sz w:val="18"/>
                      <w:szCs w:val="18"/>
                      <w:lang w:val="en-US"/>
                    </w:rPr>
                  </m:ctrlPr>
                </m:sSubPr>
                <m:e>
                  <m:r>
                    <m:rPr/>
                    <w:rPr>
                      <w:rFonts w:ascii="Cambria Math" w:hAnsi="Cambria Math"/>
                      <w:sz w:val="18"/>
                      <w:szCs w:val="18"/>
                      <w:lang w:val="en-US"/>
                    </w:rPr>
                    <m:t>A</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r>
                <m:rPr/>
                <w:rPr>
                  <w:rFonts w:ascii="Cambria Math" w:hAnsi="Cambria Math"/>
                  <w:sz w:val="18"/>
                  <w:szCs w:val="18"/>
                  <w:lang w:val="en-US"/>
                </w:rPr>
                <m:t>=</m:t>
              </m:r>
              <m:sSub>
                <m:sSubPr>
                  <m:ctrlPr>
                    <w:rPr>
                      <w:rFonts w:ascii="Cambria Math" w:hAnsi="Cambria Math"/>
                      <w:i/>
                      <w:sz w:val="18"/>
                      <w:szCs w:val="18"/>
                      <w:lang w:val="en-US"/>
                    </w:rPr>
                  </m:ctrlPr>
                </m:sSubPr>
                <m:e>
                  <m:r>
                    <m:rPr/>
                    <w:rPr>
                      <w:rFonts w:ascii="Cambria Math" w:hAnsi="Cambria Math"/>
                      <w:sz w:val="18"/>
                      <w:szCs w:val="18"/>
                      <w:lang w:val="en-US"/>
                    </w:rPr>
                    <m:t>A</m:t>
                  </m:r>
                  <m:ctrlPr>
                    <w:rPr>
                      <w:rFonts w:ascii="Cambria Math" w:hAnsi="Cambria Math"/>
                      <w:i/>
                      <w:sz w:val="18"/>
                      <w:szCs w:val="18"/>
                      <w:lang w:val="en-US"/>
                    </w:rPr>
                  </m:ctrlPr>
                </m:e>
                <m:sub>
                  <m:r>
                    <m:rPr/>
                    <w:rPr>
                      <w:rFonts w:ascii="Cambria Math" w:hAnsi="Cambria Math"/>
                      <w:sz w:val="18"/>
                      <w:szCs w:val="18"/>
                      <w:lang w:val="en-US"/>
                    </w:rPr>
                    <m:t>i−i0</m:t>
                  </m:r>
                  <m:ctrlPr>
                    <w:rPr>
                      <w:rFonts w:ascii="Cambria Math" w:hAnsi="Cambria Math"/>
                      <w:i/>
                      <w:sz w:val="18"/>
                      <w:szCs w:val="18"/>
                      <w:lang w:val="en-US"/>
                    </w:rPr>
                  </m:ctrlP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m:rPr/>
                    <w:rPr>
                      <w:rFonts w:ascii="Cambria Math" w:hAnsi="Cambria Math"/>
                      <w:sz w:val="18"/>
                      <w:szCs w:val="18"/>
                      <w:lang w:val="en-US"/>
                    </w:rPr>
                    <m:t>A</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r>
                <m:rPr/>
                <w:rPr>
                  <w:rFonts w:ascii="Cambria Math" w:hAnsi="Cambria Math"/>
                  <w:sz w:val="18"/>
                  <w:szCs w:val="18"/>
                  <w:lang w:val="en-US"/>
                </w:rPr>
                <m:t>&lt;</m:t>
              </m:r>
              <m:sSub>
                <m:sSubPr>
                  <m:ctrlPr>
                    <w:rPr>
                      <w:rFonts w:ascii="Cambria Math" w:hAnsi="Cambria Math"/>
                      <w:i/>
                      <w:sz w:val="18"/>
                      <w:szCs w:val="18"/>
                      <w:lang w:val="en-US"/>
                    </w:rPr>
                  </m:ctrlPr>
                </m:sSubPr>
                <m:e>
                  <m:r>
                    <m:rPr/>
                    <w:rPr>
                      <w:rFonts w:ascii="Cambria Math" w:hAnsi="Cambria Math"/>
                      <w:sz w:val="18"/>
                      <w:szCs w:val="18"/>
                      <w:lang w:val="en-US"/>
                    </w:rPr>
                    <m:t>A</m:t>
                  </m:r>
                  <m:ctrlPr>
                    <w:rPr>
                      <w:rFonts w:ascii="Cambria Math" w:hAnsi="Cambria Math"/>
                      <w:i/>
                      <w:sz w:val="18"/>
                      <w:szCs w:val="18"/>
                      <w:lang w:val="en-US"/>
                    </w:rPr>
                  </m:ctrlPr>
                </m:e>
                <m:sub>
                  <m:r>
                    <m:rPr/>
                    <w:rPr>
                      <w:rFonts w:ascii="Cambria Math" w:hAnsi="Cambria Math"/>
                      <w:sz w:val="18"/>
                      <w:szCs w:val="18"/>
                      <w:lang w:val="en-US"/>
                    </w:rPr>
                    <m:t>i−i0</m:t>
                  </m:r>
                  <m:ctrlPr>
                    <w:rPr>
                      <w:rFonts w:ascii="Cambria Math" w:hAnsi="Cambria Math"/>
                      <w:i/>
                      <w:sz w:val="18"/>
                      <w:szCs w:val="18"/>
                      <w:lang w:val="en-US"/>
                    </w:rPr>
                  </m:ctrlPr>
                </m:sub>
              </m:sSub>
            </m:oMath>
            <w:r>
              <w:rPr>
                <w:sz w:val="18"/>
                <w:szCs w:val="18"/>
                <w:lang w:val="en-US"/>
              </w:rPr>
              <w:t xml:space="preserve">, and thus a bigger gap could not be exploited. </w:t>
            </w:r>
          </w:p>
          <w:p w14:paraId="0BD894DC">
            <w:pPr>
              <w:pStyle w:val="21"/>
              <w:overflowPunct w:val="0"/>
              <w:autoSpaceDE w:val="0"/>
              <w:autoSpaceDN w:val="0"/>
              <w:adjustRightInd w:val="0"/>
              <w:jc w:val="both"/>
              <w:textAlignment w:val="baseline"/>
              <w:rPr>
                <w:bCs/>
                <w:sz w:val="18"/>
                <w:szCs w:val="18"/>
                <w:lang w:val="en-US"/>
              </w:rPr>
            </w:pPr>
            <w:bookmarkStart w:id="80" w:name="_Toc149817554"/>
            <w:bookmarkStart w:id="81" w:name="_Toc149809972"/>
            <w:r>
              <w:rPr>
                <w:sz w:val="18"/>
                <w:szCs w:val="18"/>
              </w:rPr>
              <w:t xml:space="preserve">Observation 5-1: </w:t>
            </w:r>
            <w:r>
              <w:rPr>
                <w:bCs/>
                <w:sz w:val="18"/>
                <w:szCs w:val="18"/>
                <w:lang w:val="en-US"/>
              </w:rPr>
              <w:t>In the current specifications, if a UE was indicated with CP-OFDM (i.e,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hAnsi="Cambria Math" w:eastAsiaTheme="minorEastAsia"/>
                      <w:i/>
                      <w:sz w:val="18"/>
                      <w:szCs w:val="18"/>
                      <w:lang w:val="en-US"/>
                    </w:rPr>
                  </m:ctrlPr>
                </m:sSubPr>
                <m:e>
                  <m:r>
                    <m:rPr>
                      <m:sty m:val="bi"/>
                    </m:rPr>
                    <w:rPr>
                      <w:rFonts w:ascii="Cambria Math" w:hAnsi="Cambria Math" w:eastAsiaTheme="minorEastAsia"/>
                      <w:sz w:val="18"/>
                      <w:szCs w:val="18"/>
                      <w:lang w:val="en-US"/>
                    </w:rPr>
                    <m:t>TO</m:t>
                  </m:r>
                  <m:ctrlPr>
                    <w:rPr>
                      <w:rFonts w:ascii="Cambria Math" w:hAnsi="Cambria Math" w:eastAsiaTheme="minorEastAsia"/>
                      <w:i/>
                      <w:sz w:val="18"/>
                      <w:szCs w:val="18"/>
                      <w:lang w:val="en-US"/>
                    </w:rPr>
                  </m:ctrlPr>
                </m:e>
                <m:sub>
                  <m:r>
                    <m:rPr>
                      <m:sty m:val="bi"/>
                    </m:rPr>
                    <w:rPr>
                      <w:rFonts w:ascii="Cambria Math" w:hAnsi="Cambria Math" w:eastAsiaTheme="minorEastAsia"/>
                      <w:sz w:val="18"/>
                      <w:szCs w:val="18"/>
                      <w:lang w:val="en-US"/>
                    </w:rPr>
                    <m:t>i−</m:t>
                  </m:r>
                  <m:sSub>
                    <m:sSubPr>
                      <m:ctrlPr>
                        <w:rPr>
                          <w:rFonts w:ascii="Cambria Math" w:hAnsi="Cambria Math" w:eastAsiaTheme="minorEastAsia"/>
                          <w:i/>
                          <w:sz w:val="18"/>
                          <w:szCs w:val="18"/>
                          <w:lang w:val="en-US"/>
                        </w:rPr>
                      </m:ctrlPr>
                    </m:sSubPr>
                    <m:e>
                      <m:r>
                        <m:rPr>
                          <m:sty m:val="bi"/>
                        </m:rPr>
                        <w:rPr>
                          <w:rFonts w:ascii="Cambria Math" w:hAnsi="Cambria Math" w:eastAsiaTheme="minorEastAsia"/>
                          <w:sz w:val="18"/>
                          <w:szCs w:val="18"/>
                          <w:lang w:val="en-US"/>
                        </w:rPr>
                        <m:t>i</m:t>
                      </m:r>
                      <m:ctrlPr>
                        <w:rPr>
                          <w:rFonts w:ascii="Cambria Math" w:hAnsi="Cambria Math" w:eastAsiaTheme="minorEastAsia"/>
                          <w:i/>
                          <w:sz w:val="18"/>
                          <w:szCs w:val="18"/>
                          <w:lang w:val="en-US"/>
                        </w:rPr>
                      </m:ctrlPr>
                    </m:e>
                    <m:sub>
                      <m:r>
                        <m:rPr>
                          <m:sty m:val="bi"/>
                        </m:rPr>
                        <w:rPr>
                          <w:rFonts w:ascii="Cambria Math" w:hAnsi="Cambria Math" w:eastAsiaTheme="minorEastAsia"/>
                          <w:sz w:val="18"/>
                          <w:szCs w:val="18"/>
                          <w:lang w:val="en-US"/>
                        </w:rPr>
                        <m:t>0</m:t>
                      </m:r>
                      <m:ctrlPr>
                        <w:rPr>
                          <w:rFonts w:ascii="Cambria Math" w:hAnsi="Cambria Math" w:eastAsiaTheme="minorEastAsia"/>
                          <w:i/>
                          <w:sz w:val="18"/>
                          <w:szCs w:val="18"/>
                          <w:lang w:val="en-US"/>
                        </w:rPr>
                      </m:ctrlPr>
                    </m:sub>
                  </m:sSub>
                  <m:ctrlPr>
                    <w:rPr>
                      <w:rFonts w:ascii="Cambria Math" w:hAnsi="Cambria Math" w:eastAsiaTheme="minorEastAsia"/>
                      <w:i/>
                      <w:sz w:val="18"/>
                      <w:szCs w:val="18"/>
                      <w:lang w:val="en-US"/>
                    </w:rPr>
                  </m:ctrlPr>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ctrlPr>
                    <w:rPr>
                      <w:rFonts w:ascii="Cambria Math" w:hAnsi="Cambria Math"/>
                      <w:i/>
                      <w:sz w:val="18"/>
                      <w:szCs w:val="18"/>
                      <w:lang w:val="en-US"/>
                    </w:rPr>
                  </m:ctrlPr>
                </m:e>
                <m:sub>
                  <m:r>
                    <m:rPr>
                      <m:sty m:val="bi"/>
                    </m:rPr>
                    <w:rPr>
                      <w:rFonts w:ascii="Cambria Math" w:hAnsi="Cambria Math"/>
                      <w:sz w:val="18"/>
                      <w:szCs w:val="18"/>
                      <w:lang w:val="en-US"/>
                    </w:rPr>
                    <m:t>i</m:t>
                  </m:r>
                  <m:ctrlPr>
                    <w:rPr>
                      <w:rFonts w:ascii="Cambria Math" w:hAnsi="Cambria Math"/>
                      <w:i/>
                      <w:sz w:val="18"/>
                      <w:szCs w:val="18"/>
                      <w:lang w:val="en-US"/>
                    </w:rPr>
                  </m:ctrlP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ctrlPr>
                    <w:rPr>
                      <w:rFonts w:ascii="Cambria Math" w:hAnsi="Cambria Math"/>
                      <w:bCs/>
                      <w:sz w:val="18"/>
                      <w:szCs w:val="18"/>
                      <w:lang w:val="en-US"/>
                    </w:rPr>
                  </m:ctrlPr>
                </m:e>
                <m:sub>
                  <m:r>
                    <m:rPr>
                      <m:sty m:val="bi"/>
                    </m:rPr>
                    <w:rPr>
                      <w:rFonts w:ascii="Cambria Math" w:hAnsi="Cambria Math"/>
                      <w:sz w:val="18"/>
                      <w:szCs w:val="18"/>
                      <w:lang w:val="en-US"/>
                    </w:rPr>
                    <m:t>i</m:t>
                  </m:r>
                  <m:ctrlPr>
                    <w:rPr>
                      <w:rFonts w:ascii="Cambria Math" w:hAnsi="Cambria Math"/>
                      <w:bCs/>
                      <w:sz w:val="18"/>
                      <w:szCs w:val="18"/>
                      <w:lang w:val="en-US"/>
                    </w:rPr>
                  </m:ctrlPr>
                </m:sub>
              </m:sSub>
            </m:oMath>
            <w:r>
              <w:rPr>
                <w:bCs/>
                <w:sz w:val="18"/>
                <w:szCs w:val="18"/>
                <w:lang w:val="en-US"/>
              </w:rPr>
              <w:t>.</w:t>
            </w:r>
            <w:bookmarkEnd w:id="80"/>
            <w:bookmarkEnd w:id="81"/>
          </w:p>
          <w:p w14:paraId="56BB0E50">
            <w:pPr>
              <w:overflowPunct w:val="0"/>
              <w:autoSpaceDE w:val="0"/>
              <w:autoSpaceDN w:val="0"/>
              <w:adjustRightInd w:val="0"/>
              <w:spacing w:after="180"/>
              <w:textAlignment w:val="baseline"/>
              <w:rPr>
                <w:sz w:val="18"/>
                <w:szCs w:val="18"/>
                <w:lang w:val="en-US"/>
              </w:rPr>
            </w:pPr>
          </w:p>
          <w:p w14:paraId="03E45990">
            <w:pPr>
              <w:overflowPunct w:val="0"/>
              <w:autoSpaceDE w:val="0"/>
              <w:autoSpaceDN w:val="0"/>
              <w:adjustRightInd w:val="0"/>
              <w:spacing w:before="120" w:after="120"/>
              <w:jc w:val="both"/>
              <w:textAlignment w:val="baseline"/>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sz w:val="18"/>
                      <w:szCs w:val="18"/>
                      <w:lang w:val="en-US"/>
                    </w:rPr>
                    <m:t>i,l</m:t>
                  </m:r>
                  <m:ctrlPr>
                    <w:rPr>
                      <w:rFonts w:ascii="Cambria Math" w:hAnsi="Cambria Math"/>
                      <w:sz w:val="18"/>
                      <w:szCs w:val="18"/>
                      <w:lang w:val="en-US"/>
                    </w:rPr>
                  </m:ctrlPr>
                </m:e>
              </m:d>
              <m:r>
                <m:rPr/>
                <w:rPr>
                  <w:rFonts w:ascii="Cambria Math" w:hAnsi="Cambria Math"/>
                  <w:sz w:val="18"/>
                  <w:szCs w:val="18"/>
                  <w:lang w:val="en-US" w:eastAsia="zh-CN"/>
                </w:rPr>
                <m:t>=</m:t>
              </m:r>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r>
                    <m:rPr/>
                    <w:rPr>
                      <w:rFonts w:ascii="Cambria Math"/>
                      <w:sz w:val="18"/>
                      <w:szCs w:val="18"/>
                      <w:lang w:val="en-US"/>
                    </w:rPr>
                    <m:t>,l</m:t>
                  </m:r>
                  <m:ctrlPr>
                    <w:rPr>
                      <w:rFonts w:ascii="Cambria Math" w:hAnsi="Cambria Math"/>
                      <w:sz w:val="18"/>
                      <w:szCs w:val="18"/>
                      <w:lang w:val="en-US"/>
                    </w:rPr>
                  </m:ctrlPr>
                </m:e>
              </m:d>
              <m:r>
                <m:rPr/>
                <w:rPr>
                  <w:rFonts w:ascii="Cambria Math" w:hAnsi="Cambria Math"/>
                  <w:sz w:val="18"/>
                  <w:szCs w:val="18"/>
                  <w:lang w:val="en-US"/>
                </w:rPr>
                <m:t xml:space="preserve"> </m:t>
              </m:r>
            </m:oMath>
            <w:r>
              <w:rPr>
                <w:sz w:val="18"/>
                <w:szCs w:val="18"/>
                <w:lang w:val="en-US" w:eastAsia="zh-CN"/>
              </w:rPr>
              <w:t xml:space="preserve">only if it reaches maximum power at </w:t>
            </w:r>
            <m:oMath>
              <m:r>
                <m:rPr/>
                <w:rPr>
                  <w:rFonts w:ascii="Cambria Math" w:hAnsi="Cambria Math"/>
                  <w:sz w:val="18"/>
                  <w:szCs w:val="18"/>
                  <w:lang w:val="en-US" w:eastAsia="zh-CN"/>
                </w:rPr>
                <m:t>T</m:t>
              </m:r>
              <m:sSub>
                <m:sSubPr>
                  <m:ctrlPr>
                    <w:rPr>
                      <w:rFonts w:ascii="Cambria Math" w:hAnsi="Cambria Math"/>
                      <w:i/>
                      <w:sz w:val="18"/>
                      <w:szCs w:val="18"/>
                      <w:lang w:val="en-US" w:eastAsia="zh-CN"/>
                    </w:rPr>
                  </m:ctrlPr>
                </m:sSubPr>
                <m:e>
                  <m:r>
                    <m:rPr/>
                    <w:rPr>
                      <w:rFonts w:ascii="Cambria Math" w:hAnsi="Cambria Math"/>
                      <w:sz w:val="18"/>
                      <w:szCs w:val="18"/>
                      <w:lang w:val="en-US" w:eastAsia="zh-CN"/>
                    </w:rPr>
                    <m:t>O</m:t>
                  </m:r>
                  <m:ctrlPr>
                    <w:rPr>
                      <w:rFonts w:ascii="Cambria Math" w:hAnsi="Cambria Math"/>
                      <w:i/>
                      <w:sz w:val="18"/>
                      <w:szCs w:val="18"/>
                      <w:lang w:val="en-US" w:eastAsia="zh-CN"/>
                    </w:rPr>
                  </m:ctrlPr>
                </m:e>
                <m:sub>
                  <m:r>
                    <m:rPr/>
                    <w:rPr>
                      <w:rFonts w:ascii="Cambria Math" w:hAnsi="Cambria Math"/>
                      <w:sz w:val="18"/>
                      <w:szCs w:val="18"/>
                      <w:lang w:val="en-US" w:eastAsia="zh-CN"/>
                    </w:rPr>
                    <m:t>i</m:t>
                  </m:r>
                  <m:ctrlPr>
                    <w:rPr>
                      <w:rFonts w:ascii="Cambria Math" w:hAnsi="Cambria Math"/>
                      <w:i/>
                      <w:sz w:val="18"/>
                      <w:szCs w:val="18"/>
                      <w:lang w:val="en-US" w:eastAsia="zh-CN"/>
                    </w:rPr>
                  </m:ctrlP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sz w:val="18"/>
                      <w:szCs w:val="18"/>
                      <w:lang w:val="en-US"/>
                    </w:rPr>
                    <m:t>i,l</m:t>
                  </m:r>
                  <m:ctrlPr>
                    <w:rPr>
                      <w:rFonts w:ascii="Cambria Math" w:hAnsi="Cambria Math"/>
                      <w:sz w:val="18"/>
                      <w:szCs w:val="18"/>
                      <w:lang w:val="en-US"/>
                    </w:rPr>
                  </m:ctrlPr>
                </m:e>
              </m:d>
            </m:oMath>
            <w:r>
              <w:rPr>
                <w:sz w:val="18"/>
                <w:szCs w:val="18"/>
                <w:lang w:val="en-US" w:eastAsia="zh-CN"/>
              </w:rPr>
              <w:t xml:space="preserve">, i.e., </w:t>
            </w:r>
            <m:oMath>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sz w:val="18"/>
                      <w:szCs w:val="18"/>
                      <w:lang w:val="en-US"/>
                    </w:rPr>
                    <m:t>i,l</m:t>
                  </m:r>
                  <m:ctrlPr>
                    <w:rPr>
                      <w:rFonts w:ascii="Cambria Math" w:hAnsi="Cambria Math"/>
                      <w:sz w:val="18"/>
                      <w:szCs w:val="18"/>
                      <w:lang w:val="en-US"/>
                    </w:rPr>
                  </m:ctrlPr>
                </m:e>
              </m:d>
              <m:r>
                <m:rPr/>
                <w:rPr>
                  <w:rFonts w:ascii="Cambria Math"/>
                  <w:sz w:val="18"/>
                  <w:szCs w:val="18"/>
                  <w:lang w:val="en-US"/>
                </w:rPr>
                <m:t>=</m:t>
              </m:r>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r>
                    <m:rPr/>
                    <w:rPr>
                      <w:rFonts w:ascii="Cambria Math"/>
                      <w:sz w:val="18"/>
                      <w:szCs w:val="18"/>
                      <w:lang w:val="en-US"/>
                    </w:rPr>
                    <m:t>,l</m:t>
                  </m:r>
                  <m:ctrlPr>
                    <w:rPr>
                      <w:rFonts w:ascii="Cambria Math" w:hAnsi="Cambria Math"/>
                      <w:sz w:val="18"/>
                      <w:szCs w:val="18"/>
                      <w:lang w:val="en-US"/>
                    </w:rPr>
                  </m:ctrlPr>
                </m:e>
              </m:d>
              <m:r>
                <m:rPr/>
                <w:rPr>
                  <w:rFonts w:ascii="Cambria Math"/>
                  <w:sz w:val="18"/>
                  <w:szCs w:val="18"/>
                  <w:lang w:val="en-US"/>
                </w:rPr>
                <m:t>+</m:t>
              </m:r>
              <m:nary>
                <m:naryPr>
                  <m:chr m:val="∑"/>
                  <m:limLoc m:val="undOvr"/>
                  <m:ctrlPr>
                    <w:rPr>
                      <w:rFonts w:ascii="Cambria Math" w:hAnsi="Cambria Math"/>
                      <w:i/>
                      <w:sz w:val="18"/>
                      <w:szCs w:val="18"/>
                      <w:lang w:val="en-US"/>
                    </w:rPr>
                  </m:ctrlPr>
                </m:naryPr>
                <m:sub>
                  <m:r>
                    <m:rPr/>
                    <w:rPr>
                      <w:rFonts w:ascii="Cambria Math" w:hAnsi="Cambria Math"/>
                      <w:sz w:val="18"/>
                      <w:szCs w:val="18"/>
                      <w:lang w:val="en-US"/>
                    </w:rPr>
                    <m:t>m=0</m:t>
                  </m:r>
                  <m:ctrlPr>
                    <w:rPr>
                      <w:rFonts w:ascii="Cambria Math" w:hAnsi="Cambria Math"/>
                      <w:i/>
                      <w:sz w:val="18"/>
                      <w:szCs w:val="18"/>
                      <w:lang w:val="en-US"/>
                    </w:rPr>
                  </m:ctrlPr>
                </m:sub>
                <m:sup>
                  <m:r>
                    <m:rPr>
                      <m:nor/>
                      <m:sty m:val="p"/>
                    </m:rPr>
                    <w:rPr>
                      <w:rFonts w:ascii="Freestyle Script" w:hAnsi="Freestyle Script"/>
                      <w:b w:val="0"/>
                      <w:i w:val="0"/>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m:rPr/>
                            <w:rPr>
                              <w:rFonts w:ascii="Cambria Math" w:hAnsi="Cambria Math"/>
                              <w:sz w:val="18"/>
                              <w:szCs w:val="18"/>
                              <w:lang w:val="en-US"/>
                            </w:rPr>
                            <m:t>D</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ctrlPr>
                        <w:rPr>
                          <w:rFonts w:ascii="Cambria Math" w:hAnsi="Cambria Math" w:cs="Helvetica"/>
                          <w:i/>
                          <w:sz w:val="18"/>
                          <w:szCs w:val="18"/>
                          <w:lang w:val="en-US"/>
                        </w:rPr>
                      </m:ctrlPr>
                    </m:e>
                  </m:d>
                  <m:r>
                    <m:rPr/>
                    <w:rPr>
                      <w:rFonts w:ascii="Cambria Math" w:hAnsi="Cambria Math" w:cs="Helvetica"/>
                      <w:sz w:val="18"/>
                      <w:szCs w:val="18"/>
                      <w:lang w:val="en-US"/>
                    </w:rPr>
                    <m:t>−1</m:t>
                  </m:r>
                  <m:ctrlPr>
                    <w:rPr>
                      <w:rFonts w:ascii="Cambria Math" w:hAnsi="Cambria Math"/>
                      <w:i/>
                      <w:sz w:val="18"/>
                      <w:szCs w:val="18"/>
                      <w:lang w:val="en-US"/>
                    </w:rPr>
                  </m:ctrlPr>
                </m:sup>
                <m:e>
                  <m:sSub>
                    <m:sSubPr>
                      <m:ctrlPr>
                        <w:rPr>
                          <w:rFonts w:ascii="Cambria Math" w:hAnsi="Cambria Math"/>
                          <w:sz w:val="18"/>
                          <w:szCs w:val="18"/>
                          <w:lang w:val="en-US"/>
                        </w:rPr>
                      </m:ctrlPr>
                    </m:sSubPr>
                    <m:e>
                      <m:r>
                        <m:rPr/>
                        <w:rPr>
                          <w:rFonts w:ascii="Cambria Math" w:hAnsi="Cambria Math"/>
                          <w:sz w:val="18"/>
                          <w:szCs w:val="18"/>
                          <w:lang w:val="en-US"/>
                        </w:rPr>
                        <m:t>δ</m:t>
                      </m:r>
                      <m:ctrlPr>
                        <w:rPr>
                          <w:rFonts w:ascii="Cambria Math" w:hAnsi="Cambria Math"/>
                          <w:sz w:val="18"/>
                          <w:szCs w:val="18"/>
                          <w:lang w:val="en-US"/>
                        </w:rPr>
                      </m:ctrlPr>
                    </m:e>
                    <m:sub>
                      <m:r>
                        <m:rPr>
                          <m:sty m:val="p"/>
                        </m:rPr>
                        <w:rPr>
                          <w:rFonts w:ascii="Cambria Math"/>
                          <w:sz w:val="18"/>
                          <w:szCs w:val="18"/>
                          <w:lang w:val="en-US"/>
                        </w:rPr>
                        <m:t>PUSCH</m:t>
                      </m:r>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r>
                    <m:rPr/>
                    <w:rPr>
                      <w:rFonts w:ascii="Cambria Math" w:hAnsi="Cambria Math"/>
                      <w:sz w:val="18"/>
                      <w:szCs w:val="18"/>
                      <w:lang w:val="en-US"/>
                    </w:rPr>
                    <m:t>(m,l)</m:t>
                  </m:r>
                  <m:ctrlPr>
                    <w:rPr>
                      <w:rFonts w:ascii="Cambria Math" w:hAnsi="Cambria Math"/>
                      <w:i/>
                      <w:sz w:val="18"/>
                      <w:szCs w:val="18"/>
                      <w:lang w:val="en-US"/>
                    </w:rPr>
                  </m:ctrlPr>
                </m:e>
              </m:nary>
            </m:oMath>
            <w:r>
              <w:rPr>
                <w:sz w:val="18"/>
                <w:szCs w:val="18"/>
                <w:lang w:val="en-US"/>
              </w:rPr>
              <w:t xml:space="preserve">. Note that since the issue only happens when DFT-s-OFDM is indicated at </w:t>
            </w:r>
            <m:oMath>
              <m:r>
                <m:rPr/>
                <w:rPr>
                  <w:rFonts w:ascii="Cambria Math" w:hAnsi="Cambria Math"/>
                  <w:sz w:val="18"/>
                  <w:szCs w:val="18"/>
                  <w:lang w:val="en-US" w:eastAsia="zh-CN"/>
                </w:rPr>
                <m:t>T</m:t>
              </m:r>
              <m:sSub>
                <m:sSubPr>
                  <m:ctrlPr>
                    <w:rPr>
                      <w:rFonts w:ascii="Cambria Math" w:hAnsi="Cambria Math"/>
                      <w:i/>
                      <w:sz w:val="18"/>
                      <w:szCs w:val="18"/>
                      <w:lang w:val="en-US" w:eastAsia="zh-CN"/>
                    </w:rPr>
                  </m:ctrlPr>
                </m:sSubPr>
                <m:e>
                  <m:r>
                    <m:rPr/>
                    <w:rPr>
                      <w:rFonts w:ascii="Cambria Math" w:hAnsi="Cambria Math"/>
                      <w:sz w:val="18"/>
                      <w:szCs w:val="18"/>
                      <w:lang w:val="en-US" w:eastAsia="zh-CN"/>
                    </w:rPr>
                    <m:t>O</m:t>
                  </m:r>
                  <m:ctrlPr>
                    <w:rPr>
                      <w:rFonts w:ascii="Cambria Math" w:hAnsi="Cambria Math"/>
                      <w:i/>
                      <w:sz w:val="18"/>
                      <w:szCs w:val="18"/>
                      <w:lang w:val="en-US" w:eastAsia="zh-CN"/>
                    </w:rPr>
                  </m:ctrlPr>
                </m:e>
                <m:sub>
                  <m:r>
                    <m:rPr/>
                    <w:rPr>
                      <w:rFonts w:ascii="Cambria Math" w:hAnsi="Cambria Math"/>
                      <w:sz w:val="18"/>
                      <w:szCs w:val="18"/>
                      <w:lang w:val="en-US" w:eastAsia="zh-CN"/>
                    </w:rPr>
                    <m:t>i</m:t>
                  </m:r>
                  <m:ctrlPr>
                    <w:rPr>
                      <w:rFonts w:ascii="Cambria Math" w:hAnsi="Cambria Math"/>
                      <w:i/>
                      <w:sz w:val="18"/>
                      <w:szCs w:val="18"/>
                      <w:lang w:val="en-US" w:eastAsia="zh-CN"/>
                    </w:rPr>
                  </m:ctrlPr>
                </m:sub>
              </m:sSub>
            </m:oMath>
            <w:r>
              <w:rPr>
                <w:sz w:val="18"/>
                <w:szCs w:val="18"/>
                <w:lang w:val="en-US"/>
              </w:rPr>
              <w:t xml:space="preserve">, the above constraint can be limited to the case when “transform precoder indicator field” is set to 0 at </w:t>
            </w:r>
            <m:oMath>
              <m:r>
                <m:rPr/>
                <w:rPr>
                  <w:rFonts w:ascii="Cambria Math" w:hAnsi="Cambria Math"/>
                  <w:sz w:val="18"/>
                  <w:szCs w:val="18"/>
                  <w:lang w:val="en-US" w:eastAsia="zh-CN"/>
                </w:rPr>
                <m:t>T</m:t>
              </m:r>
              <m:sSub>
                <m:sSubPr>
                  <m:ctrlPr>
                    <w:rPr>
                      <w:rFonts w:ascii="Cambria Math" w:hAnsi="Cambria Math"/>
                      <w:i/>
                      <w:sz w:val="18"/>
                      <w:szCs w:val="18"/>
                      <w:lang w:val="en-US" w:eastAsia="zh-CN"/>
                    </w:rPr>
                  </m:ctrlPr>
                </m:sSubPr>
                <m:e>
                  <m:r>
                    <m:rPr/>
                    <w:rPr>
                      <w:rFonts w:ascii="Cambria Math" w:hAnsi="Cambria Math"/>
                      <w:sz w:val="18"/>
                      <w:szCs w:val="18"/>
                      <w:lang w:val="en-US" w:eastAsia="zh-CN"/>
                    </w:rPr>
                    <m:t>O</m:t>
                  </m:r>
                  <m:ctrlPr>
                    <w:rPr>
                      <w:rFonts w:ascii="Cambria Math" w:hAnsi="Cambria Math"/>
                      <w:i/>
                      <w:sz w:val="18"/>
                      <w:szCs w:val="18"/>
                      <w:lang w:val="en-US" w:eastAsia="zh-CN"/>
                    </w:rPr>
                  </m:ctrlPr>
                </m:e>
                <m:sub>
                  <m:r>
                    <m:rPr/>
                    <w:rPr>
                      <w:rFonts w:ascii="Cambria Math" w:hAnsi="Cambria Math"/>
                      <w:sz w:val="18"/>
                      <w:szCs w:val="18"/>
                      <w:lang w:val="en-US" w:eastAsia="zh-CN"/>
                    </w:rPr>
                    <m:t>i</m:t>
                  </m:r>
                  <m:ctrlPr>
                    <w:rPr>
                      <w:rFonts w:ascii="Cambria Math" w:hAnsi="Cambria Math"/>
                      <w:i/>
                      <w:sz w:val="18"/>
                      <w:szCs w:val="18"/>
                      <w:lang w:val="en-US" w:eastAsia="zh-CN"/>
                    </w:rPr>
                  </m:ctrlPr>
                </m:sub>
              </m:sSub>
            </m:oMath>
            <w:r>
              <w:rPr>
                <w:sz w:val="18"/>
                <w:szCs w:val="18"/>
                <w:lang w:val="en-US" w:eastAsia="zh-CN"/>
              </w:rPr>
              <w:t xml:space="preserve"> only, to minimize the specification impact.</w:t>
            </w:r>
          </w:p>
          <w:p w14:paraId="476ACE04">
            <w:pPr>
              <w:overflowPunct w:val="0"/>
              <w:autoSpaceDE w:val="0"/>
              <w:autoSpaceDN w:val="0"/>
              <w:adjustRightInd w:val="0"/>
              <w:spacing w:after="180"/>
              <w:jc w:val="both"/>
              <w:textAlignment w:val="baseline"/>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ctrlPr>
                    <w:rPr>
                      <w:rFonts w:ascii="Cambria Math" w:hAnsi="Cambria Math"/>
                      <w:b/>
                      <w:bCs/>
                      <w:i/>
                      <w:sz w:val="18"/>
                      <w:szCs w:val="18"/>
                      <w:lang w:val="en-US" w:eastAsia="zh-CN"/>
                    </w:rPr>
                  </m:ctrlPr>
                </m:e>
                <m:sub>
                  <m:r>
                    <m:rPr>
                      <m:sty m:val="bi"/>
                    </m:rPr>
                    <w:rPr>
                      <w:rFonts w:ascii="Cambria Math" w:hAnsi="Cambria Math"/>
                      <w:sz w:val="18"/>
                      <w:szCs w:val="18"/>
                      <w:lang w:val="en-US" w:eastAsia="zh-CN"/>
                    </w:rPr>
                    <m:t>i</m:t>
                  </m:r>
                  <m:ctrlPr>
                    <w:rPr>
                      <w:rFonts w:ascii="Cambria Math" w:hAnsi="Cambria Math"/>
                      <w:b/>
                      <w:bCs/>
                      <w:i/>
                      <w:sz w:val="18"/>
                      <w:szCs w:val="18"/>
                      <w:lang w:val="en-US" w:eastAsia="zh-CN"/>
                    </w:rPr>
                  </m:ctrlP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ctrlPr>
                    <w:rPr>
                      <w:rFonts w:ascii="Cambria Math" w:hAnsi="Cambria Math"/>
                      <w:b/>
                      <w:bCs/>
                      <w:sz w:val="18"/>
                      <w:szCs w:val="18"/>
                      <w:lang w:val="en-US"/>
                    </w:rPr>
                  </m:ctrlP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ctrlPr>
                    <w:rPr>
                      <w:rFonts w:ascii="Cambria Math" w:hAnsi="Cambria Math"/>
                      <w:b/>
                      <w:bCs/>
                      <w:sz w:val="18"/>
                      <w:szCs w:val="18"/>
                      <w:lang w:val="en-US"/>
                    </w:rPr>
                  </m:ctrlPr>
                </m:sub>
              </m:sSub>
              <m:d>
                <m:dPr>
                  <m:ctrlPr>
                    <w:rPr>
                      <w:rFonts w:ascii="Cambria Math" w:hAnsi="Cambria Math"/>
                      <w:b/>
                      <w:bCs/>
                      <w:sz w:val="18"/>
                      <w:szCs w:val="18"/>
                      <w:lang w:val="en-US"/>
                    </w:rPr>
                  </m:ctrlPr>
                </m:dPr>
                <m:e>
                  <m:r>
                    <m:rPr>
                      <m:sty m:val="bi"/>
                    </m:rPr>
                    <w:rPr>
                      <w:rFonts w:ascii="Cambria Math"/>
                      <w:sz w:val="18"/>
                      <w:szCs w:val="18"/>
                      <w:lang w:val="en-US"/>
                    </w:rPr>
                    <m:t>i,l</m:t>
                  </m:r>
                  <m:ctrlPr>
                    <w:rPr>
                      <w:rFonts w:ascii="Cambria Math" w:hAnsi="Cambria Math"/>
                      <w:b/>
                      <w:bCs/>
                      <w:sz w:val="18"/>
                      <w:szCs w:val="18"/>
                      <w:lang w:val="en-US"/>
                    </w:rPr>
                  </m:ctrlP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ctrlPr>
                    <w:rPr>
                      <w:rFonts w:ascii="Cambria Math" w:hAnsi="Cambria Math"/>
                      <w:b/>
                      <w:bCs/>
                      <w:sz w:val="18"/>
                      <w:szCs w:val="18"/>
                      <w:lang w:val="en-US"/>
                    </w:rPr>
                  </m:ctrlP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ctrlPr>
                    <w:rPr>
                      <w:rFonts w:ascii="Cambria Math" w:hAnsi="Cambria Math"/>
                      <w:b/>
                      <w:bCs/>
                      <w:sz w:val="18"/>
                      <w:szCs w:val="18"/>
                      <w:lang w:val="en-US"/>
                    </w:rPr>
                  </m:ctrlP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ctrlPr>
                        <w:rPr>
                          <w:rFonts w:ascii="Cambria Math" w:hAnsi="Cambria Math"/>
                          <w:b/>
                          <w:bCs/>
                          <w:i/>
                          <w:sz w:val="18"/>
                          <w:szCs w:val="18"/>
                          <w:lang w:val="en-US"/>
                        </w:rPr>
                      </m:ctrlPr>
                    </m:e>
                    <m:sub>
                      <m:r>
                        <m:rPr>
                          <m:sty m:val="bi"/>
                        </m:rPr>
                        <w:rPr>
                          <w:rFonts w:ascii="Cambria Math" w:hAnsi="Cambria Math"/>
                          <w:sz w:val="18"/>
                          <w:szCs w:val="18"/>
                          <w:lang w:val="en-US"/>
                        </w:rPr>
                        <m:t>0</m:t>
                      </m:r>
                      <m:ctrlPr>
                        <w:rPr>
                          <w:rFonts w:ascii="Cambria Math" w:hAnsi="Cambria Math"/>
                          <w:b/>
                          <w:bCs/>
                          <w:i/>
                          <w:sz w:val="18"/>
                          <w:szCs w:val="18"/>
                          <w:lang w:val="en-US"/>
                        </w:rPr>
                      </m:ctrlPr>
                    </m:sub>
                  </m:sSub>
                  <m:r>
                    <m:rPr>
                      <m:sty m:val="bi"/>
                    </m:rPr>
                    <w:rPr>
                      <w:rFonts w:ascii="Cambria Math"/>
                      <w:sz w:val="18"/>
                      <w:szCs w:val="18"/>
                      <w:lang w:val="en-US"/>
                    </w:rPr>
                    <m:t>,l</m:t>
                  </m:r>
                  <m:ctrlPr>
                    <w:rPr>
                      <w:rFonts w:ascii="Cambria Math" w:hAnsi="Cambria Math"/>
                      <w:b/>
                      <w:bCs/>
                      <w:sz w:val="18"/>
                      <w:szCs w:val="18"/>
                      <w:lang w:val="en-US"/>
                    </w:rPr>
                  </m:ctrlP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ctrlPr>
                    <w:rPr>
                      <w:rFonts w:ascii="Cambria Math" w:hAnsi="Cambria Math"/>
                      <w:b/>
                      <w:bCs/>
                      <w:i/>
                      <w:sz w:val="18"/>
                      <w:szCs w:val="18"/>
                      <w:lang w:val="en-US" w:eastAsia="zh-CN"/>
                    </w:rPr>
                  </m:ctrlPr>
                </m:e>
                <m:sub>
                  <m:r>
                    <m:rPr>
                      <m:sty m:val="bi"/>
                    </m:rPr>
                    <w:rPr>
                      <w:rFonts w:ascii="Cambria Math" w:hAnsi="Cambria Math"/>
                      <w:sz w:val="18"/>
                      <w:szCs w:val="18"/>
                      <w:lang w:val="en-US" w:eastAsia="zh-CN"/>
                    </w:rPr>
                    <m:t>i</m:t>
                  </m:r>
                  <m:ctrlPr>
                    <w:rPr>
                      <w:rFonts w:ascii="Cambria Math" w:hAnsi="Cambria Math"/>
                      <w:b/>
                      <w:bCs/>
                      <w:i/>
                      <w:sz w:val="18"/>
                      <w:szCs w:val="18"/>
                      <w:lang w:val="en-US" w:eastAsia="zh-CN"/>
                    </w:rPr>
                  </m:ctrlP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ctrlPr>
                    <w:rPr>
                      <w:rFonts w:ascii="Cambria Math" w:hAnsi="Cambria Math"/>
                      <w:b/>
                      <w:bCs/>
                      <w:sz w:val="18"/>
                      <w:szCs w:val="18"/>
                      <w:lang w:val="en-US"/>
                    </w:rPr>
                  </m:ctrlP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ctrlPr>
                    <w:rPr>
                      <w:rFonts w:ascii="Cambria Math" w:hAnsi="Cambria Math"/>
                      <w:b/>
                      <w:bCs/>
                      <w:sz w:val="18"/>
                      <w:szCs w:val="18"/>
                      <w:lang w:val="en-US"/>
                    </w:rPr>
                  </m:ctrlPr>
                </m:sub>
              </m:sSub>
              <m:d>
                <m:dPr>
                  <m:ctrlPr>
                    <w:rPr>
                      <w:rFonts w:ascii="Cambria Math" w:hAnsi="Cambria Math"/>
                      <w:b/>
                      <w:bCs/>
                      <w:sz w:val="18"/>
                      <w:szCs w:val="18"/>
                      <w:lang w:val="en-US"/>
                    </w:rPr>
                  </m:ctrlPr>
                </m:dPr>
                <m:e>
                  <m:r>
                    <m:rPr>
                      <m:sty m:val="bi"/>
                    </m:rPr>
                    <w:rPr>
                      <w:rFonts w:ascii="Cambria Math"/>
                      <w:sz w:val="18"/>
                      <w:szCs w:val="18"/>
                      <w:lang w:val="en-US"/>
                    </w:rPr>
                    <m:t>i,l</m:t>
                  </m:r>
                  <m:ctrlPr>
                    <w:rPr>
                      <w:rFonts w:ascii="Cambria Math" w:hAnsi="Cambria Math"/>
                      <w:b/>
                      <w:bCs/>
                      <w:sz w:val="18"/>
                      <w:szCs w:val="18"/>
                      <w:lang w:val="en-US"/>
                    </w:rPr>
                  </m:ctrlP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ctrlPr>
                    <w:rPr>
                      <w:rFonts w:ascii="Cambria Math" w:hAnsi="Cambria Math"/>
                      <w:b/>
                      <w:bCs/>
                      <w:i/>
                      <w:sz w:val="18"/>
                      <w:szCs w:val="18"/>
                      <w:lang w:val="en-US" w:eastAsia="zh-CN"/>
                    </w:rPr>
                  </m:ctrlPr>
                </m:e>
                <m:sub>
                  <m:r>
                    <m:rPr>
                      <m:sty m:val="bi"/>
                    </m:rPr>
                    <w:rPr>
                      <w:rFonts w:ascii="Cambria Math" w:hAnsi="Cambria Math"/>
                      <w:sz w:val="18"/>
                      <w:szCs w:val="18"/>
                      <w:lang w:val="en-US" w:eastAsia="zh-CN"/>
                    </w:rPr>
                    <m:t>i</m:t>
                  </m:r>
                  <m:ctrlPr>
                    <w:rPr>
                      <w:rFonts w:ascii="Cambria Math" w:hAnsi="Cambria Math"/>
                      <w:b/>
                      <w:bCs/>
                      <w:i/>
                      <w:sz w:val="18"/>
                      <w:szCs w:val="18"/>
                      <w:lang w:val="en-US" w:eastAsia="zh-CN"/>
                    </w:rPr>
                  </m:ctrlPr>
                </m:sub>
              </m:sSub>
            </m:oMath>
            <w:r>
              <w:rPr>
                <w:b/>
                <w:bCs/>
                <w:sz w:val="18"/>
                <w:szCs w:val="18"/>
                <w:lang w:val="en-US"/>
              </w:rPr>
              <w:t>.</w:t>
            </w:r>
          </w:p>
          <w:p w14:paraId="0D6F5D9C">
            <w:pPr>
              <w:overflowPunct w:val="0"/>
              <w:autoSpaceDE w:val="0"/>
              <w:autoSpaceDN w:val="0"/>
              <w:adjustRightInd w:val="0"/>
              <w:spacing w:before="120" w:after="120"/>
              <w:jc w:val="both"/>
              <w:textAlignment w:val="baseline"/>
              <w:rPr>
                <w:rFonts w:ascii="Arial" w:hAnsi="Arial" w:eastAsia="Calibri" w:cs="Arial"/>
                <w:b/>
                <w:bCs/>
                <w:sz w:val="20"/>
                <w:szCs w:val="22"/>
                <w:lang w:val="en-US"/>
              </w:rPr>
            </w:pPr>
          </w:p>
        </w:tc>
      </w:tr>
    </w:tbl>
    <w:p w14:paraId="455CE793">
      <w:pPr>
        <w:rPr>
          <w:b/>
        </w:rPr>
      </w:pPr>
    </w:p>
    <w:p w14:paraId="712183BE">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14:paraId="626355BC">
      <w:pPr>
        <w:rPr>
          <w:rFonts w:ascii="Arial" w:hAnsi="Arial" w:eastAsia="MS Mincho"/>
          <w:sz w:val="32"/>
          <w:szCs w:val="32"/>
        </w:rPr>
      </w:pPr>
    </w:p>
    <w:p w14:paraId="04E15BC5">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20</w:t>
      </w:r>
    </w:p>
    <w:p w14:paraId="701A965E">
      <w:pPr>
        <w:pStyle w:val="108"/>
        <w:numPr>
          <w:ilvl w:val="0"/>
          <w:numId w:val="20"/>
        </w:numPr>
        <w:ind w:leftChars="0"/>
        <w:jc w:val="both"/>
        <w:rPr>
          <w:b/>
        </w:rPr>
      </w:pPr>
      <w:r>
        <w:rPr>
          <w:rFonts w:hint="eastAsia"/>
          <w:b/>
        </w:rPr>
        <w:t>Support the following transmission power determination.</w:t>
      </w:r>
    </w:p>
    <w:p w14:paraId="63D9B5CE">
      <w:pPr>
        <w:pStyle w:val="108"/>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ctrlPr>
              <w:rPr>
                <w:rFonts w:ascii="Cambria Math" w:hAnsi="Cambria Math"/>
                <w:b/>
                <w:bCs/>
                <w:i/>
                <w:lang w:val="en-US" w:eastAsia="zh-CN"/>
              </w:rPr>
            </m:ctrlPr>
          </m:e>
          <m:sub>
            <m:r>
              <m:rPr>
                <m:sty m:val="bi"/>
              </m:rPr>
              <w:rPr>
                <w:rFonts w:ascii="Cambria Math" w:hAnsi="Cambria Math"/>
                <w:lang w:val="en-US" w:eastAsia="zh-CN"/>
              </w:rPr>
              <m:t>i</m:t>
            </m:r>
            <m:ctrlPr>
              <w:rPr>
                <w:rFonts w:ascii="Cambria Math" w:hAnsi="Cambria Math"/>
                <w:b/>
                <w:bCs/>
                <w:i/>
                <w:lang w:val="en-US" w:eastAsia="zh-CN"/>
              </w:rPr>
            </m:ctrlP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ctrlPr>
              <w:rPr>
                <w:rFonts w:ascii="Cambria Math" w:hAnsi="Cambria Math"/>
                <w:b/>
                <w:bCs/>
                <w:lang w:val="en-US"/>
              </w:rPr>
            </m:ctrlP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ctrlPr>
              <w:rPr>
                <w:rFonts w:ascii="Cambria Math" w:hAnsi="Cambria Math"/>
                <w:b/>
                <w:bCs/>
                <w:lang w:val="en-US"/>
              </w:rPr>
            </m:ctrlPr>
          </m:sub>
        </m:sSub>
        <m:d>
          <m:dPr>
            <m:ctrlPr>
              <w:rPr>
                <w:rFonts w:ascii="Cambria Math" w:hAnsi="Cambria Math"/>
                <w:b/>
                <w:bCs/>
                <w:lang w:val="en-US"/>
              </w:rPr>
            </m:ctrlPr>
          </m:dPr>
          <m:e>
            <m:r>
              <m:rPr>
                <m:sty m:val="bi"/>
              </m:rPr>
              <w:rPr>
                <w:rFonts w:ascii="Cambria Math"/>
                <w:lang w:val="en-US"/>
              </w:rPr>
              <m:t>i,l</m:t>
            </m:r>
            <m:ctrlPr>
              <w:rPr>
                <w:rFonts w:ascii="Cambria Math" w:hAnsi="Cambria Math"/>
                <w:b/>
                <w:bCs/>
                <w:lang w:val="en-US"/>
              </w:rPr>
            </m:ctrlP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ctrlPr>
              <w:rPr>
                <w:rFonts w:ascii="Cambria Math" w:hAnsi="Cambria Math"/>
                <w:b/>
                <w:bCs/>
                <w:lang w:val="en-US"/>
              </w:rPr>
            </m:ctrlP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ctrlPr>
              <w:rPr>
                <w:rFonts w:ascii="Cambria Math" w:hAnsi="Cambria Math"/>
                <w:b/>
                <w:bCs/>
                <w:lang w:val="en-US"/>
              </w:rPr>
            </m:ctrlP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ctrlPr>
                  <w:rPr>
                    <w:rFonts w:ascii="Cambria Math" w:hAnsi="Cambria Math"/>
                    <w:b/>
                    <w:bCs/>
                    <w:i/>
                    <w:lang w:val="en-US"/>
                  </w:rPr>
                </m:ctrlPr>
              </m:e>
              <m:sub>
                <m:r>
                  <m:rPr>
                    <m:sty m:val="bi"/>
                  </m:rPr>
                  <w:rPr>
                    <w:rFonts w:ascii="Cambria Math" w:hAnsi="Cambria Math"/>
                    <w:lang w:val="en-US"/>
                  </w:rPr>
                  <m:t>0</m:t>
                </m:r>
                <m:ctrlPr>
                  <w:rPr>
                    <w:rFonts w:ascii="Cambria Math" w:hAnsi="Cambria Math"/>
                    <w:b/>
                    <w:bCs/>
                    <w:i/>
                    <w:lang w:val="en-US"/>
                  </w:rPr>
                </m:ctrlPr>
              </m:sub>
            </m:sSub>
            <m:r>
              <m:rPr>
                <m:sty m:val="bi"/>
              </m:rPr>
              <w:rPr>
                <w:rFonts w:ascii="Cambria Math"/>
                <w:lang w:val="en-US"/>
              </w:rPr>
              <m:t>,l</m:t>
            </m:r>
            <m:ctrlPr>
              <w:rPr>
                <w:rFonts w:ascii="Cambria Math" w:hAnsi="Cambria Math"/>
                <w:b/>
                <w:bCs/>
                <w:lang w:val="en-US"/>
              </w:rPr>
            </m:ctrlP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ctrlPr>
              <w:rPr>
                <w:rFonts w:ascii="Cambria Math" w:hAnsi="Cambria Math"/>
                <w:b/>
                <w:bCs/>
                <w:i/>
                <w:lang w:val="en-US" w:eastAsia="zh-CN"/>
              </w:rPr>
            </m:ctrlPr>
          </m:e>
          <m:sub>
            <m:r>
              <m:rPr>
                <m:sty m:val="bi"/>
              </m:rPr>
              <w:rPr>
                <w:rFonts w:ascii="Cambria Math" w:hAnsi="Cambria Math"/>
                <w:lang w:val="en-US" w:eastAsia="zh-CN"/>
              </w:rPr>
              <m:t>i</m:t>
            </m:r>
            <m:ctrlPr>
              <w:rPr>
                <w:rFonts w:ascii="Cambria Math" w:hAnsi="Cambria Math"/>
                <w:b/>
                <w:bCs/>
                <w:i/>
                <w:lang w:val="en-US" w:eastAsia="zh-CN"/>
              </w:rPr>
            </m:ctrlP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ctrlPr>
              <w:rPr>
                <w:rFonts w:ascii="Cambria Math" w:hAnsi="Cambria Math"/>
                <w:b/>
                <w:bCs/>
                <w:lang w:val="en-US"/>
              </w:rPr>
            </m:ctrlP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ctrlPr>
              <w:rPr>
                <w:rFonts w:ascii="Cambria Math" w:hAnsi="Cambria Math"/>
                <w:b/>
                <w:bCs/>
                <w:lang w:val="en-US"/>
              </w:rPr>
            </m:ctrlPr>
          </m:sub>
        </m:sSub>
        <m:d>
          <m:dPr>
            <m:ctrlPr>
              <w:rPr>
                <w:rFonts w:ascii="Cambria Math" w:hAnsi="Cambria Math"/>
                <w:b/>
                <w:bCs/>
                <w:lang w:val="en-US"/>
              </w:rPr>
            </m:ctrlPr>
          </m:dPr>
          <m:e>
            <m:r>
              <m:rPr>
                <m:sty m:val="bi"/>
              </m:rPr>
              <w:rPr>
                <w:rFonts w:ascii="Cambria Math"/>
                <w:lang w:val="en-US"/>
              </w:rPr>
              <m:t>i,l</m:t>
            </m:r>
            <m:ctrlPr>
              <w:rPr>
                <w:rFonts w:ascii="Cambria Math" w:hAnsi="Cambria Math"/>
                <w:b/>
                <w:bCs/>
                <w:lang w:val="en-US"/>
              </w:rPr>
            </m:ctrlP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ctrlPr>
              <w:rPr>
                <w:rFonts w:ascii="Cambria Math" w:hAnsi="Cambria Math"/>
                <w:b/>
                <w:bCs/>
                <w:i/>
                <w:lang w:val="en-US" w:eastAsia="zh-CN"/>
              </w:rPr>
            </m:ctrlPr>
          </m:e>
          <m:sub>
            <m:r>
              <m:rPr>
                <m:sty m:val="bi"/>
              </m:rPr>
              <w:rPr>
                <w:rFonts w:ascii="Cambria Math" w:hAnsi="Cambria Math"/>
                <w:lang w:val="en-US" w:eastAsia="zh-CN"/>
              </w:rPr>
              <m:t>i</m:t>
            </m:r>
            <m:ctrlPr>
              <w:rPr>
                <w:rFonts w:ascii="Cambria Math" w:hAnsi="Cambria Math"/>
                <w:b/>
                <w:bCs/>
                <w:i/>
                <w:lang w:val="en-US" w:eastAsia="zh-CN"/>
              </w:rPr>
            </m:ctrlPr>
          </m:sub>
        </m:sSub>
      </m:oMath>
      <w:r>
        <w:rPr>
          <w:b/>
          <w:bCs/>
          <w:lang w:val="en-US"/>
        </w:rPr>
        <w:t>.</w:t>
      </w:r>
    </w:p>
    <w:p w14:paraId="655ED099">
      <w:pPr>
        <w:rPr>
          <w:rFonts w:eastAsia="MS Mincho" w:cs="Batang"/>
          <w:sz w:val="22"/>
          <w:szCs w:val="22"/>
        </w:rPr>
      </w:pPr>
    </w:p>
    <w:p w14:paraId="0CBD1DC1">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Nokia</w:t>
      </w:r>
      <w:r>
        <w:rPr>
          <w:rFonts w:eastAsia="MS Mincho" w:cs="Batang"/>
          <w:sz w:val="22"/>
          <w:szCs w:val="22"/>
        </w:rPr>
        <w:t>.</w:t>
      </w:r>
    </w:p>
    <w:p w14:paraId="5771D7D4">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121"/>
        <w:gridCol w:w="6912"/>
      </w:tblGrid>
      <w:tr w14:paraId="0A35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14:paraId="47C5659B">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14:paraId="5FF641D1">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14:paraId="107B7DBB">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14:paraId="53469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071328A3">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Huawei, Hisilicon</w:t>
            </w:r>
          </w:p>
        </w:tc>
        <w:tc>
          <w:tcPr>
            <w:tcW w:w="1023" w:type="dxa"/>
          </w:tcPr>
          <w:p w14:paraId="020ACD31">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N</w:t>
            </w:r>
          </w:p>
        </w:tc>
        <w:tc>
          <w:tcPr>
            <w:tcW w:w="6912" w:type="dxa"/>
          </w:tcPr>
          <w:p w14:paraId="777E26F3">
            <w:pPr>
              <w:overflowPunct w:val="0"/>
              <w:autoSpaceDE w:val="0"/>
              <w:autoSpaceDN w:val="0"/>
              <w:adjustRightInd w:val="0"/>
              <w:spacing w:after="180"/>
              <w:textAlignment w:val="baseline"/>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ctrlPr>
                    <w:rPr>
                      <w:rFonts w:ascii="Cambria Math" w:hAnsi="Cambria Math"/>
                      <w:b/>
                      <w:bCs/>
                      <w:i/>
                      <w:lang w:eastAsia="zh-CN"/>
                    </w:rPr>
                  </m:ctrlPr>
                </m:e>
                <m:sub>
                  <m:r>
                    <m:rPr>
                      <m:sty m:val="bi"/>
                    </m:rPr>
                    <w:rPr>
                      <w:rFonts w:ascii="Cambria Math" w:hAnsi="Cambria Math"/>
                      <w:lang w:eastAsia="zh-CN"/>
                    </w:rPr>
                    <m:t>i</m:t>
                  </m:r>
                  <m:ctrlPr>
                    <w:rPr>
                      <w:rFonts w:ascii="Cambria Math" w:hAnsi="Cambria Math"/>
                      <w:b/>
                      <w:bCs/>
                      <w:i/>
                      <w:lang w:eastAsia="zh-CN"/>
                    </w:rPr>
                  </m:ctrlP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ctrlPr>
                    <w:rPr>
                      <w:rFonts w:ascii="Cambria Math" w:hAnsi="Cambria Math"/>
                      <w:b/>
                      <w:bCs/>
                      <w:i/>
                      <w:lang w:eastAsia="zh-CN"/>
                    </w:rPr>
                  </m:ctrlPr>
                </m:e>
                <m:sub>
                  <m:r>
                    <m:rPr>
                      <m:sty m:val="bi"/>
                    </m:rPr>
                    <w:rPr>
                      <w:rFonts w:ascii="Cambria Math" w:hAnsi="Cambria Math"/>
                      <w:lang w:eastAsia="zh-CN"/>
                    </w:rPr>
                    <m:t>i</m:t>
                  </m:r>
                  <m:ctrlPr>
                    <w:rPr>
                      <w:rFonts w:ascii="Cambria Math" w:hAnsi="Cambria Math"/>
                      <w:b/>
                      <w:bCs/>
                      <w:i/>
                      <w:lang w:eastAsia="zh-CN"/>
                    </w:rPr>
                  </m:ctrlPr>
                </m:sub>
              </m:sSub>
            </m:oMath>
            <w:r>
              <w:t xml:space="preserve"> than </w:t>
            </w:r>
            <m:oMath>
              <m:r>
                <m:rPr/>
                <w:rPr>
                  <w:rFonts w:ascii="Cambria Math" w:hAnsi="Cambria Math" w:eastAsiaTheme="minorEastAsia"/>
                </w:rPr>
                <m:t>T</m:t>
              </m:r>
              <m:sSub>
                <m:sSubPr>
                  <m:ctrlPr>
                    <w:rPr>
                      <w:rFonts w:ascii="Cambria Math" w:hAnsi="Cambria Math" w:eastAsiaTheme="minorEastAsia"/>
                      <w:i/>
                    </w:rPr>
                  </m:ctrlPr>
                </m:sSubPr>
                <m:e>
                  <m:r>
                    <m:rPr/>
                    <w:rPr>
                      <w:rFonts w:ascii="Cambria Math" w:hAnsi="Cambria Math" w:eastAsiaTheme="minorEastAsia"/>
                    </w:rPr>
                    <m:t>O</m:t>
                  </m:r>
                  <m:ctrlPr>
                    <w:rPr>
                      <w:rFonts w:ascii="Cambria Math" w:hAnsi="Cambria Math" w:eastAsiaTheme="minorEastAsia"/>
                      <w:i/>
                    </w:rPr>
                  </m:ctrlPr>
                </m:e>
                <m:sub>
                  <m:r>
                    <m:rPr/>
                    <w:rPr>
                      <w:rFonts w:ascii="Cambria Math" w:hAnsi="Cambria Math" w:eastAsiaTheme="minorEastAsia"/>
                    </w:rPr>
                    <m:t>i−</m:t>
                  </m:r>
                  <m:sSub>
                    <m:sSubPr>
                      <m:ctrlPr>
                        <w:rPr>
                          <w:rFonts w:ascii="Cambria Math" w:hAnsi="Cambria Math" w:eastAsiaTheme="minorEastAsia"/>
                          <w:i/>
                        </w:rPr>
                      </m:ctrlPr>
                    </m:sSubPr>
                    <m:e>
                      <m:r>
                        <m:rPr/>
                        <w:rPr>
                          <w:rFonts w:ascii="Cambria Math" w:hAnsi="Cambria Math" w:eastAsiaTheme="minorEastAsia"/>
                        </w:rPr>
                        <m:t>i</m:t>
                      </m:r>
                      <m:ctrlPr>
                        <w:rPr>
                          <w:rFonts w:ascii="Cambria Math" w:hAnsi="Cambria Math" w:eastAsiaTheme="minorEastAsia"/>
                          <w:i/>
                        </w:rPr>
                      </m:ctrlPr>
                    </m:e>
                    <m:sub>
                      <m:r>
                        <m:rPr/>
                        <w:rPr>
                          <w:rFonts w:ascii="Cambria Math" w:hAnsi="Cambria Math" w:eastAsiaTheme="minorEastAsia"/>
                        </w:rPr>
                        <m:t xml:space="preserve"> 0</m:t>
                      </m:r>
                      <m:ctrlPr>
                        <w:rPr>
                          <w:rFonts w:ascii="Cambria Math" w:hAnsi="Cambria Math" w:eastAsiaTheme="minorEastAsia"/>
                          <w:i/>
                        </w:rPr>
                      </m:ctrlPr>
                    </m:sub>
                  </m:sSub>
                  <m:ctrlPr>
                    <w:rPr>
                      <w:rFonts w:ascii="Cambria Math" w:hAnsi="Cambria Math" w:eastAsiaTheme="minorEastAsia"/>
                      <w:i/>
                    </w:rPr>
                  </m:ctrlPr>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ctrlPr>
                    <w:rPr>
                      <w:rFonts w:ascii="Cambria Math" w:hAnsi="Cambria Math"/>
                      <w:b/>
                      <w:bCs/>
                      <w:i/>
                      <w:lang w:eastAsia="zh-CN"/>
                    </w:rPr>
                  </m:ctrlPr>
                </m:e>
                <m:sub>
                  <m:r>
                    <m:rPr>
                      <m:sty m:val="bi"/>
                    </m:rPr>
                    <w:rPr>
                      <w:rFonts w:ascii="Cambria Math" w:hAnsi="Cambria Math"/>
                      <w:lang w:eastAsia="zh-CN"/>
                    </w:rPr>
                    <m:t>i</m:t>
                  </m:r>
                  <m:ctrlPr>
                    <w:rPr>
                      <w:rFonts w:ascii="Cambria Math" w:hAnsi="Cambria Math"/>
                      <w:b/>
                      <w:bCs/>
                      <w:i/>
                      <w:lang w:eastAsia="zh-CN"/>
                    </w:rPr>
                  </m:ctrlPr>
                </m:sub>
              </m:sSub>
            </m:oMath>
            <w:r>
              <w:t>, which is provided by optional feature group common DCI like DCI 2_3. In this case, waveform is not changed and the UE still stick to CP-OFDM waveform and shall ignore the TPC. Therefore, the proposal seems unnecessary.</w:t>
            </w:r>
          </w:p>
        </w:tc>
      </w:tr>
      <w:tr w14:paraId="1C87A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0DF6C43B">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Spreadtrum</w:t>
            </w:r>
          </w:p>
        </w:tc>
        <w:tc>
          <w:tcPr>
            <w:tcW w:w="1023" w:type="dxa"/>
          </w:tcPr>
          <w:p w14:paraId="0013DC30">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14:paraId="4D0B0EFB">
            <w:pPr>
              <w:overflowPunct w:val="0"/>
              <w:autoSpaceDE w:val="0"/>
              <w:autoSpaceDN w:val="0"/>
              <w:adjustRightInd w:val="0"/>
              <w:spacing w:after="120" w:afterLines="50"/>
              <w:jc w:val="both"/>
              <w:textAlignment w:val="baseline"/>
              <w:rPr>
                <w:sz w:val="22"/>
                <w:lang w:val="en-US"/>
              </w:rPr>
            </w:pPr>
            <w:r>
              <w:rPr>
                <w:sz w:val="22"/>
                <w:lang w:val="en-US"/>
              </w:rPr>
              <w:t>We think it is not an essential issue. The PUSCH power control adjustment state can be accumulated at the subsequent transmission occasion to reach the max power of DFT-s-OFDM.</w:t>
            </w:r>
          </w:p>
        </w:tc>
      </w:tr>
      <w:tr w14:paraId="72013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64496493">
            <w:pPr>
              <w:overflowPunct w:val="0"/>
              <w:autoSpaceDE w:val="0"/>
              <w:autoSpaceDN w:val="0"/>
              <w:adjustRightInd w:val="0"/>
              <w:spacing w:after="120" w:afterLines="50"/>
              <w:jc w:val="both"/>
              <w:textAlignment w:val="baseline"/>
              <w:rPr>
                <w:rFonts w:eastAsiaTheme="minorEastAsia"/>
                <w:sz w:val="22"/>
                <w:lang w:eastAsia="zh-CN"/>
              </w:rPr>
            </w:pPr>
            <w:r>
              <w:rPr>
                <w:rFonts w:eastAsiaTheme="minorEastAsia"/>
                <w:sz w:val="22"/>
                <w:lang w:val="en-US" w:eastAsia="zh-CN"/>
              </w:rPr>
              <w:t>QC</w:t>
            </w:r>
          </w:p>
        </w:tc>
        <w:tc>
          <w:tcPr>
            <w:tcW w:w="1023" w:type="dxa"/>
          </w:tcPr>
          <w:p w14:paraId="023ED5F8">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14:paraId="2DD48222">
            <w:pPr>
              <w:overflowPunct w:val="0"/>
              <w:autoSpaceDE w:val="0"/>
              <w:autoSpaceDN w:val="0"/>
              <w:adjustRightInd w:val="0"/>
              <w:spacing w:after="120" w:afterLines="50"/>
              <w:jc w:val="both"/>
              <w:textAlignment w:val="baseline"/>
              <w:rPr>
                <w:sz w:val="22"/>
                <w:lang w:val="en-US"/>
              </w:rPr>
            </w:pPr>
            <w:r>
              <w:rPr>
                <w:sz w:val="22"/>
                <w:lang w:val="en-US"/>
              </w:rPr>
              <w:t>Understand the motivation, but not sure if this is absolutely necessary. TPCs that arrive after TO_i can still be accumulated and applied to the new waveform. Not accumulating a few TPCs that arrive in the middle of a pair of TOs is not going to be catastrophic. Overall impact to system may be rather marginal.</w:t>
            </w:r>
          </w:p>
        </w:tc>
      </w:tr>
      <w:tr w14:paraId="59F8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5FF86FD1">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14:paraId="34114A6B">
            <w:pPr>
              <w:overflowPunct w:val="0"/>
              <w:autoSpaceDE w:val="0"/>
              <w:autoSpaceDN w:val="0"/>
              <w:adjustRightInd w:val="0"/>
              <w:spacing w:after="120" w:afterLines="50"/>
              <w:jc w:val="both"/>
              <w:textAlignment w:val="baseline"/>
              <w:rPr>
                <w:sz w:val="22"/>
                <w:lang w:val="en-US"/>
              </w:rPr>
            </w:pPr>
          </w:p>
        </w:tc>
        <w:tc>
          <w:tcPr>
            <w:tcW w:w="6912" w:type="dxa"/>
          </w:tcPr>
          <w:p w14:paraId="66496A3E">
            <w:pPr>
              <w:pStyle w:val="24"/>
              <w:overflowPunct w:val="0"/>
              <w:autoSpaceDE w:val="0"/>
              <w:autoSpaceDN w:val="0"/>
              <w:adjustRightInd w:val="0"/>
              <w:spacing w:after="180"/>
              <w:textAlignment w:val="baseline"/>
            </w:pPr>
            <w:r>
              <w:t xml:space="preserve">is this issue only relevant to waveform switching? </w:t>
            </w:r>
          </w:p>
          <w:p w14:paraId="17F658BB">
            <w:pPr>
              <w:pStyle w:val="24"/>
              <w:overflowPunct w:val="0"/>
              <w:autoSpaceDE w:val="0"/>
              <w:autoSpaceDN w:val="0"/>
              <w:adjustRightInd w:val="0"/>
              <w:spacing w:after="180"/>
              <w:textAlignment w:val="baseline"/>
            </w:pPr>
            <w:r>
              <w:t xml:space="preserve">This optimization is only beneficial for a single PUSCH transmission at occasion </w:t>
            </w:r>
            <m:oMath>
              <m:r>
                <m:rPr/>
                <w:rPr>
                  <w:rFonts w:ascii="Cambria Math" w:hAnsi="Cambria Math"/>
                </w:rPr>
                <m:t>T</m:t>
              </m:r>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i</m:t>
                  </m:r>
                  <m:ctrlPr>
                    <w:rPr>
                      <w:rFonts w:ascii="Cambria Math" w:hAnsi="Cambria Math"/>
                    </w:rPr>
                  </m:ctrlPr>
                </m:sub>
              </m:sSub>
            </m:oMath>
            <w:r>
              <w:t xml:space="preserve"> when following conditions are met:</w:t>
            </w:r>
          </w:p>
          <w:p w14:paraId="6C76BE24">
            <w:pPr>
              <w:pStyle w:val="24"/>
              <w:numPr>
                <w:ilvl w:val="0"/>
                <w:numId w:val="51"/>
              </w:numPr>
              <w:overflowPunct w:val="0"/>
              <w:autoSpaceDE w:val="0"/>
              <w:autoSpaceDN w:val="0"/>
              <w:adjustRightInd w:val="0"/>
              <w:spacing w:after="180"/>
              <w:textAlignment w:val="baseline"/>
            </w:pPr>
            <w:r>
              <w:t xml:space="preserve">PUSCH at </w:t>
            </w:r>
            <m:oMath>
              <m:r>
                <m:rPr/>
                <w:rPr>
                  <w:rFonts w:ascii="Cambria Math" w:hAnsi="Cambria Math"/>
                </w:rPr>
                <m:t>T</m:t>
              </m:r>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i</m:t>
                  </m:r>
                  <m:r>
                    <m:rPr>
                      <m:sty m:val="p"/>
                    </m:rPr>
                    <w:rPr>
                      <w:rFonts w:ascii="Cambria Math" w:hAnsi="Cambria Math"/>
                    </w:rPr>
                    <m:t>−</m:t>
                  </m:r>
                  <m:r>
                    <m:rPr/>
                    <w:rPr>
                      <w:rFonts w:ascii="Cambria Math" w:hAnsi="Cambria Math"/>
                    </w:rPr>
                    <m:t>i</m:t>
                  </m:r>
                  <m:r>
                    <m:rPr>
                      <m:sty m:val="p"/>
                    </m:rPr>
                    <w:rPr>
                      <w:rFonts w:ascii="Cambria Math" w:hAnsi="Cambria Math"/>
                    </w:rPr>
                    <m:t>0</m:t>
                  </m:r>
                  <m:ctrlPr>
                    <w:rPr>
                      <w:rFonts w:ascii="Cambria Math" w:hAnsi="Cambria Math"/>
                    </w:rPr>
                  </m:ctrlPr>
                </m:sub>
              </m:sSub>
            </m:oMath>
            <w:r>
              <w:t xml:space="preserve"> reaches maximum power and a CP-OFDM waveform is applied, </w:t>
            </w:r>
          </w:p>
          <w:p w14:paraId="26BE71DE">
            <w:pPr>
              <w:pStyle w:val="24"/>
              <w:numPr>
                <w:ilvl w:val="0"/>
                <w:numId w:val="51"/>
              </w:numPr>
              <w:overflowPunct w:val="0"/>
              <w:autoSpaceDE w:val="0"/>
              <w:autoSpaceDN w:val="0"/>
              <w:adjustRightInd w:val="0"/>
              <w:spacing w:after="180"/>
              <w:textAlignment w:val="baseline"/>
            </w:pPr>
            <w:r>
              <w:t xml:space="preserve">PUSCH at </w:t>
            </w:r>
            <m:oMath>
              <m:r>
                <m:rPr/>
                <w:rPr>
                  <w:rFonts w:ascii="Cambria Math" w:hAnsi="Cambria Math"/>
                </w:rPr>
                <m:t>T</m:t>
              </m:r>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i</m:t>
                  </m:r>
                  <m:ctrlPr>
                    <w:rPr>
                      <w:rFonts w:ascii="Cambria Math" w:hAnsi="Cambria Math"/>
                    </w:rPr>
                  </m:ctrlPr>
                </m:sub>
              </m:sSub>
            </m:oMath>
            <w:r>
              <w:t xml:space="preserve"> is scheduled with a DFT-s-OFDM waveform and the calculated power is no larger than PCmax determined at </w:t>
            </w:r>
            <m:oMath>
              <m:r>
                <m:rPr/>
                <w:rPr>
                  <w:rFonts w:ascii="Cambria Math" w:hAnsi="Cambria Math"/>
                </w:rPr>
                <m:t>T</m:t>
              </m:r>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i</m:t>
                  </m:r>
                  <m:ctrlPr>
                    <w:rPr>
                      <w:rFonts w:ascii="Cambria Math" w:hAnsi="Cambria Math"/>
                    </w:rPr>
                  </m:ctrlPr>
                </m:sub>
              </m:sSub>
            </m:oMath>
            <w:r>
              <w:t xml:space="preserve"> when UE sets </w:t>
            </w:r>
            <m:oMath>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b</m:t>
                  </m:r>
                  <m:r>
                    <m:rPr>
                      <m:sty m:val="p"/>
                    </m:rPr>
                    <w:rPr>
                      <w:rFonts w:ascii="Cambria Math" w:hAnsi="Cambria Math"/>
                    </w:rPr>
                    <m:t>,</m:t>
                  </m:r>
                  <m:r>
                    <m:rPr/>
                    <w:rPr>
                      <w:rFonts w:ascii="Cambria Math" w:hAnsi="Cambria Math"/>
                    </w:rPr>
                    <m:t>f</m:t>
                  </m:r>
                  <m:r>
                    <m:rPr>
                      <m:sty m:val="p"/>
                    </m:rPr>
                    <w:rPr>
                      <w:rFonts w:ascii="Cambria Math" w:hAnsi="Cambria Math"/>
                    </w:rPr>
                    <m:t>,</m:t>
                  </m:r>
                  <m:r>
                    <m:rPr/>
                    <w:rPr>
                      <w:rFonts w:ascii="Cambria Math" w:hAnsi="Cambria Math"/>
                    </w:rPr>
                    <m:t>c</m:t>
                  </m:r>
                  <m:ctrlPr>
                    <w:rPr>
                      <w:rFonts w:ascii="Cambria Math" w:hAnsi="Cambria Math"/>
                    </w:rPr>
                  </m:ctrlPr>
                </m:sub>
              </m:sSub>
              <m:d>
                <m:dPr>
                  <m:ctrlPr>
                    <w:rPr>
                      <w:rFonts w:ascii="Cambria Math" w:hAnsi="Cambria Math"/>
                    </w:rPr>
                  </m:ctrlPr>
                </m:dPr>
                <m:e>
                  <m:r>
                    <m:rPr/>
                    <w:rPr>
                      <w:rFonts w:ascii="Cambria Math" w:hAnsi="Cambria Math"/>
                    </w:rPr>
                    <m:t>i</m:t>
                  </m:r>
                  <m:r>
                    <m:rPr>
                      <m:sty m:val="p"/>
                    </m:rPr>
                    <w:rPr>
                      <w:rFonts w:ascii="Cambria Math" w:hAnsi="Cambria Math"/>
                    </w:rPr>
                    <m:t>,</m:t>
                  </m:r>
                  <m:r>
                    <m:rPr/>
                    <w:rPr>
                      <w:rFonts w:ascii="Cambria Math" w:hAnsi="Cambria Math"/>
                    </w:rPr>
                    <m:t>l</m:t>
                  </m:r>
                  <m:ctrlPr>
                    <w:rPr>
                      <w:rFonts w:ascii="Cambria Math" w:hAnsi="Cambria Math"/>
                    </w:rPr>
                  </m:ctrlPr>
                </m:e>
              </m:d>
              <m:r>
                <m:rPr>
                  <m:sty m:val="p"/>
                </m:rPr>
                <w:rPr>
                  <w:rFonts w:ascii="Cambria Math" w:hAnsi="Cambria Math"/>
                </w:rPr>
                <m:t>=</m:t>
              </m:r>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b</m:t>
                  </m:r>
                  <m:r>
                    <m:rPr>
                      <m:sty m:val="p"/>
                    </m:rPr>
                    <w:rPr>
                      <w:rFonts w:ascii="Cambria Math" w:hAnsi="Cambria Math"/>
                    </w:rPr>
                    <m:t>,</m:t>
                  </m:r>
                  <m:r>
                    <m:rPr/>
                    <w:rPr>
                      <w:rFonts w:ascii="Cambria Math" w:hAnsi="Cambria Math"/>
                    </w:rPr>
                    <m:t>f</m:t>
                  </m:r>
                  <m:r>
                    <m:rPr>
                      <m:sty m:val="p"/>
                    </m:rPr>
                    <w:rPr>
                      <w:rFonts w:ascii="Cambria Math" w:hAnsi="Cambria Math"/>
                    </w:rPr>
                    <m:t>,</m:t>
                  </m:r>
                  <m:r>
                    <m:rPr/>
                    <w:rPr>
                      <w:rFonts w:ascii="Cambria Math" w:hAnsi="Cambria Math"/>
                    </w:rPr>
                    <m:t>c</m:t>
                  </m:r>
                  <m:ctrlPr>
                    <w:rPr>
                      <w:rFonts w:ascii="Cambria Math" w:hAnsi="Cambria Math"/>
                    </w:rPr>
                  </m:ctrlPr>
                </m:sub>
              </m:sSub>
              <m:d>
                <m:dPr>
                  <m:ctrlPr>
                    <w:rPr>
                      <w:rFonts w:ascii="Cambria Math" w:hAnsi="Cambria Math"/>
                    </w:rPr>
                  </m:ctrlPr>
                </m:dPr>
                <m:e>
                  <m:r>
                    <m:rPr/>
                    <w:rPr>
                      <w:rFonts w:ascii="Cambria Math" w:hAnsi="Cambria Math"/>
                    </w:rPr>
                    <m:t>i</m:t>
                  </m:r>
                  <m:r>
                    <m:rPr>
                      <m:sty m:val="p"/>
                    </m:rPr>
                    <w:rPr>
                      <w:rFonts w:ascii="Cambria Math" w:hAnsi="Cambria Math"/>
                    </w:rPr>
                    <m:t>−</m:t>
                  </m:r>
                  <m:sSub>
                    <m:sSubPr>
                      <m:ctrlPr>
                        <w:rPr>
                          <w:rFonts w:ascii="Cambria Math" w:hAnsi="Cambria Math"/>
                        </w:rPr>
                      </m:ctrlPr>
                    </m:sSubPr>
                    <m:e>
                      <m:r>
                        <m:rPr/>
                        <w:rPr>
                          <w:rFonts w:ascii="Cambria Math" w:hAnsi="Cambria Math"/>
                        </w:rPr>
                        <m:t>i</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r>
                    <m:rPr/>
                    <w:rPr>
                      <w:rFonts w:ascii="Cambria Math" w:hAnsi="Cambria Math"/>
                    </w:rPr>
                    <m:t>l</m:t>
                  </m:r>
                  <m:ctrlPr>
                    <w:rPr>
                      <w:rFonts w:ascii="Cambria Math" w:hAnsi="Cambria Math"/>
                    </w:rPr>
                  </m:ctrlPr>
                </m:e>
              </m:d>
            </m:oMath>
            <w:r>
              <w:t>.</w:t>
            </w:r>
          </w:p>
          <w:p w14:paraId="66C8E689">
            <w:pPr>
              <w:pStyle w:val="24"/>
              <w:overflowPunct w:val="0"/>
              <w:autoSpaceDE w:val="0"/>
              <w:autoSpaceDN w:val="0"/>
              <w:adjustRightInd w:val="0"/>
              <w:spacing w:after="180"/>
              <w:textAlignment w:val="baseline"/>
            </w:pPr>
            <w:r>
              <w:t>Considering this is a corner case and such optimization seem not necessary.</w:t>
            </w:r>
          </w:p>
        </w:tc>
      </w:tr>
      <w:tr w14:paraId="67E1D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70DB3A42">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023" w:type="dxa"/>
          </w:tcPr>
          <w:p w14:paraId="1743940A">
            <w:pPr>
              <w:overflowPunct w:val="0"/>
              <w:autoSpaceDE w:val="0"/>
              <w:autoSpaceDN w:val="0"/>
              <w:adjustRightInd w:val="0"/>
              <w:spacing w:after="120" w:afterLines="50"/>
              <w:jc w:val="both"/>
              <w:textAlignment w:val="baseline"/>
              <w:rPr>
                <w:sz w:val="22"/>
                <w:lang w:val="en-US"/>
              </w:rPr>
            </w:pPr>
          </w:p>
        </w:tc>
        <w:tc>
          <w:tcPr>
            <w:tcW w:w="6912" w:type="dxa"/>
          </w:tcPr>
          <w:p w14:paraId="2F7EC9D2">
            <w:pPr>
              <w:overflowPunct w:val="0"/>
              <w:autoSpaceDE w:val="0"/>
              <w:autoSpaceDN w:val="0"/>
              <w:adjustRightInd w:val="0"/>
              <w:spacing w:after="120" w:afterLines="50"/>
              <w:jc w:val="both"/>
              <w:textAlignment w:val="baseline"/>
            </w:pPr>
            <w:r>
              <w:t>The issue of TPC accumulation rule for waveform switching is valid, but the influence is small and seems not necessary.</w:t>
            </w:r>
          </w:p>
        </w:tc>
      </w:tr>
      <w:tr w14:paraId="65CA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4536E791">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14:paraId="5512BFD7">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N</w:t>
            </w:r>
          </w:p>
        </w:tc>
        <w:tc>
          <w:tcPr>
            <w:tcW w:w="6912" w:type="dxa"/>
          </w:tcPr>
          <w:p w14:paraId="52646673">
            <w:pPr>
              <w:overflowPunct w:val="0"/>
              <w:autoSpaceDE w:val="0"/>
              <w:autoSpaceDN w:val="0"/>
              <w:adjustRightInd w:val="0"/>
              <w:spacing w:after="120" w:afterLines="50"/>
              <w:jc w:val="both"/>
              <w:textAlignment w:val="baseline"/>
            </w:pPr>
            <w:r>
              <w:rPr>
                <w:sz w:val="22"/>
                <w:lang w:val="en-US"/>
              </w:rPr>
              <w:t>We are also not convinced that there is a problem here in practice.</w:t>
            </w:r>
          </w:p>
        </w:tc>
      </w:tr>
      <w:tr w14:paraId="6378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4769B97E">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14:paraId="3AFD3219">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912" w:type="dxa"/>
          </w:tcPr>
          <w:p w14:paraId="040141C0">
            <w:pPr>
              <w:overflowPunct w:val="0"/>
              <w:autoSpaceDE w:val="0"/>
              <w:autoSpaceDN w:val="0"/>
              <w:adjustRightInd w:val="0"/>
              <w:spacing w:after="120" w:afterLines="50"/>
              <w:jc w:val="both"/>
              <w:textAlignment w:val="baseline"/>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14:paraId="786C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14:paraId="01B243F6">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Ericsson</w:t>
            </w:r>
          </w:p>
        </w:tc>
        <w:tc>
          <w:tcPr>
            <w:tcW w:w="1023" w:type="dxa"/>
          </w:tcPr>
          <w:p w14:paraId="2483DFB5">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See comments</w:t>
            </w:r>
          </w:p>
        </w:tc>
        <w:tc>
          <w:tcPr>
            <w:tcW w:w="6912" w:type="dxa"/>
          </w:tcPr>
          <w:p w14:paraId="119A2F82">
            <w:pPr>
              <w:overflowPunct w:val="0"/>
              <w:autoSpaceDE w:val="0"/>
              <w:autoSpaceDN w:val="0"/>
              <w:adjustRightInd w:val="0"/>
              <w:spacing w:after="120" w:afterLines="50"/>
              <w:jc w:val="both"/>
              <w:textAlignment w:val="baseline"/>
              <w:rPr>
                <w:sz w:val="22"/>
                <w:lang w:val="en-US"/>
              </w:rPr>
            </w:pPr>
            <w:r>
              <w:rPr>
                <w:sz w:val="22"/>
                <w:lang w:val="en-US"/>
              </w:rPr>
              <w:t>Similar view as other comments that there may not be much net impact, especially since DFT switching should not be on a slot-by-slot basis.</w:t>
            </w:r>
          </w:p>
        </w:tc>
      </w:tr>
    </w:tbl>
    <w:p w14:paraId="34A5F63C">
      <w:pPr>
        <w:rPr>
          <w:b/>
        </w:rPr>
      </w:pPr>
    </w:p>
    <w:p w14:paraId="2DACC6BC">
      <w:pPr>
        <w:rPr>
          <w:b/>
        </w:rPr>
      </w:pPr>
    </w:p>
    <w:p w14:paraId="35823E6D">
      <w:pPr>
        <w:rPr>
          <w:b/>
        </w:rPr>
      </w:pPr>
    </w:p>
    <w:p w14:paraId="108DEAAF">
      <w:pPr>
        <w:pStyle w:val="108"/>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hAnsi="Arial" w:eastAsia="Batang"/>
          <w:sz w:val="32"/>
          <w:szCs w:val="32"/>
          <w:lang w:val="en-US" w:eastAsia="ko-KR"/>
        </w:rPr>
      </w:pPr>
      <w:r>
        <w:rPr>
          <w:rFonts w:hint="eastAsia" w:ascii="Arial" w:hAnsi="Arial" w:eastAsia="MS Mincho"/>
          <w:sz w:val="32"/>
          <w:szCs w:val="32"/>
          <w:lang w:val="en-US"/>
        </w:rPr>
        <w:t>Proposal for online session</w:t>
      </w:r>
    </w:p>
    <w:p w14:paraId="12FC19C4">
      <w:pPr>
        <w:rPr>
          <w:bCs/>
          <w:sz w:val="22"/>
          <w:szCs w:val="18"/>
        </w:rPr>
      </w:pPr>
      <w:r>
        <w:rPr>
          <w:bCs/>
          <w:sz w:val="22"/>
          <w:szCs w:val="18"/>
        </w:rPr>
        <w:t>To be updated</w:t>
      </w:r>
    </w:p>
    <w:p w14:paraId="30DA331D">
      <w:pPr>
        <w:rPr>
          <w:b/>
        </w:rPr>
      </w:pPr>
    </w:p>
    <w:p w14:paraId="04656529">
      <w:pPr>
        <w:rPr>
          <w:b/>
        </w:rPr>
      </w:pPr>
    </w:p>
    <w:p w14:paraId="70679ECA">
      <w:pPr>
        <w:rPr>
          <w:b/>
        </w:rPr>
      </w:pPr>
    </w:p>
    <w:p w14:paraId="67CDCEC5">
      <w:pPr>
        <w:pStyle w:val="108"/>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hAnsi="Arial" w:eastAsia="Batang"/>
          <w:sz w:val="32"/>
          <w:szCs w:val="32"/>
          <w:lang w:val="en-US" w:eastAsia="ko-KR"/>
        </w:rPr>
      </w:pPr>
      <w:r>
        <w:rPr>
          <w:rFonts w:ascii="Arial" w:hAnsi="Arial" w:eastAsia="Batang"/>
          <w:sz w:val="32"/>
          <w:szCs w:val="32"/>
          <w:lang w:val="en-US" w:eastAsia="ko-KR"/>
        </w:rPr>
        <w:t>Conclusion</w:t>
      </w:r>
    </w:p>
    <w:p w14:paraId="4B3AFAF4">
      <w:pPr>
        <w:rPr>
          <w:bCs/>
          <w:sz w:val="22"/>
          <w:szCs w:val="18"/>
        </w:rPr>
      </w:pPr>
      <w:r>
        <w:rPr>
          <w:bCs/>
          <w:sz w:val="22"/>
          <w:szCs w:val="18"/>
        </w:rPr>
        <w:t>To be updated</w:t>
      </w:r>
    </w:p>
    <w:p w14:paraId="1319CC85">
      <w:pPr>
        <w:rPr>
          <w:b/>
          <w:sz w:val="22"/>
          <w:szCs w:val="18"/>
          <w:lang w:val="en-US"/>
        </w:rPr>
      </w:pPr>
    </w:p>
    <w:p w14:paraId="733B1949">
      <w:pPr>
        <w:rPr>
          <w:b/>
          <w:lang w:val="en-US"/>
        </w:rPr>
      </w:pPr>
    </w:p>
    <w:p w14:paraId="0FA9038E">
      <w:pPr>
        <w:keepNext/>
        <w:keepLines/>
        <w:tabs>
          <w:tab w:val="left" w:pos="426"/>
        </w:tabs>
        <w:overflowPunct w:val="0"/>
        <w:autoSpaceDE w:val="0"/>
        <w:autoSpaceDN w:val="0"/>
        <w:adjustRightInd w:val="0"/>
        <w:spacing w:after="120"/>
        <w:jc w:val="both"/>
        <w:textAlignment w:val="baseline"/>
        <w:outlineLvl w:val="0"/>
        <w:rPr>
          <w:rFonts w:ascii="Arial" w:hAnsi="Arial" w:eastAsia="Batang"/>
          <w:sz w:val="32"/>
          <w:szCs w:val="32"/>
          <w:lang w:val="en-US" w:eastAsia="ko-KR"/>
        </w:rPr>
      </w:pPr>
      <w:r>
        <w:rPr>
          <w:rFonts w:ascii="Arial" w:hAnsi="Arial" w:eastAsia="Batang"/>
          <w:sz w:val="32"/>
          <w:szCs w:val="32"/>
          <w:lang w:val="en-US" w:eastAsia="ko-KR"/>
        </w:rPr>
        <w:t>Reference</w:t>
      </w:r>
    </w:p>
    <w:p w14:paraId="16D04FE5">
      <w:pPr>
        <w:rPr>
          <w:iCs/>
          <w:sz w:val="22"/>
          <w:szCs w:val="18"/>
        </w:rPr>
      </w:pPr>
      <w:r>
        <w:rPr>
          <w:iCs/>
          <w:sz w:val="22"/>
          <w:szCs w:val="18"/>
          <w:lang w:eastAsia="zh-CN"/>
        </w:rPr>
        <w:t>[1]</w:t>
      </w:r>
      <w:r>
        <w:rPr>
          <w:iCs/>
          <w:sz w:val="22"/>
          <w:szCs w:val="18"/>
          <w:lang w:eastAsia="zh-CN"/>
        </w:rPr>
        <w:tab/>
      </w:r>
      <w:r>
        <w:rPr>
          <w:iCs/>
          <w:sz w:val="22"/>
          <w:szCs w:val="18"/>
          <w:lang w:eastAsia="zh-CN"/>
        </w:rPr>
        <w:t>R1-2407811</w:t>
      </w:r>
      <w:r>
        <w:rPr>
          <w:iCs/>
          <w:sz w:val="22"/>
          <w:szCs w:val="18"/>
          <w:lang w:eastAsia="zh-CN"/>
        </w:rPr>
        <w:tab/>
      </w:r>
      <w:r>
        <w:rPr>
          <w:iCs/>
          <w:sz w:val="22"/>
          <w:szCs w:val="18"/>
          <w:lang w:eastAsia="zh-CN"/>
        </w:rPr>
        <w:t>On Rel-19 TEI proposals</w:t>
      </w:r>
      <w:r>
        <w:rPr>
          <w:iCs/>
          <w:sz w:val="22"/>
          <w:szCs w:val="18"/>
          <w:lang w:eastAsia="zh-CN"/>
        </w:rPr>
        <w:tab/>
      </w:r>
      <w:r>
        <w:rPr>
          <w:iCs/>
          <w:sz w:val="22"/>
          <w:szCs w:val="18"/>
          <w:lang w:eastAsia="zh-CN"/>
        </w:rPr>
        <w:t>ZTE Corporation, Sanechips</w:t>
      </w:r>
    </w:p>
    <w:p w14:paraId="081C8DBE">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r>
      <w:r>
        <w:rPr>
          <w:iCs/>
          <w:sz w:val="22"/>
          <w:szCs w:val="18"/>
          <w:lang w:eastAsia="zh-CN"/>
        </w:rPr>
        <w:t>Rel-19 TEI proposals</w:t>
      </w:r>
      <w:r>
        <w:rPr>
          <w:iCs/>
          <w:sz w:val="22"/>
          <w:szCs w:val="18"/>
          <w:lang w:eastAsia="zh-CN"/>
        </w:rPr>
        <w:tab/>
      </w:r>
      <w:r>
        <w:rPr>
          <w:iCs/>
          <w:sz w:val="22"/>
          <w:szCs w:val="18"/>
          <w:lang w:eastAsia="zh-CN"/>
        </w:rPr>
        <w:t>vivo</w:t>
      </w:r>
    </w:p>
    <w:p w14:paraId="67612D3B">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r>
      <w:r>
        <w:rPr>
          <w:iCs/>
          <w:sz w:val="22"/>
          <w:szCs w:val="18"/>
          <w:lang w:eastAsia="zh-CN"/>
        </w:rPr>
        <w:t>Enhancement of positioning SRS beam configuration</w:t>
      </w:r>
      <w:r>
        <w:rPr>
          <w:iCs/>
          <w:sz w:val="22"/>
          <w:szCs w:val="18"/>
          <w:lang w:eastAsia="zh-CN"/>
        </w:rPr>
        <w:tab/>
      </w:r>
      <w:r>
        <w:rPr>
          <w:iCs/>
          <w:sz w:val="22"/>
          <w:szCs w:val="18"/>
          <w:lang w:eastAsia="zh-CN"/>
        </w:rPr>
        <w:t>Huawei, HiSilicon, China Unicom, ZTE, Sanechips</w:t>
      </w:r>
    </w:p>
    <w:p w14:paraId="2B31DE73">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r>
      <w:r>
        <w:rPr>
          <w:iCs/>
          <w:sz w:val="22"/>
          <w:szCs w:val="18"/>
          <w:lang w:eastAsia="zh-CN"/>
        </w:rPr>
        <w:t>Link adaptation TEI-19</w:t>
      </w:r>
      <w:r>
        <w:rPr>
          <w:iCs/>
          <w:sz w:val="22"/>
          <w:szCs w:val="18"/>
          <w:lang w:eastAsia="zh-CN"/>
        </w:rPr>
        <w:tab/>
      </w:r>
      <w:r>
        <w:rPr>
          <w:iCs/>
          <w:sz w:val="22"/>
          <w:szCs w:val="18"/>
          <w:lang w:eastAsia="zh-CN"/>
        </w:rPr>
        <w:t>Ericsson</w:t>
      </w:r>
    </w:p>
    <w:p w14:paraId="765645E1">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r>
      <w:r>
        <w:rPr>
          <w:iCs/>
          <w:sz w:val="22"/>
          <w:szCs w:val="18"/>
          <w:lang w:eastAsia="zh-CN"/>
        </w:rPr>
        <w:t>Rel-19 TEI proposal on remaining ambiguities with SRS carrier switching</w:t>
      </w:r>
      <w:r>
        <w:rPr>
          <w:iCs/>
          <w:sz w:val="22"/>
          <w:szCs w:val="18"/>
          <w:lang w:eastAsia="zh-CN"/>
        </w:rPr>
        <w:tab/>
      </w:r>
      <w:r>
        <w:rPr>
          <w:iCs/>
          <w:sz w:val="22"/>
          <w:szCs w:val="18"/>
          <w:lang w:eastAsia="zh-CN"/>
        </w:rPr>
        <w:t>Apple</w:t>
      </w:r>
    </w:p>
    <w:p w14:paraId="10E14F0C">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r>
      <w:r>
        <w:rPr>
          <w:iCs/>
          <w:sz w:val="22"/>
          <w:szCs w:val="18"/>
          <w:lang w:eastAsia="zh-CN"/>
        </w:rPr>
        <w:t>CSI Acquisition Improvement for Type-II codebook</w:t>
      </w:r>
      <w:r>
        <w:rPr>
          <w:iCs/>
          <w:sz w:val="22"/>
          <w:szCs w:val="18"/>
          <w:lang w:eastAsia="zh-CN"/>
        </w:rPr>
        <w:tab/>
      </w:r>
      <w:r>
        <w:rPr>
          <w:iCs/>
          <w:sz w:val="22"/>
          <w:szCs w:val="18"/>
          <w:lang w:eastAsia="zh-CN"/>
        </w:rPr>
        <w:t>Orange, ZTE, BT</w:t>
      </w:r>
    </w:p>
    <w:p w14:paraId="489F6151">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r>
      <w:r>
        <w:rPr>
          <w:iCs/>
          <w:sz w:val="22"/>
          <w:szCs w:val="18"/>
          <w:lang w:eastAsia="zh-CN"/>
        </w:rPr>
        <w:t>Rel-19 TEI proposals</w:t>
      </w:r>
      <w:r>
        <w:rPr>
          <w:iCs/>
          <w:sz w:val="22"/>
          <w:szCs w:val="18"/>
          <w:lang w:eastAsia="zh-CN"/>
        </w:rPr>
        <w:tab/>
      </w:r>
      <w:r>
        <w:rPr>
          <w:iCs/>
          <w:sz w:val="22"/>
          <w:szCs w:val="18"/>
          <w:lang w:eastAsia="zh-CN"/>
        </w:rPr>
        <w:t>Qualcomm Incorporated</w:t>
      </w:r>
    </w:p>
    <w:p w14:paraId="08033437">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r>
      <w:r>
        <w:rPr>
          <w:iCs/>
          <w:sz w:val="22"/>
          <w:szCs w:val="18"/>
          <w:lang w:eastAsia="zh-CN"/>
        </w:rPr>
        <w:t>Proposals for TEI19</w:t>
      </w:r>
      <w:r>
        <w:rPr>
          <w:iCs/>
          <w:sz w:val="22"/>
          <w:szCs w:val="18"/>
          <w:lang w:eastAsia="zh-CN"/>
        </w:rPr>
        <w:tab/>
      </w:r>
      <w:r>
        <w:rPr>
          <w:iCs/>
          <w:sz w:val="22"/>
          <w:szCs w:val="18"/>
          <w:lang w:eastAsia="zh-CN"/>
        </w:rPr>
        <w:t>Nokia</w:t>
      </w:r>
    </w:p>
    <w:p w14:paraId="73081C99">
      <w:pPr>
        <w:rPr>
          <w:rFonts w:eastAsia="MS Mincho"/>
          <w:sz w:val="22"/>
        </w:rPr>
      </w:pPr>
      <w:r>
        <w:rPr>
          <w:rFonts w:eastAsia="MS Mincho"/>
          <w:sz w:val="22"/>
        </w:rPr>
        <w:t>[</w:t>
      </w:r>
      <w:r>
        <w:rPr>
          <w:rFonts w:hint="eastAsia" w:eastAsia="MS Mincho"/>
          <w:sz w:val="22"/>
        </w:rPr>
        <w:t>9</w:t>
      </w:r>
      <w:r>
        <w:rPr>
          <w:rFonts w:eastAsia="MS Mincho"/>
          <w:sz w:val="22"/>
        </w:rPr>
        <w:t>]</w:t>
      </w:r>
      <w:r>
        <w:rPr>
          <w:rFonts w:eastAsia="MS Mincho"/>
          <w:sz w:val="22"/>
        </w:rPr>
        <w:tab/>
      </w:r>
      <w:r>
        <w:rPr>
          <w:rFonts w:eastAsia="MS Mincho"/>
          <w:sz w:val="22"/>
        </w:rPr>
        <w:t>RP-191602</w:t>
      </w:r>
      <w:r>
        <w:rPr>
          <w:rFonts w:eastAsia="MS Mincho"/>
          <w:sz w:val="22"/>
        </w:rPr>
        <w:tab/>
      </w:r>
      <w:r>
        <w:rPr>
          <w:rFonts w:eastAsia="MS Mincho"/>
          <w:sz w:val="22"/>
        </w:rPr>
        <w:t>Handling of TEI &amp; contribution submission in RAN WGs for NR and LTE</w:t>
      </w:r>
      <w:r>
        <w:rPr>
          <w:rFonts w:eastAsia="MS Mincho"/>
          <w:sz w:val="22"/>
        </w:rPr>
        <w:tab/>
      </w:r>
      <w:r>
        <w:rPr>
          <w:rFonts w:eastAsia="MS Mincho"/>
          <w:sz w:val="22"/>
        </w:rPr>
        <w:t>3GPP RAN TSG and WG1/2/3/4 Chairmen</w:t>
      </w:r>
    </w:p>
    <w:p w14:paraId="485673D1">
      <w:pPr>
        <w:spacing w:after="120" w:afterLines="50"/>
        <w:jc w:val="both"/>
        <w:rPr>
          <w:rFonts w:eastAsia="MS Mincho"/>
          <w:sz w:val="22"/>
        </w:rPr>
      </w:pPr>
      <w:r>
        <w:rPr>
          <w:rFonts w:hint="eastAsia" w:eastAsia="MS Mincho"/>
          <w:sz w:val="22"/>
        </w:rPr>
        <w:t>[</w:t>
      </w:r>
      <w:r>
        <w:rPr>
          <w:rFonts w:eastAsia="MS Mincho"/>
          <w:sz w:val="22"/>
        </w:rPr>
        <w:t>1</w:t>
      </w:r>
      <w:r>
        <w:rPr>
          <w:rFonts w:hint="eastAsia" w:eastAsia="MS Mincho"/>
          <w:sz w:val="22"/>
        </w:rPr>
        <w:t>0</w:t>
      </w:r>
      <w:r>
        <w:rPr>
          <w:rFonts w:eastAsia="MS Mincho"/>
          <w:sz w:val="22"/>
        </w:rPr>
        <w:t>]</w:t>
      </w:r>
      <w:r>
        <w:rPr>
          <w:rFonts w:eastAsia="MS Mincho"/>
          <w:sz w:val="22"/>
        </w:rPr>
        <w:tab/>
      </w:r>
      <w:r>
        <w:rPr>
          <w:rFonts w:eastAsia="MS Mincho"/>
          <w:sz w:val="22"/>
        </w:rPr>
        <w:t>RP-210826</w:t>
      </w:r>
      <w:r>
        <w:rPr>
          <w:rFonts w:eastAsia="MS Mincho"/>
          <w:sz w:val="22"/>
        </w:rPr>
        <w:tab/>
      </w:r>
      <w:r>
        <w:rPr>
          <w:rFonts w:eastAsia="MS Mincho"/>
          <w:sz w:val="22"/>
        </w:rPr>
        <w:t>Handling of TEI CRs</w:t>
      </w:r>
      <w:r>
        <w:rPr>
          <w:rFonts w:eastAsia="MS Mincho"/>
          <w:sz w:val="22"/>
        </w:rPr>
        <w:tab/>
      </w:r>
      <w:r>
        <w:rPr>
          <w:rFonts w:eastAsia="MS Mincho"/>
          <w:sz w:val="22"/>
        </w:rPr>
        <w:t>ETSI MCC</w:t>
      </w:r>
    </w:p>
    <w:p w14:paraId="4E4A76A1">
      <w:pPr>
        <w:rPr>
          <w:rFonts w:eastAsia="MS Mincho"/>
          <w:bCs/>
          <w:sz w:val="22"/>
          <w:szCs w:val="18"/>
        </w:rPr>
      </w:pPr>
    </w:p>
    <w:p w14:paraId="1DDFE094">
      <w:pPr>
        <w:rPr>
          <w:bCs/>
          <w:sz w:val="22"/>
          <w:szCs w:val="18"/>
        </w:rPr>
      </w:pPr>
    </w:p>
    <w:p w14:paraId="7F39F489">
      <w:pPr>
        <w:keepNext/>
        <w:keepLines/>
        <w:tabs>
          <w:tab w:val="left" w:pos="426"/>
        </w:tabs>
        <w:overflowPunct w:val="0"/>
        <w:autoSpaceDE w:val="0"/>
        <w:autoSpaceDN w:val="0"/>
        <w:adjustRightInd w:val="0"/>
        <w:spacing w:after="120"/>
        <w:jc w:val="both"/>
        <w:textAlignment w:val="baseline"/>
        <w:outlineLvl w:val="0"/>
        <w:rPr>
          <w:rFonts w:ascii="Arial" w:hAnsi="Arial" w:eastAsia="Batang"/>
          <w:sz w:val="32"/>
          <w:szCs w:val="32"/>
          <w:lang w:val="en-US" w:eastAsia="ko-KR"/>
        </w:rPr>
      </w:pPr>
      <w:r>
        <w:rPr>
          <w:rFonts w:ascii="Arial" w:hAnsi="Arial" w:eastAsia="Batang"/>
          <w:sz w:val="32"/>
          <w:szCs w:val="32"/>
          <w:lang w:val="en-US" w:eastAsia="ko-KR"/>
        </w:rPr>
        <w:t>Appendix: TEI guidance in [1</w:t>
      </w:r>
      <w:r>
        <w:rPr>
          <w:rFonts w:hint="eastAsia" w:ascii="Arial" w:hAnsi="Arial" w:eastAsia="MS Mincho"/>
          <w:sz w:val="32"/>
          <w:szCs w:val="32"/>
          <w:lang w:val="en-US"/>
        </w:rPr>
        <w:t>0</w:t>
      </w:r>
      <w:r>
        <w:rPr>
          <w:rFonts w:ascii="Arial" w:hAnsi="Arial" w:eastAsia="Batang"/>
          <w:sz w:val="32"/>
          <w:szCs w:val="32"/>
          <w:lang w:val="en-US" w:eastAsia="ko-KR"/>
        </w:rPr>
        <w:t>]</w:t>
      </w:r>
    </w:p>
    <w:p w14:paraId="73490E46">
      <w:pPr>
        <w:rPr>
          <w:rFonts w:eastAsia="Times New Roman"/>
          <w:b/>
          <w:bCs/>
          <w:sz w:val="18"/>
          <w:szCs w:val="18"/>
        </w:rPr>
      </w:pPr>
      <w:r>
        <w:rPr>
          <w:b/>
          <w:bCs/>
          <w:sz w:val="22"/>
          <w:szCs w:val="18"/>
        </w:rPr>
        <w:t>A.</w:t>
      </w:r>
      <w:r>
        <w:rPr>
          <w:b/>
          <w:bCs/>
          <w:sz w:val="22"/>
          <w:szCs w:val="18"/>
        </w:rPr>
        <w:tab/>
      </w:r>
      <w:r>
        <w:rPr>
          <w:b/>
          <w:bCs/>
          <w:sz w:val="22"/>
          <w:szCs w:val="18"/>
        </w:rPr>
        <w:t>TEI Work Item codes shall only be used for small technical enhancements and improvements.</w:t>
      </w:r>
    </w:p>
    <w:p w14:paraId="3AE1859B">
      <w:pPr>
        <w:rPr>
          <w:sz w:val="22"/>
          <w:szCs w:val="18"/>
        </w:rPr>
      </w:pPr>
      <w:r>
        <w:rPr>
          <w:sz w:val="22"/>
          <w:szCs w:val="18"/>
        </w:rPr>
        <w:t>This is how TEI was and is defined and it means that bigger topics should be done in an own WI.</w:t>
      </w:r>
    </w:p>
    <w:p w14:paraId="5723AF0E">
      <w:pPr>
        <w:rPr>
          <w:b/>
          <w:bCs/>
          <w:sz w:val="22"/>
          <w:szCs w:val="18"/>
        </w:rPr>
      </w:pPr>
      <w:r>
        <w:rPr>
          <w:b/>
          <w:bCs/>
          <w:sz w:val="22"/>
          <w:szCs w:val="18"/>
        </w:rPr>
        <w:t>B.</w:t>
      </w:r>
      <w:r>
        <w:rPr>
          <w:b/>
          <w:bCs/>
          <w:sz w:val="22"/>
          <w:szCs w:val="18"/>
        </w:rPr>
        <w:tab/>
      </w:r>
      <w:r>
        <w:rPr>
          <w:b/>
          <w:bCs/>
          <w:sz w:val="22"/>
          <w:szCs w:val="18"/>
        </w:rPr>
        <w:t>A TEI CR set shall be fully completed within one TSG cycle/quarter in all affected WGs.</w:t>
      </w:r>
    </w:p>
    <w:p w14:paraId="6C557E64">
      <w:pPr>
        <w:rPr>
          <w:sz w:val="22"/>
          <w:szCs w:val="18"/>
        </w:rPr>
      </w:pPr>
      <w:r>
        <w:rPr>
          <w:sz w:val="22"/>
          <w:szCs w:val="18"/>
        </w:rPr>
        <w:t>This requirement from TR 21.900 was never challenged. It also clarifies that only complete sets can be approved.</w:t>
      </w:r>
    </w:p>
    <w:p w14:paraId="4282D77E">
      <w:pPr>
        <w:rPr>
          <w:b/>
          <w:bCs/>
          <w:sz w:val="22"/>
          <w:szCs w:val="18"/>
        </w:rPr>
      </w:pPr>
      <w:r>
        <w:rPr>
          <w:b/>
          <w:bCs/>
          <w:sz w:val="22"/>
          <w:szCs w:val="18"/>
        </w:rPr>
        <w:t>C.</w:t>
      </w:r>
      <w:r>
        <w:rPr>
          <w:b/>
          <w:bCs/>
          <w:sz w:val="22"/>
          <w:szCs w:val="18"/>
        </w:rPr>
        <w:tab/>
      </w:r>
      <w:r>
        <w:rPr>
          <w:b/>
          <w:bCs/>
          <w:sz w:val="22"/>
          <w:szCs w:val="18"/>
        </w:rPr>
        <w:t>TEI Work Item codes shall not be used where another appropriate Work Item code exists.</w:t>
      </w:r>
    </w:p>
    <w:p w14:paraId="42FF9EFE">
      <w:pPr>
        <w:rPr>
          <w:sz w:val="22"/>
          <w:szCs w:val="18"/>
        </w:rPr>
      </w:pPr>
      <w:r>
        <w:rPr>
          <w:sz w:val="22"/>
          <w:szCs w:val="18"/>
        </w:rP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26A332AA">
      <w:pPr>
        <w:rPr>
          <w:sz w:val="22"/>
          <w:szCs w:val="18"/>
        </w:rPr>
      </w:pPr>
      <w:r>
        <w:rPr>
          <w:sz w:val="22"/>
          <w:szCs w:val="18"/>
        </w:rPr>
        <w:t>D.</w:t>
      </w:r>
      <w:r>
        <w:rPr>
          <w:sz w:val="22"/>
          <w:szCs w:val="18"/>
        </w:rPr>
        <w:tab/>
      </w:r>
      <w:r>
        <w:rPr>
          <w:sz w:val="22"/>
          <w:szCs w:val="18"/>
        </w:rPr>
        <w:t>Inter-TSG aspect:</w:t>
      </w:r>
    </w:p>
    <w:p w14:paraId="229E1C77">
      <w:pPr>
        <w:rPr>
          <w:b/>
          <w:bCs/>
          <w:sz w:val="22"/>
          <w:szCs w:val="18"/>
        </w:rPr>
      </w:pPr>
      <w:r>
        <w:rPr>
          <w:b/>
          <w:bCs/>
          <w:sz w:val="22"/>
          <w:szCs w:val="18"/>
        </w:rPr>
        <w:t>D1.</w:t>
      </w:r>
      <w:r>
        <w:rPr>
          <w:b/>
          <w:bCs/>
          <w:sz w:val="22"/>
          <w:szCs w:val="18"/>
        </w:rPr>
        <w:tab/>
      </w:r>
      <w:r>
        <w:rPr>
          <w:b/>
          <w:bCs/>
          <w:sz w:val="22"/>
          <w:szCs w:val="18"/>
        </w:rPr>
        <w:t>Normally, for TSG SA/CT work that requires cat.B/C CRs from RAN WGs a RAN WI is required..</w:t>
      </w:r>
    </w:p>
    <w:p w14:paraId="6883B6D6">
      <w:pPr>
        <w:rPr>
          <w:sz w:val="22"/>
          <w:szCs w:val="18"/>
        </w:rPr>
      </w:pPr>
      <w:r>
        <w:rPr>
          <w:sz w:val="22"/>
          <w:szCs w:val="18"/>
        </w:rPr>
        <w:t>This is what RAN applied in the last decade (if not longer). This also covers the strong discouragement of cross TSG TEI CRs expressed in RP-191602 slide 3.</w:t>
      </w:r>
    </w:p>
    <w:p w14:paraId="244520D0">
      <w:pPr>
        <w:rPr>
          <w:b/>
          <w:bCs/>
          <w:sz w:val="22"/>
          <w:szCs w:val="18"/>
        </w:rPr>
      </w:pPr>
      <w:r>
        <w:rPr>
          <w:b/>
          <w:bCs/>
          <w:sz w:val="22"/>
          <w:szCs w:val="18"/>
        </w:rPr>
        <w:t>D2.</w:t>
      </w:r>
      <w:r>
        <w:rPr>
          <w:b/>
          <w:bCs/>
          <w:sz w:val="22"/>
          <w:szCs w:val="18"/>
        </w:rPr>
        <w:tab/>
      </w:r>
      <w:r>
        <w:rPr>
          <w:b/>
          <w:bCs/>
          <w:sz w:val="22"/>
          <w:szCs w:val="18"/>
        </w:rPr>
        <w:t xml:space="preserve">In case the RAN work triggered via a TSG SA/CT WI* is small and it affects only one RAN WG, then the RAN </w:t>
      </w:r>
      <w:r>
        <w:rPr>
          <w:b/>
          <w:bCs/>
          <w:sz w:val="22"/>
          <w:szCs w:val="18"/>
        </w:rPr>
        <w:tab/>
      </w:r>
      <w:r>
        <w:rPr>
          <w:b/>
          <w:bCs/>
          <w:sz w:val="22"/>
          <w:szCs w:val="18"/>
        </w:rPr>
        <w:t xml:space="preserve">WG CR(s) shall use the WI code* of the TSG SA/CT WI that triggered this work. </w:t>
      </w:r>
      <w:r>
        <w:rPr>
          <w:b/>
          <w:bCs/>
          <w:sz w:val="22"/>
          <w:szCs w:val="18"/>
        </w:rPr>
        <w:br w:type="textWrapping"/>
      </w:r>
      <w:r>
        <w:rPr>
          <w:b/>
          <w:bCs/>
          <w:sz w:val="22"/>
          <w:szCs w:val="18"/>
        </w:rPr>
        <w:t>NOTE: *: provisional WI codes, companion WIDs/"mini-WIDs" are not meant here but already TSG approved proper WIs.</w:t>
      </w:r>
    </w:p>
    <w:p w14:paraId="0E23029E">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ype="textWrapping"/>
      </w:r>
      <w:r>
        <w:rPr>
          <w:sz w:val="22"/>
          <w:szCs w:val="18"/>
        </w:rPr>
        <w:t>(Note: D2. could work also in the other direction, i.e. if there is a RAN WI for which is turns out that only a small change would be needed in one SA WG or one CT WG. But you better consult TSG SA/CT before trying this approach.)</w:t>
      </w:r>
    </w:p>
    <w:p w14:paraId="0D687FA2">
      <w:pPr>
        <w:rPr>
          <w:b/>
          <w:bCs/>
          <w:sz w:val="22"/>
          <w:szCs w:val="18"/>
        </w:rPr>
      </w:pPr>
      <w:r>
        <w:rPr>
          <w:b/>
          <w:bCs/>
          <w:sz w:val="22"/>
          <w:szCs w:val="18"/>
        </w:rPr>
        <w:t>D3.</w:t>
      </w:r>
      <w:r>
        <w:rPr>
          <w:b/>
          <w:bCs/>
          <w:sz w:val="22"/>
          <w:szCs w:val="18"/>
        </w:rPr>
        <w:tab/>
      </w:r>
      <w:r>
        <w:rPr>
          <w:b/>
          <w:bCs/>
          <w:sz w:val="22"/>
          <w:szCs w:val="18"/>
        </w:rPr>
        <w:t>It is not possible to trigger work in RAN WGs via TEI CRs coming from TSG SA/CT or SA/CT WGs. The same applies for the reverse direction.</w:t>
      </w:r>
    </w:p>
    <w:p w14:paraId="52D67535">
      <w:pPr>
        <w:rPr>
          <w:sz w:val="22"/>
          <w:szCs w:val="18"/>
        </w:rPr>
      </w:pPr>
      <w:r>
        <w:rPr>
          <w:sz w:val="22"/>
          <w:szCs w:val="18"/>
        </w:rPr>
        <w:t>Otherwise "small" (TEI) but affecting multiple TSGs would contradict each other. (Apart from this, inter-TSG TEI CRs would also not work well together for cat.B/C CRs if SA/CT use a companion WID but RAN does not.).</w:t>
      </w:r>
    </w:p>
    <w:p w14:paraId="4DE529F8">
      <w:pPr>
        <w:rPr>
          <w:sz w:val="22"/>
          <w:szCs w:val="18"/>
        </w:rPr>
      </w:pPr>
      <w:r>
        <w:rPr>
          <w:sz w:val="22"/>
          <w:szCs w:val="18"/>
        </w:rPr>
        <w:t>E.</w:t>
      </w:r>
      <w:r>
        <w:rPr>
          <w:sz w:val="22"/>
          <w:szCs w:val="18"/>
        </w:rPr>
        <w:tab/>
      </w:r>
      <w:r>
        <w:rPr>
          <w:sz w:val="22"/>
          <w:szCs w:val="18"/>
        </w:rPr>
        <w:t>Inter-RAN WG aspects:</w:t>
      </w:r>
    </w:p>
    <w:p w14:paraId="516376DC">
      <w:pPr>
        <w:rPr>
          <w:sz w:val="22"/>
          <w:szCs w:val="18"/>
        </w:rPr>
      </w:pPr>
      <w:r>
        <w:rPr>
          <w:sz w:val="22"/>
          <w:szCs w:val="18"/>
        </w:rP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8455CBD">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4B99FA16">
      <w:pPr>
        <w:rPr>
          <w:sz w:val="22"/>
          <w:szCs w:val="18"/>
        </w:rPr>
      </w:pPr>
      <w:r>
        <w:rPr>
          <w:sz w:val="22"/>
          <w:szCs w:val="18"/>
        </w:rPr>
        <w:t>RP-191602 [2] provided some guidance on Cross-WG TEI CRs in RAN WGs:</w:t>
      </w:r>
    </w:p>
    <w:p w14:paraId="19E526D1">
      <w:pPr>
        <w:rPr>
          <w:sz w:val="22"/>
          <w:szCs w:val="18"/>
        </w:rPr>
      </w:pPr>
      <w:r>
        <w:rPr>
          <w:sz w:val="22"/>
          <w:szCs w:val="18"/>
        </w:rPr>
        <w:t>-</w:t>
      </w:r>
      <w:r>
        <w:rPr>
          <w:sz w:val="22"/>
          <w:szCs w:val="18"/>
        </w:rPr>
        <w:tab/>
      </w:r>
      <w:r>
        <w:rPr>
          <w:sz w:val="22"/>
          <w:szCs w:val="18"/>
        </w:rPr>
        <w:t>Cross WG TEI CRs are strongly discouraged</w:t>
      </w:r>
    </w:p>
    <w:p w14:paraId="1F73C371">
      <w:pPr>
        <w:rPr>
          <w:sz w:val="22"/>
          <w:szCs w:val="18"/>
        </w:rPr>
      </w:pPr>
      <w:r>
        <w:rPr>
          <w:sz w:val="22"/>
          <w:szCs w:val="18"/>
        </w:rPr>
        <w:t>-</w:t>
      </w:r>
      <w:r>
        <w:rPr>
          <w:sz w:val="22"/>
          <w:szCs w:val="18"/>
        </w:rPr>
        <w:tab/>
      </w:r>
      <w:r>
        <w:rPr>
          <w:sz w:val="22"/>
          <w:szCs w:val="18"/>
        </w:rPr>
        <w:t>RAN1/2 TEI proposals with RAN4 impact to core requirements are strongly discouraged</w:t>
      </w:r>
    </w:p>
    <w:p w14:paraId="42F13C86">
      <w:pPr>
        <w:rPr>
          <w:sz w:val="22"/>
          <w:szCs w:val="18"/>
        </w:rPr>
      </w:pPr>
      <w:r>
        <w:rPr>
          <w:sz w:val="22"/>
          <w:szCs w:val="18"/>
        </w:rPr>
        <w:t>-</w:t>
      </w:r>
      <w:r>
        <w:rPr>
          <w:sz w:val="22"/>
          <w:szCs w:val="18"/>
        </w:rPr>
        <w:tab/>
      </w:r>
      <w:bookmarkStart w:id="82" w:name="_Hlk67580046"/>
      <w:r>
        <w:rPr>
          <w:b/>
          <w:bCs/>
          <w:sz w:val="22"/>
          <w:szCs w:val="18"/>
        </w:rPr>
        <w:t xml:space="preserve">RAN2 impact of RAN1/4-led TEI CRs shall be limited to RRC signalling of configuration parameters and </w:t>
      </w:r>
      <w:r>
        <w:rPr>
          <w:b/>
          <w:bCs/>
          <w:sz w:val="22"/>
          <w:szCs w:val="18"/>
        </w:rPr>
        <w:tab/>
      </w:r>
      <w:r>
        <w:rPr>
          <w:b/>
          <w:bCs/>
          <w:sz w:val="22"/>
          <w:szCs w:val="18"/>
        </w:rPr>
        <w:t>UE capabilities (no MAC impact, no RRC procedural impact, etc.)</w:t>
      </w:r>
      <w:bookmarkEnd w:id="82"/>
    </w:p>
    <w:p w14:paraId="470D6CC9">
      <w:pPr>
        <w:rPr>
          <w:sz w:val="22"/>
          <w:szCs w:val="18"/>
        </w:rPr>
      </w:pPr>
      <w:bookmarkStart w:id="83" w:name="_Hlk67580600"/>
      <w:r>
        <w:rPr>
          <w:sz w:val="22"/>
          <w:szCs w:val="18"/>
        </w:rPr>
        <w:t>Note: Ideally one RAN WG would take the decision about whether a TEI feature should be introduced or not and other RAN WGs then accept this decision and contribute their TEI CRs.</w:t>
      </w:r>
      <w:bookmarkEnd w:id="83"/>
    </w:p>
    <w:p w14:paraId="76BA7B55">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102500A8">
      <w:pPr>
        <w:rPr>
          <w:sz w:val="22"/>
          <w:szCs w:val="18"/>
        </w:rPr>
      </w:pPr>
      <w:r>
        <w:rPr>
          <w:sz w:val="22"/>
          <w:szCs w:val="18"/>
        </w:rPr>
        <w:t>The basic requirements discussed in section E. were endorsed by TSG RAN in RP-202867 [7] but further clarification/guidance is provided here.</w:t>
      </w:r>
    </w:p>
    <w:p w14:paraId="7A61CB90">
      <w:pPr>
        <w:rPr>
          <w:sz w:val="22"/>
          <w:szCs w:val="18"/>
        </w:rPr>
      </w:pPr>
      <w:r>
        <w:rPr>
          <w:b/>
          <w:bCs/>
          <w:sz w:val="22"/>
          <w:szCs w:val="18"/>
        </w:rPr>
        <w:t>E.1</w:t>
      </w:r>
      <w:r>
        <w:rPr>
          <w:b/>
          <w:bCs/>
          <w:sz w:val="22"/>
          <w:szCs w:val="18"/>
        </w:rPr>
        <w:tab/>
      </w:r>
      <w:r>
        <w:rPr>
          <w:b/>
          <w:bCs/>
          <w:sz w:val="22"/>
          <w:szCs w:val="18"/>
        </w:rPr>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type="textWrapping"/>
      </w:r>
      <w:r>
        <w:rPr>
          <w:b/>
          <w:bCs/>
          <w:sz w:val="22"/>
          <w:szCs w:val="18"/>
        </w:rPr>
        <w:tab/>
      </w:r>
      <w:r>
        <w:rPr>
          <w:b/>
          <w:bCs/>
          <w:sz w:val="22"/>
          <w:szCs w:val="18"/>
        </w:rPr>
        <w:t xml:space="preserve">if Yes is ticked at least the TS/TR shall be indicated and this for the present WG and all other WGs that </w:t>
      </w:r>
      <w:r>
        <w:rPr>
          <w:b/>
          <w:bCs/>
          <w:sz w:val="22"/>
          <w:szCs w:val="18"/>
        </w:rPr>
        <w:tab/>
      </w:r>
      <w:r>
        <w:rPr>
          <w:b/>
          <w:bCs/>
          <w:sz w:val="22"/>
          <w:szCs w:val="18"/>
        </w:rPr>
        <w:t xml:space="preserve">have CRs linked to </w:t>
      </w:r>
      <w:r>
        <w:rPr>
          <w:b/>
          <w:bCs/>
          <w:sz w:val="22"/>
          <w:szCs w:val="18"/>
        </w:rPr>
        <w:tab/>
      </w:r>
      <w:r>
        <w:rPr>
          <w:b/>
          <w:bCs/>
          <w:sz w:val="22"/>
          <w:szCs w:val="18"/>
        </w:rPr>
        <w:t>the present CR.</w:t>
      </w:r>
      <w:r>
        <w:rPr>
          <w:b/>
          <w:bCs/>
          <w:sz w:val="22"/>
          <w:szCs w:val="18"/>
        </w:rPr>
        <w:br w:type="textWrapping"/>
      </w:r>
      <w:r>
        <w:rPr>
          <w:b/>
          <w:bCs/>
          <w:sz w:val="22"/>
          <w:szCs w:val="18"/>
        </w:rPr>
        <w:tab/>
      </w:r>
      <w:r>
        <w:rPr>
          <w:b/>
          <w:bCs/>
          <w:sz w:val="22"/>
          <w:szCs w:val="18"/>
        </w:rPr>
        <w:t>TEI CRs missing this information or having wrong information shall not be approved.</w:t>
      </w:r>
    </w:p>
    <w:p w14:paraId="739700AE">
      <w:pPr>
        <w:rPr>
          <w:sz w:val="22"/>
          <w:szCs w:val="18"/>
        </w:rPr>
      </w:pPr>
      <w:r>
        <w:rPr>
          <w:sz w:val="22"/>
          <w:szCs w:val="18"/>
        </w:rPr>
        <w:t>These requirements were always there. But some clarification is required.</w:t>
      </w:r>
    </w:p>
    <w:p w14:paraId="5107685D">
      <w:pPr>
        <w:rPr>
          <w:sz w:val="22"/>
          <w:szCs w:val="18"/>
        </w:rPr>
      </w:pPr>
      <w:r>
        <w:rPr>
          <w:sz w:val="22"/>
          <w:szCs w:val="18"/>
        </w:rPr>
        <w:t>-</w:t>
      </w:r>
      <w:r>
        <w:rPr>
          <w:sz w:val="22"/>
          <w:szCs w:val="18"/>
        </w:rPr>
        <w:tab/>
      </w:r>
      <w:r>
        <w:rPr>
          <w:sz w:val="22"/>
          <w:szCs w:val="18"/>
        </w:rPr>
        <w:t xml:space="preserve">"other specs affected" is used to link CRs that belong together which is essential for cat.F CRs and for cat.B/C TEI </w:t>
      </w:r>
      <w:r>
        <w:rPr>
          <w:sz w:val="22"/>
          <w:szCs w:val="18"/>
        </w:rPr>
        <w:tab/>
      </w:r>
      <w:r>
        <w:rPr>
          <w:sz w:val="22"/>
          <w:szCs w:val="18"/>
        </w:rPr>
        <w:t xml:space="preserve">CRs to guarantee that a complete set of CRs is approved. Note: For cat.B CRs of other WIs, we have an extra RAN </w:t>
      </w:r>
      <w:r>
        <w:rPr>
          <w:sz w:val="22"/>
          <w:szCs w:val="18"/>
        </w:rPr>
        <w:tab/>
      </w:r>
      <w:r>
        <w:rPr>
          <w:sz w:val="22"/>
          <w:szCs w:val="18"/>
        </w:rPr>
        <w:t xml:space="preserve">agenda item for each of them and we usually approve all stage 3 CRs together. But for closed WIs or TEI CRs we </w:t>
      </w:r>
      <w:r>
        <w:rPr>
          <w:sz w:val="22"/>
          <w:szCs w:val="18"/>
        </w:rPr>
        <w:tab/>
      </w:r>
      <w:r>
        <w:rPr>
          <w:sz w:val="22"/>
          <w:szCs w:val="18"/>
        </w:rPr>
        <w:t xml:space="preserve">have normally just one agenda item collecting a larger number of CRs and then the relation of the CRs becomes </w:t>
      </w:r>
      <w:r>
        <w:rPr>
          <w:sz w:val="22"/>
          <w:szCs w:val="18"/>
        </w:rPr>
        <w:tab/>
      </w:r>
      <w:r>
        <w:rPr>
          <w:sz w:val="22"/>
          <w:szCs w:val="18"/>
        </w:rPr>
        <w:t>unclear if "other specs affected" is not filled out properly.</w:t>
      </w:r>
      <w:r>
        <w:rPr>
          <w:sz w:val="22"/>
          <w:szCs w:val="18"/>
        </w:rPr>
        <w:br w:type="textWrapping"/>
      </w:r>
      <w:r>
        <w:rPr>
          <w:sz w:val="22"/>
          <w:szCs w:val="18"/>
        </w:rPr>
        <w:tab/>
      </w:r>
      <w:r>
        <w:rPr>
          <w:sz w:val="22"/>
          <w:szCs w:val="18"/>
        </w:rPr>
        <w:t xml:space="preserve">NOTE: Other specs affected should also list inter-TSG related CRs if it is clear that these CRs can only be applied </w:t>
      </w:r>
      <w:r>
        <w:rPr>
          <w:sz w:val="22"/>
          <w:szCs w:val="18"/>
        </w:rPr>
        <w:tab/>
      </w:r>
      <w:r>
        <w:rPr>
          <w:sz w:val="22"/>
          <w:szCs w:val="18"/>
        </w:rPr>
        <w:t>together. This usually involves a conditional approval at TSG level</w:t>
      </w:r>
    </w:p>
    <w:p w14:paraId="7B59FB8F">
      <w:pPr>
        <w:rPr>
          <w:sz w:val="22"/>
          <w:szCs w:val="18"/>
        </w:rPr>
      </w:pPr>
      <w:r>
        <w:rPr>
          <w:sz w:val="22"/>
          <w:szCs w:val="18"/>
        </w:rPr>
        <w:t>-</w:t>
      </w:r>
      <w:r>
        <w:rPr>
          <w:sz w:val="22"/>
          <w:szCs w:val="18"/>
        </w:rPr>
        <w:tab/>
      </w:r>
      <w:r>
        <w:rPr>
          <w:sz w:val="22"/>
          <w:szCs w:val="18"/>
        </w:rPr>
        <w:t>"</w:t>
      </w:r>
      <w:r>
        <w:rPr>
          <w:sz w:val="22"/>
          <w:szCs w:val="18"/>
          <w:u w:val="single"/>
        </w:rPr>
        <w:t>Other core specifications</w:t>
      </w:r>
      <w:r>
        <w:rPr>
          <w:sz w:val="22"/>
          <w:szCs w:val="18"/>
        </w:rPr>
        <w:t xml:space="preserve">" under "Other specs affected" on the CR cover: Going back to RAN #46 of Dec.2009 </w:t>
      </w:r>
      <w:r>
        <w:rPr>
          <w:sz w:val="22"/>
          <w:szCs w:val="18"/>
        </w:rPr>
        <w:tab/>
      </w:r>
      <w:r>
        <w:rPr>
          <w:sz w:val="22"/>
          <w:szCs w:val="18"/>
        </w:rPr>
        <w:t xml:space="preserve">where TSG RAN decided to have separate Core part WIs and Perf. part WIs (in RP-091374) you can see from </w:t>
      </w:r>
      <w:r>
        <w:rPr>
          <w:sz w:val="22"/>
          <w:szCs w:val="18"/>
        </w:rPr>
        <w:tab/>
      </w:r>
      <w:r>
        <w:rPr>
          <w:sz w:val="22"/>
          <w:szCs w:val="18"/>
        </w:rPr>
        <w:t xml:space="preserve">comparing with CR form v9.6 that the term "Other core specifications" is only intended to distinguish those specs </w:t>
      </w:r>
      <w:r>
        <w:rPr>
          <w:sz w:val="22"/>
          <w:szCs w:val="18"/>
        </w:rPr>
        <w:tab/>
      </w:r>
      <w:r>
        <w:rPr>
          <w:sz w:val="22"/>
          <w:szCs w:val="18"/>
        </w:rPr>
        <w:t xml:space="preserve">from "Test specifications" and "O&amp;M specifications" but not to exclude Perf. part related specs from "Other specs </w:t>
      </w:r>
      <w:r>
        <w:rPr>
          <w:sz w:val="22"/>
          <w:szCs w:val="18"/>
        </w:rPr>
        <w:tab/>
      </w:r>
      <w:r>
        <w:rPr>
          <w:sz w:val="22"/>
          <w:szCs w:val="18"/>
        </w:rPr>
        <w:t xml:space="preserve">affected": This means as long as CR form is not updated "Other core specifications" should cover Core part </w:t>
      </w:r>
      <w:r>
        <w:rPr>
          <w:sz w:val="22"/>
          <w:szCs w:val="18"/>
        </w:rPr>
        <w:tab/>
      </w:r>
      <w:r>
        <w:rPr>
          <w:sz w:val="22"/>
          <w:szCs w:val="18"/>
        </w:rPr>
        <w:t>specifications AND Perf. part specifications as defined in TSG RAN.</w:t>
      </w:r>
    </w:p>
    <w:p w14:paraId="44E07AD4">
      <w:pPr>
        <w:rPr>
          <w:sz w:val="22"/>
          <w:szCs w:val="18"/>
        </w:rPr>
      </w:pPr>
      <w:r>
        <w:rPr>
          <w:sz w:val="22"/>
          <w:szCs w:val="18"/>
        </w:rPr>
        <w:t>-</w:t>
      </w:r>
      <w:r>
        <w:rPr>
          <w:sz w:val="22"/>
          <w:szCs w:val="18"/>
        </w:rPr>
        <w:tab/>
      </w:r>
      <w:r>
        <w:rPr>
          <w:sz w:val="22"/>
          <w:szCs w:val="18"/>
        </w:rPr>
        <w:t>"</w:t>
      </w:r>
      <w:r>
        <w:rPr>
          <w:sz w:val="22"/>
          <w:szCs w:val="18"/>
          <w:u w:val="single"/>
        </w:rPr>
        <w:t>Test specifications</w:t>
      </w:r>
      <w:r>
        <w:rPr>
          <w:sz w:val="22"/>
          <w:szCs w:val="18"/>
        </w:rPr>
        <w:t xml:space="preserve">" under "Other specs affected" on the CR cover: Testing under TSG RAN is either done in </w:t>
      </w:r>
      <w:r>
        <w:rPr>
          <w:sz w:val="22"/>
          <w:szCs w:val="18"/>
        </w:rPr>
        <w:tab/>
      </w:r>
      <w:r>
        <w:rPr>
          <w:sz w:val="22"/>
          <w:szCs w:val="18"/>
        </w:rPr>
        <w:t xml:space="preserve">RAN4 or in RAN5. Since RAN5 has separate WIs for testing that usually are also just started after RAN4 work is </w:t>
      </w:r>
      <w:r>
        <w:rPr>
          <w:sz w:val="22"/>
          <w:szCs w:val="18"/>
        </w:rPr>
        <w:tab/>
      </w:r>
      <w:r>
        <w:rPr>
          <w:sz w:val="22"/>
          <w:szCs w:val="18"/>
        </w:rPr>
        <w:t xml:space="preserve">completed, it would not make much sense to reference RAN5 specs on a RAN4 CR as it is clear that the RAN5 CR </w:t>
      </w:r>
      <w:r>
        <w:rPr>
          <w:sz w:val="22"/>
          <w:szCs w:val="18"/>
        </w:rPr>
        <w:tab/>
      </w:r>
      <w:r>
        <w:rPr>
          <w:sz w:val="22"/>
          <w:szCs w:val="18"/>
        </w:rPr>
        <w:t xml:space="preserve">will just follow later (here it is more appropriate to review the corresponding RAN5 WI when it becomes </w:t>
      </w:r>
      <w:r>
        <w:rPr>
          <w:sz w:val="22"/>
          <w:szCs w:val="18"/>
        </w:rPr>
        <w:tab/>
      </w:r>
      <w:r>
        <w:rPr>
          <w:sz w:val="22"/>
          <w:szCs w:val="18"/>
        </w:rPr>
        <w:t>available).</w:t>
      </w:r>
      <w:r>
        <w:rPr>
          <w:sz w:val="22"/>
          <w:szCs w:val="18"/>
        </w:rPr>
        <w:br w:type="textWrapping"/>
      </w:r>
      <w:r>
        <w:rPr>
          <w:sz w:val="22"/>
          <w:szCs w:val="18"/>
        </w:rPr>
        <w:tab/>
      </w:r>
      <w:r>
        <w:rPr>
          <w:sz w:val="22"/>
          <w:szCs w:val="18"/>
        </w:rPr>
        <w:t xml:space="preserve">Examples where it could make sense to fill out this field: For RAN4 CRs to a WI that involve BS testing for the </w:t>
      </w:r>
      <w:r>
        <w:rPr>
          <w:sz w:val="22"/>
          <w:szCs w:val="18"/>
        </w:rPr>
        <w:tab/>
      </w:r>
      <w:r>
        <w:rPr>
          <w:sz w:val="22"/>
          <w:szCs w:val="18"/>
        </w:rPr>
        <w:t xml:space="preserve">same WI/a linked CR. For CRs to SI TRs to which RAN4 and RAN5 contribute together with CRs. For a cat.B/C </w:t>
      </w:r>
      <w:r>
        <w:rPr>
          <w:sz w:val="22"/>
          <w:szCs w:val="18"/>
        </w:rPr>
        <w:tab/>
      </w:r>
      <w:r>
        <w:rPr>
          <w:sz w:val="22"/>
          <w:szCs w:val="18"/>
        </w:rPr>
        <w:t>TEI CR of RAN1/2/3/4 that has a corresponding CR in RAN5 under TEIx_Test.</w:t>
      </w:r>
    </w:p>
    <w:p w14:paraId="4C1EDF7B">
      <w:pPr>
        <w:rPr>
          <w:sz w:val="22"/>
          <w:szCs w:val="18"/>
        </w:rPr>
      </w:pPr>
      <w:r>
        <w:rPr>
          <w:sz w:val="22"/>
          <w:szCs w:val="18"/>
        </w:rPr>
        <w:t>-</w:t>
      </w:r>
      <w:r>
        <w:rPr>
          <w:sz w:val="22"/>
          <w:szCs w:val="18"/>
        </w:rPr>
        <w:tab/>
      </w:r>
      <w:r>
        <w:rPr>
          <w:sz w:val="22"/>
          <w:szCs w:val="18"/>
        </w:rPr>
        <w:t>"</w:t>
      </w:r>
      <w:r>
        <w:rPr>
          <w:sz w:val="22"/>
          <w:szCs w:val="18"/>
          <w:u w:val="single"/>
        </w:rPr>
        <w:t>O&amp;M Specifications</w:t>
      </w:r>
      <w:r>
        <w:rPr>
          <w:sz w:val="22"/>
          <w:szCs w:val="18"/>
        </w:rPr>
        <w:t xml:space="preserve">" under "Other specs affected" on the CR cover: O&amp;M specifications are handled by SA5. </w:t>
      </w:r>
      <w:r>
        <w:rPr>
          <w:sz w:val="22"/>
          <w:szCs w:val="18"/>
        </w:rPr>
        <w:tab/>
      </w:r>
      <w:r>
        <w:rPr>
          <w:sz w:val="22"/>
          <w:szCs w:val="18"/>
        </w:rPr>
        <w:t xml:space="preserve">SA5 has usually separate WIs for their changes and RAN CRs are not submitted to TSG SA or SA5, therefore the </w:t>
      </w:r>
      <w:r>
        <w:rPr>
          <w:sz w:val="22"/>
          <w:szCs w:val="18"/>
        </w:rPr>
        <w:tab/>
      </w:r>
      <w:r>
        <w:rPr>
          <w:sz w:val="22"/>
          <w:szCs w:val="18"/>
        </w:rPr>
        <w:t xml:space="preserve">benefit of this field is higher within TSG SA. Nevertheless, there may be cases of tighter cooperation of RAN WGs </w:t>
      </w:r>
      <w:r>
        <w:rPr>
          <w:sz w:val="22"/>
          <w:szCs w:val="18"/>
        </w:rPr>
        <w:tab/>
      </w:r>
      <w:r>
        <w:rPr>
          <w:sz w:val="22"/>
          <w:szCs w:val="18"/>
        </w:rPr>
        <w:t xml:space="preserve">with SA5 (like Minimization of drive tests) where it will be beneficial to indicate a related SA5 change coming to </w:t>
      </w:r>
      <w:r>
        <w:rPr>
          <w:sz w:val="22"/>
          <w:szCs w:val="18"/>
        </w:rPr>
        <w:tab/>
      </w:r>
      <w:r>
        <w:rPr>
          <w:sz w:val="22"/>
          <w:szCs w:val="18"/>
        </w:rPr>
        <w:t>the same TSG meeting.</w:t>
      </w:r>
    </w:p>
    <w:p w14:paraId="245A67D8">
      <w:pPr>
        <w:rPr>
          <w:sz w:val="22"/>
          <w:szCs w:val="18"/>
        </w:rPr>
      </w:pPr>
      <w:r>
        <w:rPr>
          <w:sz w:val="22"/>
          <w:szCs w:val="18"/>
        </w:rPr>
        <w:t>-</w:t>
      </w:r>
      <w:r>
        <w:rPr>
          <w:sz w:val="22"/>
          <w:szCs w:val="18"/>
        </w:rPr>
        <w:tab/>
      </w:r>
      <w:r>
        <w:rPr>
          <w:sz w:val="22"/>
          <w:szCs w:val="18"/>
        </w:rPr>
        <w:t>What needs to be done if WGx is assuming that TS/TR ab.cde of WGy is affected but they are not sure?</w:t>
      </w:r>
      <w:r>
        <w:rPr>
          <w:sz w:val="22"/>
          <w:szCs w:val="18"/>
        </w:rPr>
        <w:br w:type="textWrapping"/>
      </w:r>
      <w:r>
        <w:rPr>
          <w:sz w:val="22"/>
          <w:szCs w:val="18"/>
        </w:rPr>
        <w:tab/>
      </w:r>
      <w:r>
        <w:rPr>
          <w:sz w:val="22"/>
          <w:szCs w:val="18"/>
        </w:rPr>
        <w:t xml:space="preserve">WGx should list under "other comments" on the CR cover: "WGx thinks that also TS/TR ab.cde of WGy could be </w:t>
      </w:r>
      <w:r>
        <w:rPr>
          <w:sz w:val="22"/>
          <w:szCs w:val="18"/>
        </w:rPr>
        <w:tab/>
      </w:r>
      <w:r>
        <w:rPr>
          <w:sz w:val="22"/>
          <w:szCs w:val="18"/>
        </w:rPr>
        <w:t>impacted by this CR." Depending on the probability WGx would tick Yes (and mention the spec) or No.</w:t>
      </w:r>
      <w:r>
        <w:rPr>
          <w:sz w:val="22"/>
          <w:szCs w:val="18"/>
        </w:rPr>
        <w:br w:type="textWrapping"/>
      </w:r>
      <w:r>
        <w:rPr>
          <w:sz w:val="22"/>
          <w:szCs w:val="18"/>
        </w:rPr>
        <w:tab/>
      </w:r>
      <w:r>
        <w:rPr>
          <w:sz w:val="22"/>
          <w:szCs w:val="18"/>
        </w:rPr>
        <w:t xml:space="preserve">CR proponents shall check this with WGy (e.g. by sending an LS from WGx to WGy, submitting a Tdoc in WGy, </w:t>
      </w:r>
      <w:r>
        <w:rPr>
          <w:sz w:val="22"/>
          <w:szCs w:val="18"/>
        </w:rPr>
        <w:tab/>
      </w:r>
      <w:r>
        <w:rPr>
          <w:sz w:val="22"/>
          <w:szCs w:val="18"/>
        </w:rPr>
        <w:t xml:space="preserve">talking to the chairman of WGy) so that at the TSG meeting where WGx submits this CR for approval it is either </w:t>
      </w:r>
      <w:r>
        <w:rPr>
          <w:sz w:val="22"/>
          <w:szCs w:val="18"/>
        </w:rPr>
        <w:tab/>
      </w:r>
      <w:r>
        <w:rPr>
          <w:sz w:val="22"/>
          <w:szCs w:val="18"/>
        </w:rPr>
        <w:t>clear that there is no impact or that the WGy CR is available as well for approval.</w:t>
      </w:r>
      <w:r>
        <w:rPr>
          <w:sz w:val="22"/>
          <w:szCs w:val="18"/>
        </w:rPr>
        <w:br w:type="textWrapping"/>
      </w:r>
      <w:r>
        <w:rPr>
          <w:sz w:val="22"/>
          <w:szCs w:val="18"/>
        </w:rPr>
        <w:tab/>
      </w:r>
      <w:r>
        <w:rPr>
          <w:sz w:val="22"/>
          <w:szCs w:val="18"/>
        </w:rPr>
        <w:t xml:space="preserve">NOTE: MCC has the possibility to correct CR covers before RAN submission (e.g. remove a potential impact </w:t>
      </w:r>
      <w:r>
        <w:rPr>
          <w:sz w:val="22"/>
          <w:szCs w:val="18"/>
        </w:rPr>
        <w:tab/>
      </w:r>
      <w:r>
        <w:rPr>
          <w:sz w:val="22"/>
          <w:szCs w:val="18"/>
        </w:rPr>
        <w:t>comment if it turned out that there is no impact). But CR proponents need to inform MCC about this.</w:t>
      </w:r>
      <w:r>
        <w:rPr>
          <w:sz w:val="22"/>
          <w:szCs w:val="18"/>
        </w:rPr>
        <w:br w:type="textWrapping"/>
      </w:r>
      <w:r>
        <w:rPr>
          <w:sz w:val="22"/>
          <w:szCs w:val="18"/>
        </w:rPr>
        <w:tab/>
      </w:r>
      <w:r>
        <w:rPr>
          <w:sz w:val="22"/>
          <w:szCs w:val="18"/>
        </w:rPr>
        <w:t xml:space="preserve">Incomplete CR sets (i.e. WGx CR there but linked WGy CR not available) can not be approved at TSG level and </w:t>
      </w:r>
      <w:r>
        <w:rPr>
          <w:sz w:val="22"/>
          <w:szCs w:val="18"/>
        </w:rPr>
        <w:tab/>
      </w:r>
      <w:r>
        <w:rPr>
          <w:sz w:val="22"/>
          <w:szCs w:val="18"/>
        </w:rPr>
        <w:t xml:space="preserve">since cat.B/C TEI CRs have to be completed within one </w:t>
      </w:r>
      <w:r>
        <w:rPr>
          <w:sz w:val="22"/>
          <w:szCs w:val="18"/>
        </w:rPr>
        <w:tab/>
      </w:r>
      <w:r>
        <w:rPr>
          <w:sz w:val="22"/>
          <w:szCs w:val="18"/>
        </w:rPr>
        <w:t xml:space="preserve">quarter, this is time critical. </w:t>
      </w:r>
      <w:r>
        <w:rPr>
          <w:sz w:val="22"/>
          <w:szCs w:val="18"/>
        </w:rPr>
        <w:br w:type="textWrapping"/>
      </w:r>
      <w:r>
        <w:rPr>
          <w:sz w:val="22"/>
          <w:szCs w:val="18"/>
        </w:rPr>
        <w:tab/>
      </w:r>
      <w:r>
        <w:rPr>
          <w:sz w:val="22"/>
          <w:szCs w:val="18"/>
        </w:rPr>
        <w:t>Therefore very good preparation of cat.B/C TEI CRs which affect multiple WGs is essential.</w:t>
      </w:r>
    </w:p>
    <w:p w14:paraId="1C2B9DDD">
      <w:pPr>
        <w:rPr>
          <w:b/>
          <w:bCs/>
          <w:sz w:val="22"/>
          <w:szCs w:val="18"/>
        </w:rPr>
      </w:pPr>
      <w:r>
        <w:rPr>
          <w:b/>
          <w:bCs/>
          <w:sz w:val="22"/>
          <w:szCs w:val="18"/>
        </w:rPr>
        <w:t>E.2</w:t>
      </w:r>
      <w:r>
        <w:rPr>
          <w:b/>
          <w:bCs/>
          <w:sz w:val="22"/>
          <w:szCs w:val="18"/>
        </w:rPr>
        <w:tab/>
      </w:r>
      <w:r>
        <w:rPr>
          <w:b/>
          <w:bCs/>
          <w:sz w:val="22"/>
          <w:szCs w:val="18"/>
        </w:rPr>
        <w:t xml:space="preserve">Each TEI cat.B/C CR and each TEI cat.F/A CR that corrects functionality related to an earlier TEI </w:t>
      </w:r>
      <w:r>
        <w:rPr>
          <w:b/>
          <w:bCs/>
          <w:sz w:val="22"/>
          <w:szCs w:val="18"/>
        </w:rPr>
        <w:tab/>
      </w:r>
      <w:r>
        <w:rPr>
          <w:b/>
          <w:bCs/>
          <w:sz w:val="22"/>
          <w:szCs w:val="18"/>
        </w:rPr>
        <w:t xml:space="preserve">cat.B/C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r>
      <w:r>
        <w:rPr>
          <w:b/>
          <w:bCs/>
          <w:sz w:val="22"/>
          <w:szCs w:val="18"/>
        </w:rPr>
        <w:t>cover sheet.</w:t>
      </w:r>
      <w:r>
        <w:rPr>
          <w:b/>
          <w:bCs/>
          <w:sz w:val="22"/>
          <w:szCs w:val="18"/>
        </w:rPr>
        <w:br w:type="textWrapping"/>
      </w:r>
      <w:r>
        <w:rPr>
          <w:b/>
          <w:bCs/>
          <w:sz w:val="22"/>
          <w:szCs w:val="18"/>
        </w:rPr>
        <w:tab/>
      </w:r>
      <w:r>
        <w:rPr>
          <w:b/>
          <w:bCs/>
          <w:sz w:val="22"/>
          <w:szCs w:val="18"/>
        </w:rPr>
        <w:t>TEI cat.B/C CRs without such a unique TEI identifier cannot be approved at RAN.</w:t>
      </w:r>
    </w:p>
    <w:p w14:paraId="016C5A84">
      <w:pPr>
        <w:rPr>
          <w:sz w:val="22"/>
          <w:szCs w:val="18"/>
        </w:rPr>
      </w:pPr>
      <w:r>
        <w:rPr>
          <w:sz w:val="22"/>
          <w:szCs w:val="18"/>
        </w:rPr>
        <w:t>This principle was endorsed in RP-202867 [7] and further guidance for this approach is provided here:</w:t>
      </w:r>
    </w:p>
    <w:p w14:paraId="7425C3DE">
      <w:pPr>
        <w:rPr>
          <w:sz w:val="22"/>
          <w:szCs w:val="18"/>
        </w:rPr>
      </w:pPr>
      <w:r>
        <w:rPr>
          <w:sz w:val="22"/>
          <w:szCs w:val="18"/>
        </w:rPr>
        <w:t>-</w:t>
      </w:r>
      <w:r>
        <w:rPr>
          <w:sz w:val="22"/>
          <w:szCs w:val="18"/>
        </w:rPr>
        <w:tab/>
      </w:r>
      <w:r>
        <w:rPr>
          <w:sz w:val="22"/>
          <w:szCs w:val="18"/>
        </w:rPr>
        <w:t xml:space="preserve">The TEI identifier should be short (4 to 18 characters using letters and/or digits or using _ or - but avoiding blanks </w:t>
      </w:r>
      <w:r>
        <w:rPr>
          <w:sz w:val="22"/>
          <w:szCs w:val="18"/>
        </w:rPr>
        <w:tab/>
      </w:r>
      <w:r>
        <w:rPr>
          <w:sz w:val="22"/>
          <w:szCs w:val="18"/>
        </w:rPr>
        <w:t>or other special characters which will complicate searches) and characterize the CR.</w:t>
      </w:r>
    </w:p>
    <w:p w14:paraId="2A8E995D">
      <w:pPr>
        <w:rPr>
          <w:sz w:val="22"/>
          <w:szCs w:val="18"/>
        </w:rPr>
      </w:pPr>
      <w:r>
        <w:rPr>
          <w:sz w:val="22"/>
          <w:szCs w:val="18"/>
        </w:rPr>
        <w:t>-</w:t>
      </w:r>
      <w:r>
        <w:rPr>
          <w:sz w:val="22"/>
          <w:szCs w:val="18"/>
        </w:rPr>
        <w:tab/>
      </w:r>
      <w:r>
        <w:rPr>
          <w:sz w:val="22"/>
          <w:szCs w:val="18"/>
        </w:rPr>
        <w:t>The originating company takes care that related CRs in other WGs use the same TEI identifier.</w:t>
      </w:r>
    </w:p>
    <w:p w14:paraId="1BFBACC9">
      <w:pPr>
        <w:rPr>
          <w:sz w:val="22"/>
          <w:szCs w:val="18"/>
        </w:rPr>
      </w:pPr>
      <w:r>
        <w:rPr>
          <w:sz w:val="22"/>
          <w:szCs w:val="18"/>
        </w:rPr>
        <w:t>-</w:t>
      </w:r>
      <w:r>
        <w:rPr>
          <w:sz w:val="22"/>
          <w:szCs w:val="18"/>
        </w:rPr>
        <w:tab/>
      </w:r>
      <w:r>
        <w:rPr>
          <w:sz w:val="22"/>
          <w:szCs w:val="18"/>
        </w:rPr>
        <w:t xml:space="preserve">Unique identifiers are not added retroactively: Cat.F/A CRs for TEIs which did not have a unique identifier by </w:t>
      </w:r>
      <w:r>
        <w:rPr>
          <w:sz w:val="22"/>
          <w:szCs w:val="18"/>
        </w:rPr>
        <w:tab/>
      </w:r>
      <w:r>
        <w:rPr>
          <w:sz w:val="22"/>
          <w:szCs w:val="18"/>
        </w:rPr>
        <w:t>RAN #91e  will not get a unique identifier.</w:t>
      </w:r>
    </w:p>
    <w:p w14:paraId="7E553C2A">
      <w:pPr>
        <w:rPr>
          <w:sz w:val="22"/>
          <w:szCs w:val="18"/>
        </w:rPr>
      </w:pPr>
      <w:r>
        <w:rPr>
          <w:sz w:val="22"/>
          <w:szCs w:val="18"/>
        </w:rPr>
        <w:t>-</w:t>
      </w:r>
      <w:r>
        <w:rPr>
          <w:sz w:val="22"/>
          <w:szCs w:val="18"/>
        </w:rPr>
        <w:tab/>
      </w:r>
      <w:r>
        <w:rPr>
          <w:sz w:val="22"/>
          <w:szCs w:val="18"/>
        </w:rPr>
        <w:t xml:space="preserve">Apart from plain TEI CRs, the unique TEI identifiers shall also be applied to NR_newRAT-Core, TEIxx CRs </w:t>
      </w:r>
      <w:r>
        <w:rPr>
          <w:sz w:val="22"/>
          <w:szCs w:val="18"/>
        </w:rPr>
        <w:tab/>
      </w:r>
      <w:r>
        <w:rPr>
          <w:sz w:val="22"/>
          <w:szCs w:val="18"/>
        </w:rPr>
        <w:t>because NR_newRAT-Core was the huge WI for 5G.</w:t>
      </w:r>
    </w:p>
    <w:p w14:paraId="77B0CB0E">
      <w:pPr>
        <w:rPr>
          <w:sz w:val="22"/>
          <w:szCs w:val="18"/>
        </w:rPr>
      </w:pPr>
      <w:r>
        <w:rPr>
          <w:sz w:val="22"/>
          <w:szCs w:val="18"/>
        </w:rPr>
        <w:t>-</w:t>
      </w:r>
      <w:r>
        <w:rPr>
          <w:sz w:val="22"/>
          <w:szCs w:val="18"/>
        </w:rPr>
        <w:tab/>
      </w:r>
      <w:r>
        <w:rPr>
          <w:sz w:val="22"/>
          <w:szCs w:val="18"/>
        </w:rPr>
        <w:t xml:space="preserve">As the unique idendifiers are part of the CR title, they will be automatically stored in the CR database. Therefore </w:t>
      </w:r>
      <w:r>
        <w:rPr>
          <w:sz w:val="22"/>
          <w:szCs w:val="18"/>
        </w:rPr>
        <w:tab/>
      </w:r>
      <w:r>
        <w:rPr>
          <w:sz w:val="22"/>
          <w:szCs w:val="18"/>
        </w:rPr>
        <w:t>CR authors have to make sure that the complete CR title in 3GU is in line with the title on the CR cover.</w:t>
      </w:r>
    </w:p>
    <w:p w14:paraId="09C0A5CD">
      <w:pPr>
        <w:rPr>
          <w:sz w:val="22"/>
          <w:szCs w:val="18"/>
        </w:rPr>
      </w:pPr>
      <w:r>
        <w:rPr>
          <w:sz w:val="22"/>
          <w:szCs w:val="18"/>
        </w:rPr>
        <w:t>-</w:t>
      </w:r>
      <w:r>
        <w:rPr>
          <w:sz w:val="22"/>
          <w:szCs w:val="18"/>
        </w:rPr>
        <w:tab/>
      </w:r>
      <w:r>
        <w:rPr>
          <w:sz w:val="22"/>
          <w:szCs w:val="18"/>
        </w:rPr>
        <w:t xml:space="preserve">For cases where it is not 100% clear whether a linked CR was agreed in another WG, it is the task of the CR author </w:t>
      </w:r>
      <w:r>
        <w:rPr>
          <w:sz w:val="22"/>
          <w:szCs w:val="18"/>
        </w:rPr>
        <w:tab/>
      </w:r>
      <w:r>
        <w:rPr>
          <w:sz w:val="22"/>
          <w:szCs w:val="18"/>
        </w:rPr>
        <w:t xml:space="preserve">to double-check the situation in the week after the WG meeting and to inform MCC in case any updates of CR </w:t>
      </w:r>
      <w:r>
        <w:rPr>
          <w:sz w:val="22"/>
          <w:szCs w:val="18"/>
        </w:rPr>
        <w:tab/>
      </w:r>
      <w:r>
        <w:rPr>
          <w:sz w:val="22"/>
          <w:szCs w:val="18"/>
        </w:rPr>
        <w:t>titles are required otherwise they risk that not properly linked CRs are rejected at RAN level.</w:t>
      </w:r>
    </w:p>
    <w:p w14:paraId="63488412">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cat.B/C TEI CRs of </w:t>
      </w:r>
      <w:r>
        <w:rPr>
          <w:b/>
          <w:bCs/>
          <w:sz w:val="22"/>
          <w:szCs w:val="18"/>
        </w:rPr>
        <w:tab/>
      </w:r>
      <w:r>
        <w:rPr>
          <w:b/>
          <w:bCs/>
          <w:sz w:val="22"/>
          <w:szCs w:val="18"/>
        </w:rPr>
        <w:t xml:space="preserve">the last quarter. For each unique TEI identifier all related CRs of the considered WG are listed plus the </w:t>
      </w:r>
      <w:r>
        <w:rPr>
          <w:b/>
          <w:bCs/>
          <w:sz w:val="22"/>
          <w:szCs w:val="18"/>
        </w:rPr>
        <w:tab/>
      </w:r>
      <w:r>
        <w:rPr>
          <w:b/>
          <w:bCs/>
          <w:sz w:val="22"/>
          <w:szCs w:val="18"/>
        </w:rPr>
        <w:t>corresponding CRs in the other WGs (if there are any) or the potential impacts on other WGs.</w:t>
      </w:r>
    </w:p>
    <w:p w14:paraId="5FBF582C">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426C7F07">
      <w:pPr>
        <w:rPr>
          <w:sz w:val="22"/>
          <w:szCs w:val="18"/>
        </w:rPr>
      </w:pPr>
    </w:p>
    <w:p w14:paraId="7B5A1746">
      <w:pPr>
        <w:rPr>
          <w:sz w:val="22"/>
          <w:szCs w:val="18"/>
        </w:rPr>
      </w:pPr>
      <w:r>
        <w:rPr>
          <w:sz w:val="22"/>
          <w:szCs w:val="18"/>
        </w:rPr>
        <w:t>Examples:</w:t>
      </w: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531"/>
        <w:gridCol w:w="878"/>
        <w:gridCol w:w="2552"/>
        <w:gridCol w:w="2658"/>
      </w:tblGrid>
      <w:tr w14:paraId="1A45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Borders>
              <w:top w:val="single" w:color="auto" w:sz="4" w:space="0"/>
              <w:left w:val="single" w:color="auto" w:sz="4" w:space="0"/>
              <w:bottom w:val="single" w:color="auto" w:sz="4" w:space="0"/>
              <w:right w:val="single" w:color="auto" w:sz="4" w:space="0"/>
            </w:tcBorders>
          </w:tcPr>
          <w:p w14:paraId="7E02FF30">
            <w:pPr>
              <w:pStyle w:val="96"/>
              <w:rPr>
                <w:b/>
                <w:bCs/>
              </w:rPr>
            </w:pPr>
            <w:r>
              <w:rPr>
                <w:b/>
                <w:bCs/>
              </w:rPr>
              <w:t>unique TEI identifier</w:t>
            </w:r>
          </w:p>
        </w:tc>
        <w:tc>
          <w:tcPr>
            <w:tcW w:w="1531" w:type="dxa"/>
            <w:tcBorders>
              <w:top w:val="single" w:color="auto" w:sz="4" w:space="0"/>
              <w:left w:val="single" w:color="auto" w:sz="4" w:space="0"/>
              <w:bottom w:val="single" w:color="auto" w:sz="4" w:space="0"/>
              <w:right w:val="single" w:color="auto" w:sz="4" w:space="0"/>
            </w:tcBorders>
          </w:tcPr>
          <w:p w14:paraId="6CF98402">
            <w:pPr>
              <w:pStyle w:val="96"/>
              <w:rPr>
                <w:b/>
                <w:bCs/>
              </w:rPr>
            </w:pPr>
            <w:r>
              <w:rPr>
                <w:b/>
                <w:bCs/>
              </w:rPr>
              <w:t>feature</w:t>
            </w:r>
          </w:p>
        </w:tc>
        <w:tc>
          <w:tcPr>
            <w:tcW w:w="878" w:type="dxa"/>
            <w:tcBorders>
              <w:top w:val="single" w:color="auto" w:sz="4" w:space="0"/>
              <w:left w:val="single" w:color="auto" w:sz="4" w:space="0"/>
              <w:bottom w:val="single" w:color="auto" w:sz="4" w:space="0"/>
              <w:right w:val="single" w:color="auto" w:sz="4" w:space="0"/>
            </w:tcBorders>
          </w:tcPr>
          <w:p w14:paraId="57574E27">
            <w:pPr>
              <w:pStyle w:val="96"/>
              <w:rPr>
                <w:b/>
                <w:bCs/>
              </w:rPr>
            </w:pPr>
            <w:r>
              <w:rPr>
                <w:b/>
                <w:bCs/>
              </w:rPr>
              <w:t>Rel</w:t>
            </w:r>
          </w:p>
        </w:tc>
        <w:tc>
          <w:tcPr>
            <w:tcW w:w="2552" w:type="dxa"/>
            <w:tcBorders>
              <w:top w:val="single" w:color="auto" w:sz="4" w:space="0"/>
              <w:left w:val="single" w:color="auto" w:sz="4" w:space="0"/>
              <w:bottom w:val="single" w:color="auto" w:sz="4" w:space="0"/>
              <w:right w:val="single" w:color="auto" w:sz="4" w:space="0"/>
            </w:tcBorders>
          </w:tcPr>
          <w:p w14:paraId="3413339B">
            <w:pPr>
              <w:pStyle w:val="96"/>
              <w:rPr>
                <w:b/>
                <w:bCs/>
              </w:rPr>
            </w:pPr>
            <w:r>
              <w:rPr>
                <w:b/>
                <w:bCs/>
              </w:rPr>
              <w:t>CRs in own WG</w:t>
            </w:r>
          </w:p>
        </w:tc>
        <w:tc>
          <w:tcPr>
            <w:tcW w:w="2658" w:type="dxa"/>
            <w:tcBorders>
              <w:top w:val="single" w:color="auto" w:sz="4" w:space="0"/>
              <w:left w:val="single" w:color="auto" w:sz="4" w:space="0"/>
              <w:bottom w:val="single" w:color="auto" w:sz="4" w:space="0"/>
              <w:right w:val="single" w:color="auto" w:sz="4" w:space="0"/>
            </w:tcBorders>
          </w:tcPr>
          <w:p w14:paraId="0F113127">
            <w:pPr>
              <w:pStyle w:val="96"/>
              <w:rPr>
                <w:b/>
                <w:bCs/>
              </w:rPr>
            </w:pPr>
            <w:r>
              <w:rPr>
                <w:b/>
                <w:bCs/>
              </w:rPr>
              <w:t>CRs in/impacts on other WGs</w:t>
            </w:r>
          </w:p>
        </w:tc>
      </w:tr>
      <w:tr w14:paraId="30CEA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14:paraId="716D6D7E">
            <w:pPr>
              <w:pStyle w:val="127"/>
            </w:pPr>
            <w:r>
              <w:t>[HDUPLEX_unpaired]</w:t>
            </w:r>
          </w:p>
        </w:tc>
        <w:tc>
          <w:tcPr>
            <w:tcW w:w="1531" w:type="dxa"/>
            <w:tcBorders>
              <w:top w:val="single" w:color="auto" w:sz="4" w:space="0"/>
              <w:left w:val="single" w:color="auto" w:sz="4" w:space="0"/>
              <w:bottom w:val="single" w:color="auto" w:sz="4" w:space="0"/>
              <w:right w:val="single" w:color="auto" w:sz="4" w:space="0"/>
            </w:tcBorders>
          </w:tcPr>
          <w:p w14:paraId="6B553725">
            <w:pPr>
              <w:pStyle w:val="127"/>
            </w:pPr>
            <w:r>
              <w:t>Modification to half duplex in unpaired spectrum</w:t>
            </w:r>
          </w:p>
        </w:tc>
        <w:tc>
          <w:tcPr>
            <w:tcW w:w="878" w:type="dxa"/>
            <w:tcBorders>
              <w:top w:val="single" w:color="auto" w:sz="4" w:space="0"/>
              <w:left w:val="single" w:color="auto" w:sz="4" w:space="0"/>
              <w:bottom w:val="single" w:color="auto" w:sz="4" w:space="0"/>
              <w:right w:val="single" w:color="auto" w:sz="4" w:space="0"/>
            </w:tcBorders>
          </w:tcPr>
          <w:p w14:paraId="69670D37">
            <w:pPr>
              <w:pStyle w:val="127"/>
            </w:pPr>
            <w:r>
              <w:t>Rel-16</w:t>
            </w:r>
          </w:p>
        </w:tc>
        <w:tc>
          <w:tcPr>
            <w:tcW w:w="2552" w:type="dxa"/>
            <w:tcBorders>
              <w:top w:val="single" w:color="auto" w:sz="4" w:space="0"/>
              <w:left w:val="single" w:color="auto" w:sz="4" w:space="0"/>
              <w:bottom w:val="single" w:color="auto" w:sz="4" w:space="0"/>
              <w:right w:val="single" w:color="auto" w:sz="4" w:space="0"/>
            </w:tcBorders>
          </w:tcPr>
          <w:p w14:paraId="3428CDA1">
            <w:pPr>
              <w:pStyle w:val="127"/>
            </w:pPr>
            <w:r>
              <w:t>R1-211234 (38.213, cat.C)</w:t>
            </w:r>
          </w:p>
        </w:tc>
        <w:tc>
          <w:tcPr>
            <w:tcW w:w="2658" w:type="dxa"/>
            <w:tcBorders>
              <w:top w:val="single" w:color="auto" w:sz="4" w:space="0"/>
              <w:left w:val="single" w:color="auto" w:sz="4" w:space="0"/>
              <w:bottom w:val="single" w:color="auto" w:sz="4" w:space="0"/>
              <w:right w:val="single" w:color="auto" w:sz="4" w:space="0"/>
            </w:tcBorders>
          </w:tcPr>
          <w:p w14:paraId="0E2661E8">
            <w:pPr>
              <w:pStyle w:val="127"/>
            </w:pPr>
            <w:r>
              <w:t>R2-2112345 (38.331 cat.C)</w:t>
            </w:r>
          </w:p>
        </w:tc>
      </w:tr>
    </w:tbl>
    <w:p w14:paraId="09703DE8">
      <w:pPr>
        <w:rPr>
          <w:rFonts w:eastAsia="Times New Roman"/>
          <w:sz w:val="20"/>
          <w:lang w:eastAsia="en-GB"/>
        </w:rPr>
      </w:pP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9"/>
        <w:gridCol w:w="1580"/>
        <w:gridCol w:w="845"/>
        <w:gridCol w:w="2552"/>
        <w:gridCol w:w="2658"/>
      </w:tblGrid>
      <w:tr w14:paraId="7269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9" w:type="dxa"/>
            <w:tcBorders>
              <w:top w:val="single" w:color="auto" w:sz="4" w:space="0"/>
              <w:left w:val="single" w:color="auto" w:sz="4" w:space="0"/>
              <w:bottom w:val="single" w:color="auto" w:sz="4" w:space="0"/>
              <w:right w:val="single" w:color="auto" w:sz="4" w:space="0"/>
            </w:tcBorders>
          </w:tcPr>
          <w:p w14:paraId="404DD810">
            <w:pPr>
              <w:pStyle w:val="96"/>
              <w:rPr>
                <w:b/>
                <w:bCs/>
              </w:rPr>
            </w:pPr>
            <w:r>
              <w:rPr>
                <w:b/>
                <w:bCs/>
              </w:rPr>
              <w:t>unique TEI identifier</w:t>
            </w:r>
          </w:p>
        </w:tc>
        <w:tc>
          <w:tcPr>
            <w:tcW w:w="1580" w:type="dxa"/>
            <w:tcBorders>
              <w:top w:val="single" w:color="auto" w:sz="4" w:space="0"/>
              <w:left w:val="single" w:color="auto" w:sz="4" w:space="0"/>
              <w:bottom w:val="single" w:color="auto" w:sz="4" w:space="0"/>
              <w:right w:val="single" w:color="auto" w:sz="4" w:space="0"/>
            </w:tcBorders>
          </w:tcPr>
          <w:p w14:paraId="0EBF9D33">
            <w:pPr>
              <w:pStyle w:val="96"/>
              <w:rPr>
                <w:b/>
                <w:bCs/>
              </w:rPr>
            </w:pPr>
            <w:r>
              <w:rPr>
                <w:b/>
                <w:bCs/>
              </w:rPr>
              <w:t>feature</w:t>
            </w:r>
          </w:p>
        </w:tc>
        <w:tc>
          <w:tcPr>
            <w:tcW w:w="845" w:type="dxa"/>
            <w:tcBorders>
              <w:top w:val="single" w:color="auto" w:sz="4" w:space="0"/>
              <w:left w:val="single" w:color="auto" w:sz="4" w:space="0"/>
              <w:bottom w:val="single" w:color="auto" w:sz="4" w:space="0"/>
              <w:right w:val="single" w:color="auto" w:sz="4" w:space="0"/>
            </w:tcBorders>
          </w:tcPr>
          <w:p w14:paraId="7CDF309A">
            <w:pPr>
              <w:pStyle w:val="96"/>
              <w:rPr>
                <w:b/>
                <w:bCs/>
              </w:rPr>
            </w:pPr>
            <w:r>
              <w:rPr>
                <w:b/>
                <w:bCs/>
              </w:rPr>
              <w:t>Rel</w:t>
            </w:r>
          </w:p>
        </w:tc>
        <w:tc>
          <w:tcPr>
            <w:tcW w:w="2552" w:type="dxa"/>
            <w:tcBorders>
              <w:top w:val="single" w:color="auto" w:sz="4" w:space="0"/>
              <w:left w:val="single" w:color="auto" w:sz="4" w:space="0"/>
              <w:bottom w:val="single" w:color="auto" w:sz="4" w:space="0"/>
              <w:right w:val="single" w:color="auto" w:sz="4" w:space="0"/>
            </w:tcBorders>
          </w:tcPr>
          <w:p w14:paraId="4C69B7D1">
            <w:pPr>
              <w:pStyle w:val="96"/>
              <w:rPr>
                <w:b/>
                <w:bCs/>
              </w:rPr>
            </w:pPr>
            <w:r>
              <w:rPr>
                <w:b/>
                <w:bCs/>
              </w:rPr>
              <w:t>CRs in own WG</w:t>
            </w:r>
          </w:p>
        </w:tc>
        <w:tc>
          <w:tcPr>
            <w:tcW w:w="2658" w:type="dxa"/>
            <w:tcBorders>
              <w:top w:val="single" w:color="auto" w:sz="4" w:space="0"/>
              <w:left w:val="single" w:color="auto" w:sz="4" w:space="0"/>
              <w:bottom w:val="single" w:color="auto" w:sz="4" w:space="0"/>
              <w:right w:val="single" w:color="auto" w:sz="4" w:space="0"/>
            </w:tcBorders>
          </w:tcPr>
          <w:p w14:paraId="75308D50">
            <w:pPr>
              <w:pStyle w:val="96"/>
              <w:rPr>
                <w:b/>
                <w:bCs/>
              </w:rPr>
            </w:pPr>
            <w:r>
              <w:rPr>
                <w:b/>
                <w:bCs/>
              </w:rPr>
              <w:t>CRs in/impacts on other WGs</w:t>
            </w:r>
          </w:p>
        </w:tc>
      </w:tr>
      <w:tr w14:paraId="0D063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9" w:type="dxa"/>
            <w:tcBorders>
              <w:top w:val="single" w:color="auto" w:sz="4" w:space="0"/>
              <w:left w:val="single" w:color="auto" w:sz="4" w:space="0"/>
              <w:bottom w:val="single" w:color="auto" w:sz="4" w:space="0"/>
              <w:right w:val="single" w:color="auto" w:sz="4" w:space="0"/>
            </w:tcBorders>
          </w:tcPr>
          <w:p w14:paraId="70EEF2D0">
            <w:pPr>
              <w:pStyle w:val="127"/>
            </w:pPr>
            <w:r>
              <w:t>[intRAT_HO_NR_ENDC]</w:t>
            </w:r>
          </w:p>
        </w:tc>
        <w:tc>
          <w:tcPr>
            <w:tcW w:w="1580" w:type="dxa"/>
            <w:tcBorders>
              <w:top w:val="single" w:color="auto" w:sz="4" w:space="0"/>
              <w:left w:val="single" w:color="auto" w:sz="4" w:space="0"/>
              <w:bottom w:val="single" w:color="auto" w:sz="4" w:space="0"/>
              <w:right w:val="single" w:color="auto" w:sz="4" w:space="0"/>
            </w:tcBorders>
          </w:tcPr>
          <w:p w14:paraId="551E8F89">
            <w:pPr>
              <w:pStyle w:val="127"/>
            </w:pPr>
            <w:r>
              <w:t>Introduction of inter-RAT handover NR to ENDC</w:t>
            </w:r>
          </w:p>
        </w:tc>
        <w:tc>
          <w:tcPr>
            <w:tcW w:w="845" w:type="dxa"/>
            <w:tcBorders>
              <w:top w:val="single" w:color="auto" w:sz="4" w:space="0"/>
              <w:left w:val="single" w:color="auto" w:sz="4" w:space="0"/>
              <w:bottom w:val="single" w:color="auto" w:sz="4" w:space="0"/>
              <w:right w:val="single" w:color="auto" w:sz="4" w:space="0"/>
            </w:tcBorders>
          </w:tcPr>
          <w:p w14:paraId="0F2AAA53">
            <w:pPr>
              <w:pStyle w:val="127"/>
            </w:pPr>
            <w:r>
              <w:t>Rel-16</w:t>
            </w:r>
          </w:p>
        </w:tc>
        <w:tc>
          <w:tcPr>
            <w:tcW w:w="2552" w:type="dxa"/>
            <w:tcBorders>
              <w:top w:val="single" w:color="auto" w:sz="4" w:space="0"/>
              <w:left w:val="single" w:color="auto" w:sz="4" w:space="0"/>
              <w:bottom w:val="single" w:color="auto" w:sz="4" w:space="0"/>
              <w:right w:val="single" w:color="auto" w:sz="4" w:space="0"/>
            </w:tcBorders>
          </w:tcPr>
          <w:p w14:paraId="16EDACD5">
            <w:pPr>
              <w:pStyle w:val="127"/>
              <w:rPr>
                <w:lang w:val="pt-BR"/>
              </w:rPr>
            </w:pPr>
            <w:r>
              <w:rPr>
                <w:lang w:val="pt-BR"/>
              </w:rPr>
              <w:t>R2-2123456 (38.306, cat.B)</w:t>
            </w:r>
          </w:p>
          <w:p w14:paraId="2EC89A77">
            <w:pPr>
              <w:pStyle w:val="127"/>
              <w:rPr>
                <w:lang w:val="pt-BR"/>
              </w:rPr>
            </w:pPr>
            <w:r>
              <w:rPr>
                <w:lang w:val="pt-BR"/>
              </w:rPr>
              <w:t>R2-2123457 (38.331, cat.B)</w:t>
            </w:r>
          </w:p>
        </w:tc>
        <w:tc>
          <w:tcPr>
            <w:tcW w:w="2658" w:type="dxa"/>
            <w:tcBorders>
              <w:top w:val="single" w:color="auto" w:sz="4" w:space="0"/>
              <w:left w:val="single" w:color="auto" w:sz="4" w:space="0"/>
              <w:bottom w:val="single" w:color="auto" w:sz="4" w:space="0"/>
              <w:right w:val="single" w:color="auto" w:sz="4" w:space="0"/>
            </w:tcBorders>
          </w:tcPr>
          <w:p w14:paraId="0F330D42">
            <w:pPr>
              <w:pStyle w:val="127"/>
            </w:pPr>
            <w:r>
              <w:t>potential impact on 38.133 for .... ?</w:t>
            </w:r>
          </w:p>
        </w:tc>
      </w:tr>
    </w:tbl>
    <w:p w14:paraId="051C8516">
      <w:pPr>
        <w:rPr>
          <w:rFonts w:eastAsia="Times New Roman"/>
          <w:sz w:val="20"/>
          <w:lang w:eastAsia="en-GB"/>
        </w:rPr>
      </w:pP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531"/>
        <w:gridCol w:w="878"/>
        <w:gridCol w:w="2552"/>
        <w:gridCol w:w="2658"/>
      </w:tblGrid>
      <w:tr w14:paraId="5865A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14:paraId="5881379E">
            <w:pPr>
              <w:pStyle w:val="96"/>
              <w:rPr>
                <w:b/>
                <w:bCs/>
              </w:rPr>
            </w:pPr>
            <w:r>
              <w:rPr>
                <w:b/>
                <w:bCs/>
              </w:rPr>
              <w:t>unique TEI identifier</w:t>
            </w:r>
          </w:p>
        </w:tc>
        <w:tc>
          <w:tcPr>
            <w:tcW w:w="1531" w:type="dxa"/>
            <w:tcBorders>
              <w:top w:val="single" w:color="auto" w:sz="4" w:space="0"/>
              <w:left w:val="single" w:color="auto" w:sz="4" w:space="0"/>
              <w:bottom w:val="single" w:color="auto" w:sz="4" w:space="0"/>
              <w:right w:val="single" w:color="auto" w:sz="4" w:space="0"/>
            </w:tcBorders>
          </w:tcPr>
          <w:p w14:paraId="4610AFAE">
            <w:pPr>
              <w:pStyle w:val="96"/>
              <w:rPr>
                <w:b/>
                <w:bCs/>
              </w:rPr>
            </w:pPr>
            <w:r>
              <w:rPr>
                <w:b/>
                <w:bCs/>
              </w:rPr>
              <w:t>feature</w:t>
            </w:r>
          </w:p>
        </w:tc>
        <w:tc>
          <w:tcPr>
            <w:tcW w:w="878" w:type="dxa"/>
            <w:tcBorders>
              <w:top w:val="single" w:color="auto" w:sz="4" w:space="0"/>
              <w:left w:val="single" w:color="auto" w:sz="4" w:space="0"/>
              <w:bottom w:val="single" w:color="auto" w:sz="4" w:space="0"/>
              <w:right w:val="single" w:color="auto" w:sz="4" w:space="0"/>
            </w:tcBorders>
          </w:tcPr>
          <w:p w14:paraId="266AE145">
            <w:pPr>
              <w:pStyle w:val="96"/>
              <w:rPr>
                <w:b/>
                <w:bCs/>
              </w:rPr>
            </w:pPr>
            <w:r>
              <w:rPr>
                <w:b/>
                <w:bCs/>
              </w:rPr>
              <w:t>Rel</w:t>
            </w:r>
          </w:p>
        </w:tc>
        <w:tc>
          <w:tcPr>
            <w:tcW w:w="2552" w:type="dxa"/>
            <w:tcBorders>
              <w:top w:val="single" w:color="auto" w:sz="4" w:space="0"/>
              <w:left w:val="single" w:color="auto" w:sz="4" w:space="0"/>
              <w:bottom w:val="single" w:color="auto" w:sz="4" w:space="0"/>
              <w:right w:val="single" w:color="auto" w:sz="4" w:space="0"/>
            </w:tcBorders>
          </w:tcPr>
          <w:p w14:paraId="69985E5C">
            <w:pPr>
              <w:pStyle w:val="96"/>
              <w:rPr>
                <w:b/>
                <w:bCs/>
              </w:rPr>
            </w:pPr>
            <w:r>
              <w:rPr>
                <w:b/>
                <w:bCs/>
              </w:rPr>
              <w:t>CRs in own WG</w:t>
            </w:r>
          </w:p>
        </w:tc>
        <w:tc>
          <w:tcPr>
            <w:tcW w:w="2658" w:type="dxa"/>
            <w:tcBorders>
              <w:top w:val="single" w:color="auto" w:sz="4" w:space="0"/>
              <w:left w:val="single" w:color="auto" w:sz="4" w:space="0"/>
              <w:bottom w:val="single" w:color="auto" w:sz="4" w:space="0"/>
              <w:right w:val="single" w:color="auto" w:sz="4" w:space="0"/>
            </w:tcBorders>
          </w:tcPr>
          <w:p w14:paraId="3983DCE2">
            <w:pPr>
              <w:pStyle w:val="96"/>
              <w:rPr>
                <w:b/>
                <w:bCs/>
              </w:rPr>
            </w:pPr>
            <w:r>
              <w:rPr>
                <w:b/>
                <w:bCs/>
              </w:rPr>
              <w:t>CRs in/impacts on other WGs</w:t>
            </w:r>
          </w:p>
        </w:tc>
      </w:tr>
      <w:tr w14:paraId="68464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14:paraId="4F3C7D72">
            <w:pPr>
              <w:pStyle w:val="127"/>
            </w:pPr>
            <w:r>
              <w:t>[E2E_delay_meas]</w:t>
            </w:r>
          </w:p>
        </w:tc>
        <w:tc>
          <w:tcPr>
            <w:tcW w:w="1531" w:type="dxa"/>
            <w:tcBorders>
              <w:top w:val="single" w:color="auto" w:sz="4" w:space="0"/>
              <w:left w:val="single" w:color="auto" w:sz="4" w:space="0"/>
              <w:bottom w:val="single" w:color="auto" w:sz="4" w:space="0"/>
              <w:right w:val="single" w:color="auto" w:sz="4" w:space="0"/>
            </w:tcBorders>
          </w:tcPr>
          <w:p w14:paraId="466D7FA8">
            <w:pPr>
              <w:pStyle w:val="127"/>
            </w:pPr>
            <w:r>
              <w:t>E2E delay measurement for QoS monitoring for URLLC</w:t>
            </w:r>
          </w:p>
        </w:tc>
        <w:tc>
          <w:tcPr>
            <w:tcW w:w="878" w:type="dxa"/>
            <w:tcBorders>
              <w:top w:val="single" w:color="auto" w:sz="4" w:space="0"/>
              <w:left w:val="single" w:color="auto" w:sz="4" w:space="0"/>
              <w:bottom w:val="single" w:color="auto" w:sz="4" w:space="0"/>
              <w:right w:val="single" w:color="auto" w:sz="4" w:space="0"/>
            </w:tcBorders>
          </w:tcPr>
          <w:p w14:paraId="5396A232">
            <w:pPr>
              <w:pStyle w:val="127"/>
            </w:pPr>
            <w:r>
              <w:t>Rel-16</w:t>
            </w:r>
          </w:p>
        </w:tc>
        <w:tc>
          <w:tcPr>
            <w:tcW w:w="2552" w:type="dxa"/>
            <w:tcBorders>
              <w:top w:val="single" w:color="auto" w:sz="4" w:space="0"/>
              <w:left w:val="single" w:color="auto" w:sz="4" w:space="0"/>
              <w:bottom w:val="single" w:color="auto" w:sz="4" w:space="0"/>
              <w:right w:val="single" w:color="auto" w:sz="4" w:space="0"/>
            </w:tcBorders>
          </w:tcPr>
          <w:p w14:paraId="12AE3197">
            <w:pPr>
              <w:pStyle w:val="127"/>
              <w:rPr>
                <w:lang w:val="pt-BR"/>
              </w:rPr>
            </w:pPr>
            <w:r>
              <w:rPr>
                <w:lang w:val="pt-BR"/>
              </w:rPr>
              <w:t>R3-211234 (38.413, cat.B)</w:t>
            </w:r>
          </w:p>
          <w:p w14:paraId="06E80CFB">
            <w:pPr>
              <w:pStyle w:val="127"/>
              <w:rPr>
                <w:lang w:val="pt-BR"/>
              </w:rPr>
            </w:pPr>
            <w:r>
              <w:rPr>
                <w:lang w:val="pt-BR"/>
              </w:rPr>
              <w:t>R3-211235 (38.423, cat.B)</w:t>
            </w:r>
          </w:p>
          <w:p w14:paraId="40F095DC">
            <w:pPr>
              <w:pStyle w:val="127"/>
            </w:pPr>
            <w:r>
              <w:t>R3-211236 (38.463, cat.B)</w:t>
            </w:r>
          </w:p>
        </w:tc>
        <w:tc>
          <w:tcPr>
            <w:tcW w:w="2658" w:type="dxa"/>
            <w:tcBorders>
              <w:top w:val="single" w:color="auto" w:sz="4" w:space="0"/>
              <w:left w:val="single" w:color="auto" w:sz="4" w:space="0"/>
              <w:bottom w:val="single" w:color="auto" w:sz="4" w:space="0"/>
              <w:right w:val="single" w:color="auto" w:sz="4" w:space="0"/>
            </w:tcBorders>
          </w:tcPr>
          <w:p w14:paraId="05753451">
            <w:pPr>
              <w:pStyle w:val="127"/>
            </w:pPr>
            <w:r>
              <w:t>none</w:t>
            </w:r>
          </w:p>
        </w:tc>
      </w:tr>
    </w:tbl>
    <w:p w14:paraId="3071F0E0">
      <w:pPr>
        <w:rPr>
          <w:rFonts w:eastAsia="Times New Roman"/>
          <w:sz w:val="20"/>
          <w:lang w:eastAsia="en-GB"/>
        </w:rPr>
      </w:pP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559"/>
        <w:gridCol w:w="850"/>
        <w:gridCol w:w="2713"/>
        <w:gridCol w:w="2497"/>
      </w:tblGrid>
      <w:tr w14:paraId="4211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14:paraId="509DDF8F">
            <w:pPr>
              <w:pStyle w:val="96"/>
              <w:rPr>
                <w:b/>
                <w:bCs/>
              </w:rPr>
            </w:pPr>
            <w:r>
              <w:rPr>
                <w:b/>
                <w:bCs/>
              </w:rPr>
              <w:t>unique TEI identifier</w:t>
            </w:r>
          </w:p>
        </w:tc>
        <w:tc>
          <w:tcPr>
            <w:tcW w:w="1559" w:type="dxa"/>
            <w:tcBorders>
              <w:top w:val="single" w:color="auto" w:sz="4" w:space="0"/>
              <w:left w:val="single" w:color="auto" w:sz="4" w:space="0"/>
              <w:bottom w:val="single" w:color="auto" w:sz="4" w:space="0"/>
              <w:right w:val="single" w:color="auto" w:sz="4" w:space="0"/>
            </w:tcBorders>
          </w:tcPr>
          <w:p w14:paraId="76F04A1C">
            <w:pPr>
              <w:pStyle w:val="96"/>
              <w:rPr>
                <w:b/>
                <w:bCs/>
              </w:rPr>
            </w:pPr>
            <w:r>
              <w:rPr>
                <w:b/>
                <w:bCs/>
              </w:rPr>
              <w:t>feature</w:t>
            </w:r>
          </w:p>
        </w:tc>
        <w:tc>
          <w:tcPr>
            <w:tcW w:w="850" w:type="dxa"/>
            <w:tcBorders>
              <w:top w:val="single" w:color="auto" w:sz="4" w:space="0"/>
              <w:left w:val="single" w:color="auto" w:sz="4" w:space="0"/>
              <w:bottom w:val="single" w:color="auto" w:sz="4" w:space="0"/>
              <w:right w:val="single" w:color="auto" w:sz="4" w:space="0"/>
            </w:tcBorders>
          </w:tcPr>
          <w:p w14:paraId="313DB843">
            <w:pPr>
              <w:pStyle w:val="96"/>
              <w:rPr>
                <w:b/>
                <w:bCs/>
              </w:rPr>
            </w:pPr>
            <w:r>
              <w:rPr>
                <w:b/>
                <w:bCs/>
              </w:rPr>
              <w:t>Rel</w:t>
            </w:r>
          </w:p>
        </w:tc>
        <w:tc>
          <w:tcPr>
            <w:tcW w:w="2713" w:type="dxa"/>
            <w:tcBorders>
              <w:top w:val="single" w:color="auto" w:sz="4" w:space="0"/>
              <w:left w:val="single" w:color="auto" w:sz="4" w:space="0"/>
              <w:bottom w:val="single" w:color="auto" w:sz="4" w:space="0"/>
              <w:right w:val="single" w:color="auto" w:sz="4" w:space="0"/>
            </w:tcBorders>
          </w:tcPr>
          <w:p w14:paraId="6F46E13E">
            <w:pPr>
              <w:pStyle w:val="96"/>
              <w:rPr>
                <w:b/>
                <w:bCs/>
              </w:rPr>
            </w:pPr>
            <w:r>
              <w:rPr>
                <w:b/>
                <w:bCs/>
              </w:rPr>
              <w:t>CRs in own WG</w:t>
            </w:r>
          </w:p>
        </w:tc>
        <w:tc>
          <w:tcPr>
            <w:tcW w:w="2497" w:type="dxa"/>
            <w:tcBorders>
              <w:top w:val="single" w:color="auto" w:sz="4" w:space="0"/>
              <w:left w:val="single" w:color="auto" w:sz="4" w:space="0"/>
              <w:bottom w:val="single" w:color="auto" w:sz="4" w:space="0"/>
              <w:right w:val="single" w:color="auto" w:sz="4" w:space="0"/>
            </w:tcBorders>
          </w:tcPr>
          <w:p w14:paraId="37AA545C">
            <w:pPr>
              <w:pStyle w:val="96"/>
              <w:rPr>
                <w:b/>
                <w:bCs/>
              </w:rPr>
            </w:pPr>
            <w:r>
              <w:rPr>
                <w:b/>
                <w:bCs/>
              </w:rPr>
              <w:t>CRs in/impacts on other WGs</w:t>
            </w:r>
          </w:p>
        </w:tc>
      </w:tr>
      <w:tr w14:paraId="74020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14:paraId="4894D31E">
            <w:pPr>
              <w:pStyle w:val="127"/>
            </w:pPr>
            <w:r>
              <w:t>[DRX_coord]</w:t>
            </w:r>
          </w:p>
        </w:tc>
        <w:tc>
          <w:tcPr>
            <w:tcW w:w="1559" w:type="dxa"/>
            <w:tcBorders>
              <w:top w:val="single" w:color="auto" w:sz="4" w:space="0"/>
              <w:left w:val="single" w:color="auto" w:sz="4" w:space="0"/>
              <w:bottom w:val="single" w:color="auto" w:sz="4" w:space="0"/>
              <w:right w:val="single" w:color="auto" w:sz="4" w:space="0"/>
            </w:tcBorders>
          </w:tcPr>
          <w:p w14:paraId="0EDE4A58">
            <w:pPr>
              <w:pStyle w:val="127"/>
            </w:pPr>
            <w:r>
              <w:t>Introduction of DRX coordination</w:t>
            </w:r>
          </w:p>
        </w:tc>
        <w:tc>
          <w:tcPr>
            <w:tcW w:w="850" w:type="dxa"/>
            <w:tcBorders>
              <w:top w:val="single" w:color="auto" w:sz="4" w:space="0"/>
              <w:left w:val="single" w:color="auto" w:sz="4" w:space="0"/>
              <w:bottom w:val="single" w:color="auto" w:sz="4" w:space="0"/>
              <w:right w:val="single" w:color="auto" w:sz="4" w:space="0"/>
            </w:tcBorders>
          </w:tcPr>
          <w:p w14:paraId="6E658EE5">
            <w:pPr>
              <w:pStyle w:val="127"/>
            </w:pPr>
            <w:r>
              <w:t>Rel-16</w:t>
            </w:r>
          </w:p>
        </w:tc>
        <w:tc>
          <w:tcPr>
            <w:tcW w:w="2713" w:type="dxa"/>
            <w:tcBorders>
              <w:top w:val="single" w:color="auto" w:sz="4" w:space="0"/>
              <w:left w:val="single" w:color="auto" w:sz="4" w:space="0"/>
              <w:bottom w:val="single" w:color="auto" w:sz="4" w:space="0"/>
              <w:right w:val="single" w:color="auto" w:sz="4" w:space="0"/>
            </w:tcBorders>
          </w:tcPr>
          <w:p w14:paraId="511CB909">
            <w:pPr>
              <w:pStyle w:val="127"/>
            </w:pPr>
            <w:r>
              <w:t>R4-2123456 (38.133, cat.B)</w:t>
            </w:r>
          </w:p>
        </w:tc>
        <w:tc>
          <w:tcPr>
            <w:tcW w:w="2497" w:type="dxa"/>
            <w:tcBorders>
              <w:top w:val="single" w:color="auto" w:sz="4" w:space="0"/>
              <w:left w:val="single" w:color="auto" w:sz="4" w:space="0"/>
              <w:bottom w:val="single" w:color="auto" w:sz="4" w:space="0"/>
              <w:right w:val="single" w:color="auto" w:sz="4" w:space="0"/>
            </w:tcBorders>
          </w:tcPr>
          <w:p w14:paraId="6B2B0FAE">
            <w:pPr>
              <w:pStyle w:val="127"/>
            </w:pPr>
            <w:r>
              <w:t>R2-2112345 (38.331, cat.B)</w:t>
            </w:r>
          </w:p>
        </w:tc>
      </w:tr>
    </w:tbl>
    <w:p w14:paraId="5BE90285">
      <w:pPr>
        <w:rPr>
          <w:rFonts w:eastAsia="Times New Roman"/>
          <w:sz w:val="20"/>
          <w:lang w:eastAsia="en-GB"/>
        </w:rPr>
      </w:pPr>
    </w:p>
    <w:p w14:paraId="0BF490B8">
      <w:pPr>
        <w:rPr>
          <w:sz w:val="22"/>
          <w:szCs w:val="18"/>
        </w:rPr>
      </w:pPr>
      <w:r>
        <w:rPr>
          <w:sz w:val="22"/>
          <w:szCs w:val="18"/>
        </w:rPr>
        <w:t>-</w:t>
      </w:r>
      <w:r>
        <w:rPr>
          <w:sz w:val="22"/>
          <w:szCs w:val="18"/>
        </w:rPr>
        <w:tab/>
      </w:r>
      <w:r>
        <w:rPr>
          <w:sz w:val="22"/>
          <w:szCs w:val="18"/>
        </w:rPr>
        <w:t xml:space="preserve">what's the main goal of this activity? To have a checkpoint in each WG (RAN1/2/3/4) where after the WG meeting </w:t>
      </w:r>
      <w:r>
        <w:rPr>
          <w:sz w:val="22"/>
          <w:szCs w:val="18"/>
        </w:rPr>
        <w:tab/>
      </w:r>
      <w:r>
        <w:rPr>
          <w:sz w:val="22"/>
          <w:szCs w:val="18"/>
        </w:rPr>
        <w:t xml:space="preserve">it is checked whether a complete CR set is available for all cat.B/C TEI features for TSG RAN; by comparing the </w:t>
      </w:r>
      <w:r>
        <w:rPr>
          <w:sz w:val="22"/>
          <w:szCs w:val="18"/>
        </w:rPr>
        <w:tab/>
      </w:r>
      <w:r>
        <w:rPr>
          <w:sz w:val="22"/>
          <w:szCs w:val="18"/>
        </w:rPr>
        <w:t>tables of different WGs a cross-check is possible.</w:t>
      </w:r>
    </w:p>
    <w:p w14:paraId="2F3EB79E">
      <w:pPr>
        <w:rPr>
          <w:sz w:val="22"/>
          <w:szCs w:val="18"/>
        </w:rPr>
      </w:pPr>
      <w:r>
        <w:rPr>
          <w:sz w:val="22"/>
          <w:szCs w:val="18"/>
        </w:rPr>
        <w:t>-</w:t>
      </w:r>
      <w:r>
        <w:rPr>
          <w:sz w:val="22"/>
          <w:szCs w:val="18"/>
        </w:rPr>
        <w:tab/>
      </w:r>
      <w:r>
        <w:rPr>
          <w:sz w:val="22"/>
          <w:szCs w:val="18"/>
        </w:rPr>
        <w:t xml:space="preserve">should this activity be limited to cat.B/C TEI CRs only? It would be useful to also list cat.F/A TEI CRs to correct </w:t>
      </w:r>
      <w:r>
        <w:rPr>
          <w:sz w:val="22"/>
          <w:szCs w:val="18"/>
        </w:rPr>
        <w:tab/>
      </w:r>
      <w:r>
        <w:rPr>
          <w:sz w:val="22"/>
          <w:szCs w:val="18"/>
        </w:rPr>
        <w:t xml:space="preserve">formerly as cat.B/C TEI introduced features (corresponding CRs will have [ ] at the end of the Tdoc title and CR </w:t>
      </w:r>
      <w:r>
        <w:rPr>
          <w:sz w:val="22"/>
          <w:szCs w:val="18"/>
        </w:rPr>
        <w:tab/>
      </w:r>
      <w:r>
        <w:rPr>
          <w:sz w:val="22"/>
          <w:szCs w:val="18"/>
        </w:rPr>
        <w:t>proponents will inform the WG chairman if there were any agreed/endorsed CRs lile this)</w:t>
      </w:r>
    </w:p>
    <w:p w14:paraId="78666188">
      <w:pPr>
        <w:rPr>
          <w:sz w:val="22"/>
          <w:szCs w:val="18"/>
        </w:rPr>
      </w:pPr>
      <w:r>
        <w:rPr>
          <w:sz w:val="22"/>
          <w:szCs w:val="18"/>
        </w:rPr>
        <w:t>-</w:t>
      </w:r>
      <w:r>
        <w:rPr>
          <w:sz w:val="22"/>
          <w:szCs w:val="18"/>
        </w:rPr>
        <w:tab/>
      </w:r>
      <w:r>
        <w:rPr>
          <w:sz w:val="22"/>
          <w:szCs w:val="18"/>
        </w:rPr>
        <w:t>what about CRs for WI code combinations like "&lt;WI code&gt;, TEIxx"?</w:t>
      </w:r>
      <w:r>
        <w:rPr>
          <w:sz w:val="22"/>
          <w:szCs w:val="18"/>
        </w:rPr>
        <w:br w:type="textWrapping"/>
      </w:r>
      <w:r>
        <w:rPr>
          <w:sz w:val="22"/>
          <w:szCs w:val="18"/>
        </w:rPr>
        <w:tab/>
      </w:r>
      <w:r>
        <w:rPr>
          <w:sz w:val="22"/>
          <w:szCs w:val="18"/>
        </w:rPr>
        <w:t>These CRs appear when &lt;WI code&gt; was a WI of a Rel-yy with yy&lt;xx.</w:t>
      </w:r>
      <w:r>
        <w:rPr>
          <w:sz w:val="22"/>
          <w:szCs w:val="18"/>
        </w:rPr>
        <w:br w:type="textWrapping"/>
      </w:r>
      <w:r>
        <w:rPr>
          <w:sz w:val="22"/>
          <w:szCs w:val="18"/>
        </w:rPr>
        <w:tab/>
      </w:r>
      <w:r>
        <w:rPr>
          <w:sz w:val="22"/>
          <w:szCs w:val="18"/>
        </w:rPr>
        <w:t>These CRs are usually well identified via &lt;WI code&gt; and would therefore not need any more tracking.</w:t>
      </w:r>
      <w:r>
        <w:rPr>
          <w:sz w:val="22"/>
          <w:szCs w:val="18"/>
        </w:rPr>
        <w:br w:type="textWrapping"/>
      </w:r>
      <w:r>
        <w:rPr>
          <w:sz w:val="22"/>
          <w:szCs w:val="18"/>
        </w:rPr>
        <w:tab/>
      </w:r>
      <w:r>
        <w:rPr>
          <w:sz w:val="22"/>
          <w:szCs w:val="18"/>
        </w:rPr>
        <w:t xml:space="preserve">But one exception should be made for &lt;WI code&gt; = NR_newRAT-Core as this was the generic NR WI that </w:t>
      </w:r>
      <w:r>
        <w:rPr>
          <w:sz w:val="22"/>
          <w:szCs w:val="18"/>
        </w:rPr>
        <w:tab/>
      </w:r>
      <w:r>
        <w:rPr>
          <w:sz w:val="22"/>
          <w:szCs w:val="18"/>
        </w:rPr>
        <w:t xml:space="preserve">introduced the whole 5G and if we do not track "NR_newRAT-Core, TEIxx" as well, it could be used as a way to </w:t>
      </w:r>
      <w:r>
        <w:rPr>
          <w:sz w:val="22"/>
          <w:szCs w:val="18"/>
        </w:rPr>
        <w:tab/>
      </w:r>
      <w:r>
        <w:rPr>
          <w:sz w:val="22"/>
          <w:szCs w:val="18"/>
        </w:rPr>
        <w:t>bypass this tracking activity.</w:t>
      </w:r>
    </w:p>
    <w:p w14:paraId="541D479C">
      <w:pPr>
        <w:rPr>
          <w:sz w:val="22"/>
          <w:szCs w:val="18"/>
        </w:rPr>
      </w:pPr>
      <w:r>
        <w:rPr>
          <w:sz w:val="22"/>
          <w:szCs w:val="18"/>
        </w:rPr>
        <w:t>-</w:t>
      </w:r>
      <w:r>
        <w:rPr>
          <w:sz w:val="22"/>
          <w:szCs w:val="18"/>
        </w:rPr>
        <w:tab/>
      </w:r>
      <w:r>
        <w:rPr>
          <w:sz w:val="22"/>
          <w:szCs w:val="18"/>
        </w:rPr>
        <w:t xml:space="preserve">How big is the expected effort: Double-checking TEI16 CRs of 2020, we had about 110 cat.B/C CRs from </w:t>
      </w:r>
      <w:r>
        <w:rPr>
          <w:sz w:val="22"/>
          <w:szCs w:val="18"/>
        </w:rPr>
        <w:tab/>
      </w:r>
      <w:r>
        <w:rPr>
          <w:sz w:val="22"/>
          <w:szCs w:val="18"/>
        </w:rPr>
        <w:t xml:space="preserve">RAN1/2/3/4 together with ~50% </w:t>
      </w:r>
      <w:r>
        <w:rPr>
          <w:sz w:val="22"/>
          <w:szCs w:val="18"/>
        </w:rPr>
        <w:tab/>
      </w:r>
      <w:r>
        <w:rPr>
          <w:sz w:val="22"/>
          <w:szCs w:val="18"/>
        </w:rPr>
        <w:t xml:space="preserve">TEI16, ~25% "NR_newRAT-Core, TEIxx" and ~25% other WI code, TEI16 </w:t>
      </w:r>
      <w:r>
        <w:rPr>
          <w:sz w:val="22"/>
          <w:szCs w:val="18"/>
        </w:rPr>
        <w:tab/>
      </w:r>
      <w:r>
        <w:rPr>
          <w:sz w:val="22"/>
          <w:szCs w:val="18"/>
        </w:rPr>
        <w:t>CRs. So this means ~20 CRs per TSG RAN meeting plus a few cat.F/A corrections to former cat.B/C TEIxx CRs.</w:t>
      </w:r>
    </w:p>
    <w:p w14:paraId="53637B14">
      <w:pPr>
        <w:rPr>
          <w:sz w:val="22"/>
          <w:szCs w:val="18"/>
        </w:rPr>
      </w:pPr>
      <w:r>
        <w:rPr>
          <w:sz w:val="22"/>
          <w:szCs w:val="18"/>
        </w:rPr>
        <w:t>-</w:t>
      </w:r>
      <w:r>
        <w:rPr>
          <w:sz w:val="22"/>
          <w:szCs w:val="18"/>
        </w:rPr>
        <w:tab/>
      </w:r>
      <w:r>
        <w:rPr>
          <w:sz w:val="22"/>
          <w:szCs w:val="18"/>
        </w:rPr>
        <w:t xml:space="preserve">What is TSG RAN supposed to do with the tables of TEI CRs from the WG chairmen? The impacts on other WGs </w:t>
      </w:r>
      <w:r>
        <w:rPr>
          <w:sz w:val="22"/>
          <w:szCs w:val="18"/>
        </w:rPr>
        <w:tab/>
      </w:r>
      <w:r>
        <w:rPr>
          <w:sz w:val="22"/>
          <w:szCs w:val="18"/>
        </w:rPr>
        <w:t xml:space="preserve">have to be carefully reviewed (the earlier the tables from the WG chairmen are available the better, ideally at latest </w:t>
      </w:r>
      <w:r>
        <w:rPr>
          <w:sz w:val="22"/>
          <w:szCs w:val="18"/>
        </w:rPr>
        <w:tab/>
      </w:r>
      <w:r>
        <w:rPr>
          <w:sz w:val="22"/>
          <w:szCs w:val="18"/>
        </w:rPr>
        <w:t xml:space="preserve">1 week after the WG meeting): If WGx expected a CR from WGy but WGy did not provide such a CR, then there </w:t>
      </w:r>
      <w:r>
        <w:rPr>
          <w:sz w:val="22"/>
          <w:szCs w:val="18"/>
        </w:rPr>
        <w:tab/>
      </w:r>
      <w:r>
        <w:rPr>
          <w:sz w:val="22"/>
          <w:szCs w:val="18"/>
        </w:rPr>
        <w:t xml:space="preserve">are 2 possibilities: The CR from WGy was not needed (then this will be documented e.g. in the RAN minutes or in </w:t>
      </w:r>
      <w:r>
        <w:rPr>
          <w:sz w:val="22"/>
          <w:szCs w:val="18"/>
        </w:rPr>
        <w:tab/>
      </w:r>
      <w:r>
        <w:rPr>
          <w:sz w:val="22"/>
          <w:szCs w:val="18"/>
        </w:rPr>
        <w:t xml:space="preserve">a revised WG chairman's report) or WGy did not manage to conclude on a CR which means we have an incomplete </w:t>
      </w:r>
      <w:r>
        <w:rPr>
          <w:sz w:val="22"/>
          <w:szCs w:val="18"/>
        </w:rPr>
        <w:tab/>
      </w:r>
      <w:r>
        <w:rPr>
          <w:sz w:val="22"/>
          <w:szCs w:val="18"/>
        </w:rPr>
        <w:t xml:space="preserve">CR set that cannot be approved. It is then up to TSG RAN to discard the incomplete CR set or to request a company </w:t>
      </w:r>
      <w:r>
        <w:rPr>
          <w:sz w:val="22"/>
          <w:szCs w:val="18"/>
        </w:rPr>
        <w:tab/>
      </w:r>
      <w:r>
        <w:rPr>
          <w:sz w:val="22"/>
          <w:szCs w:val="18"/>
        </w:rPr>
        <w:t>CR for the WGy spec (if it is easy to solve) or to consider the start of a new WI (if the problem is more complex).</w:t>
      </w:r>
    </w:p>
    <w:p w14:paraId="72BAE57A">
      <w:pPr>
        <w:rPr>
          <w:b/>
          <w:bCs/>
          <w:sz w:val="22"/>
          <w:szCs w:val="18"/>
        </w:rPr>
      </w:pPr>
      <w:r>
        <w:rPr>
          <w:b/>
          <w:bCs/>
          <w:sz w:val="22"/>
          <w:szCs w:val="18"/>
        </w:rPr>
        <w:t>E.4</w:t>
      </w:r>
      <w:r>
        <w:rPr>
          <w:b/>
          <w:bCs/>
          <w:sz w:val="22"/>
          <w:szCs w:val="18"/>
        </w:rPr>
        <w:tab/>
      </w:r>
      <w:r>
        <w:rPr>
          <w:b/>
          <w:bCs/>
          <w:sz w:val="22"/>
          <w:szCs w:val="18"/>
        </w:rPr>
        <w:t xml:space="preserve">MCC will support this tracking activity with a list of TEI CRs for a considered release that were handled at </w:t>
      </w:r>
      <w:r>
        <w:rPr>
          <w:b/>
          <w:bCs/>
          <w:sz w:val="22"/>
          <w:szCs w:val="18"/>
        </w:rPr>
        <w:tab/>
      </w:r>
      <w:r>
        <w:rPr>
          <w:b/>
          <w:bCs/>
          <w:sz w:val="22"/>
          <w:szCs w:val="18"/>
        </w:rPr>
        <w:t>RAN and that have the unique TEI identifier.</w:t>
      </w:r>
    </w:p>
    <w:p w14:paraId="2638987A">
      <w:pPr>
        <w:rPr>
          <w:sz w:val="22"/>
          <w:szCs w:val="18"/>
        </w:rPr>
      </w:pPr>
      <w:r>
        <w:rPr>
          <w:sz w:val="22"/>
          <w:szCs w:val="18"/>
        </w:rPr>
        <w:t>-</w:t>
      </w:r>
      <w:r>
        <w:rPr>
          <w:sz w:val="22"/>
          <w:szCs w:val="18"/>
        </w:rPr>
        <w:tab/>
      </w:r>
      <w:r>
        <w:rPr>
          <w:sz w:val="22"/>
          <w:szCs w:val="18"/>
        </w:rPr>
        <w:t xml:space="preserve">The resulting Tdoc list of each RAN meeting includes already a complete list of all CRs handled in this meeting. </w:t>
      </w:r>
      <w:r>
        <w:rPr>
          <w:sz w:val="22"/>
          <w:szCs w:val="18"/>
        </w:rPr>
        <w:tab/>
      </w:r>
      <w:r>
        <w:rPr>
          <w:sz w:val="22"/>
          <w:szCs w:val="18"/>
        </w:rPr>
        <w:t>An additional list will be added after RAN #92e listing the TEI CRs with unique TEI identifiers in [ ].</w:t>
      </w:r>
      <w:r>
        <w:rPr>
          <w:sz w:val="22"/>
          <w:szCs w:val="18"/>
        </w:rPr>
        <w:br w:type="textWrapping"/>
      </w:r>
      <w:r>
        <w:rPr>
          <w:sz w:val="22"/>
          <w:szCs w:val="18"/>
        </w:rPr>
        <w:tab/>
      </w:r>
      <w:r>
        <w:rPr>
          <w:sz w:val="22"/>
          <w:szCs w:val="18"/>
        </w:rPr>
        <w:t xml:space="preserve">After RAN #93e, a further list will be appended to the TEI CR list so that in the end a list for all TEI cat.B/C </w:t>
      </w:r>
      <w:r>
        <w:rPr>
          <w:sz w:val="22"/>
          <w:szCs w:val="18"/>
        </w:rPr>
        <w:tab/>
      </w:r>
      <w:r>
        <w:rPr>
          <w:sz w:val="22"/>
          <w:szCs w:val="18"/>
        </w:rPr>
        <w:t xml:space="preserve">CRs (and their corresponding cat.F/A corrections) will develop that allows easy search and filtering for new TEI </w:t>
      </w:r>
      <w:r>
        <w:rPr>
          <w:sz w:val="22"/>
          <w:szCs w:val="18"/>
        </w:rPr>
        <w:tab/>
      </w:r>
      <w:r>
        <w:rPr>
          <w:sz w:val="22"/>
          <w:szCs w:val="18"/>
        </w:rPr>
        <w:t>features.</w:t>
      </w:r>
    </w:p>
    <w:p w14:paraId="0A732324">
      <w:pPr>
        <w:rPr>
          <w:sz w:val="22"/>
          <w:szCs w:val="18"/>
        </w:rPr>
      </w:pPr>
      <w:r>
        <w:rPr>
          <w:sz w:val="22"/>
          <w:szCs w:val="18"/>
        </w:rPr>
        <w:t>-</w:t>
      </w:r>
      <w:r>
        <w:rPr>
          <w:sz w:val="22"/>
          <w:szCs w:val="18"/>
        </w:rPr>
        <w:tab/>
      </w:r>
      <w:r>
        <w:rPr>
          <w:sz w:val="22"/>
          <w:szCs w:val="18"/>
        </w:rPr>
        <w:t>Such a list could be generated per release and will allow an improved visibility and tracing of new TEI features.</w:t>
      </w:r>
      <w:r>
        <w:rPr>
          <w:sz w:val="22"/>
          <w:szCs w:val="18"/>
        </w:rPr>
        <w:br w:type="textWrapping"/>
      </w:r>
      <w:r>
        <w:rPr>
          <w:sz w:val="22"/>
          <w:szCs w:val="18"/>
        </w:rPr>
        <w:tab/>
      </w:r>
      <w:r>
        <w:rPr>
          <w:sz w:val="22"/>
          <w:szCs w:val="18"/>
        </w:rPr>
        <w:t xml:space="preserve">Note: Due to the unique TEI identifiers and the proper documentation as outcome of the RAN meetings, also 3GU </w:t>
      </w:r>
      <w:r>
        <w:rPr>
          <w:sz w:val="22"/>
          <w:szCs w:val="18"/>
        </w:rPr>
        <w:tab/>
      </w:r>
      <w:r>
        <w:rPr>
          <w:sz w:val="22"/>
          <w:szCs w:val="18"/>
        </w:rPr>
        <w:t>will allow to search for TEI CR sets.</w:t>
      </w:r>
    </w:p>
    <w:p w14:paraId="7405B1A5">
      <w:pPr>
        <w:rPr>
          <w:bCs/>
          <w:sz w:val="21"/>
          <w:szCs w:val="16"/>
        </w:rPr>
      </w:pPr>
    </w:p>
    <w:p w14:paraId="2E55E986">
      <w:pPr>
        <w:rPr>
          <w:bCs/>
          <w:sz w:val="22"/>
          <w:szCs w:val="18"/>
        </w:rPr>
      </w:pPr>
    </w:p>
    <w:sectPr>
      <w:footerReference r:id="rId5" w:type="first"/>
      <w:footerReference r:id="rId3" w:type="default"/>
      <w:footerReference r:id="rId4" w:type="even"/>
      <w:pgSz w:w="11906" w:h="16838"/>
      <w:pgMar w:top="851" w:right="1134" w:bottom="567" w:left="1134"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Yu Gothic UI"/>
    <w:panose1 w:val="02020609040205080304"/>
    <w:charset w:val="80"/>
    <w:family w:val="modern"/>
    <w:pitch w:val="default"/>
    <w:sig w:usb0="00000000" w:usb1="00000000" w:usb2="08000012" w:usb3="00000000" w:csb0="0002009F" w:csb1="00000000"/>
  </w:font>
  <w:font w:name="MS Gothic">
    <w:panose1 w:val="020B0609070205080204"/>
    <w:charset w:val="80"/>
    <w:family w:val="modern"/>
    <w:pitch w:val="default"/>
    <w:sig w:usb0="E00002FF" w:usb1="6AC7FDFB" w:usb2="08000012" w:usb3="00000000" w:csb0="4002009F" w:csb1="DFD70000"/>
  </w:font>
  <w:font w:name="Yu Mincho">
    <w:altName w:val="Yu Gothic"/>
    <w:panose1 w:val="00000000000000000000"/>
    <w:charset w:val="80"/>
    <w:family w:val="roman"/>
    <w:pitch w:val="default"/>
    <w:sig w:usb0="00000000" w:usb1="00000000" w:usb2="00000012" w:usb3="00000000" w:csb0="0002009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S PGothic">
    <w:panose1 w:val="020B0600070205080204"/>
    <w:charset w:val="80"/>
    <w:family w:val="swiss"/>
    <w:pitch w:val="default"/>
    <w:sig w:usb0="E00002FF" w:usb1="6AC7FDFB" w:usb2="08000012" w:usb3="00000000" w:csb0="4002009F" w:csb1="DFD70000"/>
  </w:font>
  <w:font w:name="Mincho">
    <w:altName w:val="Yu Gothic UI"/>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default"/>
    <w:sig w:usb0="00000287" w:usb1="00000000" w:usb2="00000000" w:usb3="00000000" w:csb0="2000009F" w:csb1="DFD70000"/>
  </w:font>
  <w:font w:name="ZapfDingbats">
    <w:altName w:val="Wingdings"/>
    <w:panose1 w:val="00000000000000000000"/>
    <w:charset w:val="02"/>
    <w:family w:val="decorative"/>
    <w:pitch w:val="default"/>
    <w:sig w:usb0="00000000" w:usb1="00000000" w:usb2="00000000" w:usb3="00000000" w:csb0="80000000" w:csb1="00000000"/>
  </w:font>
  <w:font w:name="Malgun Gothic">
    <w:panose1 w:val="020B0503020000020004"/>
    <w:charset w:val="81"/>
    <w:family w:val="swiss"/>
    <w:pitch w:val="default"/>
    <w:sig w:usb0="9000002F" w:usb1="29D77CFB" w:usb2="00000012" w:usb3="00000000" w:csb0="00080001" w:csb1="00000000"/>
  </w:font>
  <w:font w:name="Batang">
    <w:altName w:val="Malgun Gothic"/>
    <w:panose1 w:val="02030600000101010101"/>
    <w:charset w:val="81"/>
    <w:family w:val="roman"/>
    <w:pitch w:val="default"/>
    <w:sig w:usb0="00000000" w:usb1="00000000" w:usb2="00000030" w:usb3="00000000" w:csb0="0008009F" w:csb1="00000000"/>
  </w:font>
  <w:font w:name="New York">
    <w:altName w:val="Times New Roman"/>
    <w:panose1 w:val="02040503060506020304"/>
    <w:charset w:val="00"/>
    <w:family w:val="roman"/>
    <w:pitch w:val="default"/>
    <w:sig w:usb0="00000000" w:usb1="00000000" w:usb2="00000000" w:usb3="00000000" w:csb0="00000001" w:csb1="00000000"/>
  </w:font>
  <w:font w:name="SimSun-ExtB">
    <w:panose1 w:val="02010609060101010101"/>
    <w:charset w:val="86"/>
    <w:family w:val="modern"/>
    <w:pitch w:val="default"/>
    <w:sig w:usb0="00000001" w:usb1="02000000" w:usb2="00000000" w:usb3="00000000" w:csb0="00040001" w:csb1="00000000"/>
  </w:font>
  <w:font w:name="等线">
    <w:panose1 w:val="02010600030101010101"/>
    <w:charset w:val="86"/>
    <w:family w:val="auto"/>
    <w:pitch w:val="default"/>
    <w:sig w:usb0="A00002BF" w:usb1="38CF7CFA" w:usb2="00000016" w:usb3="00000000" w:csb0="0004000F" w:csb1="00000000"/>
  </w:font>
  <w:font w:name="Microsoft Sans Serif">
    <w:panose1 w:val="020B0604020202020204"/>
    <w:charset w:val="00"/>
    <w:family w:val="swiss"/>
    <w:pitch w:val="default"/>
    <w:sig w:usb0="E5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ＭＳ 明朝">
    <w:altName w:val="Segoe Print"/>
    <w:panose1 w:val="00000000000000000000"/>
    <w:charset w:val="00"/>
    <w:family w:val="auto"/>
    <w:pitch w:val="default"/>
    <w:sig w:usb0="00000000" w:usb1="00000000" w:usb2="00000000" w:usb3="00000000" w:csb0="00000000" w:csb1="00000000"/>
  </w:font>
  <w:font w:name="PMingLiU">
    <w:altName w:val="Microsoft JhengHei UI"/>
    <w:panose1 w:val="02010601000101010101"/>
    <w:charset w:val="88"/>
    <w:family w:val="roman"/>
    <w:pitch w:val="default"/>
    <w:sig w:usb0="00000000" w:usb1="00000000" w:usb2="00000016" w:usb3="00000000" w:csb0="00100001" w:csb1="00000000"/>
  </w:font>
  <w:font w:name="Freestyle Script">
    <w:panose1 w:val="030804020302050B0404"/>
    <w:charset w:val="00"/>
    <w:family w:val="script"/>
    <w:pitch w:val="default"/>
    <w:sig w:usb0="00000003" w:usb1="00000000" w:usb2="00000000" w:usb3="00000000" w:csb0="20000001" w:csb1="00000000"/>
  </w:font>
  <w:font w:name="Helvetica">
    <w:altName w:val="Arial"/>
    <w:panose1 w:val="020B0604020202020204"/>
    <w:charset w:val="00"/>
    <w:family w:val="swiss"/>
    <w:pitch w:val="default"/>
    <w:sig w:usb0="00000000" w:usb1="00000000" w:usb2="00000009" w:usb3="00000000" w:csb0="000001FF" w:csb1="00000000"/>
  </w:font>
  <w:font w:name="Helvetica 75 Bold">
    <w:altName w:val="Arial"/>
    <w:panose1 w:val="00000000000000000000"/>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 w:name="Yu Gothic">
    <w:panose1 w:val="020B04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59565">
    <w:pPr>
      <w:pStyle w:val="40"/>
    </w:pPr>
    <w:r>
      <w:rPr>
        <w:lang w:val="en-US" w:eastAsia="zh-CN"/>
      </w:rPr>
      <mc:AlternateContent>
        <mc:Choice Requires="wps">
          <w:drawing>
            <wp:anchor distT="0" distB="0" distL="0" distR="0" simplePos="0" relativeHeight="251666432" behindDoc="0" locked="0" layoutInCell="1" allowOverlap="1">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807A78">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Zone de texte 3" o:spid="_x0000_s1026" o:spt="202" alt="Orange Restricted" type="#_x0000_t202" style="position:absolute;left:0pt;height:34.95pt;width:34.95pt;mso-position-horizontal:center;mso-position-horizontal-relative:page;mso-position-vertical:bottom;mso-position-vertical-relative:page;mso-wrap-style:none;z-index:251666432;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8ga6g0gAAAAMBAAAPAAAAAAAAAAEAIAAAACIAAABkcnMvZG93bnJldi54&#10;bWxQSwECFAAUAAAACACHTuJA7VS6ADkCAAB1BAAADgAAAAAAAAABACAAAAAhAQAAZHJzL2Uyb0Rv&#10;Yy54bWxQSwUGAAAAAAYABgBZAQAAzAUAAAAA&#10;">
              <v:fill on="f" focussize="0,0"/>
              <v:stroke on="f"/>
              <v:imagedata o:title=""/>
              <o:lock v:ext="edit" aspectratio="f"/>
              <v:textbox inset="0mm,0mm,0mm,15pt" style="mso-fit-shape-to-text:t;">
                <w:txbxContent>
                  <w:p w14:paraId="40807A78">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198A7">
    <w:pPr>
      <w:pStyle w:val="40"/>
    </w:pPr>
    <w:r>
      <w:rPr>
        <w:lang w:val="en-US" w:eastAsia="zh-CN"/>
      </w:rPr>
      <mc:AlternateContent>
        <mc:Choice Requires="wps">
          <w:drawing>
            <wp:anchor distT="0" distB="0" distL="0" distR="0" simplePos="0" relativeHeight="251665408" behindDoc="0" locked="0" layoutInCell="1" allowOverlap="1">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E0EE1F">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Zone de texte 2" o:spid="_x0000_s1026" o:spt="202" alt="Orange Restricted" type="#_x0000_t202" style="position:absolute;left:0pt;height:34.95pt;width:34.95pt;mso-position-horizontal:center;mso-position-horizontal-relative:page;mso-position-vertical:bottom;mso-position-vertical-relative:page;mso-wrap-style:none;z-index:251665408;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yBrqDSAAAAAwEAAA8AAAAAAAAAAQAgAAAAIgAAAGRycy9kb3ducmV2Lnht&#10;bFBLAQIUABQAAAAIAIdO4kDcyCCTOAIAAHUEAAAOAAAAAAAAAAEAIAAAACEBAABkcnMvZTJvRG9j&#10;LnhtbFBLBQYAAAAABgAGAFkBAADLBQAAAAA=&#10;">
              <v:fill on="f" focussize="0,0"/>
              <v:stroke on="f"/>
              <v:imagedata o:title=""/>
              <o:lock v:ext="edit" aspectratio="f"/>
              <v:textbox inset="0mm,0mm,0mm,15pt" style="mso-fit-shape-to-text:t;">
                <w:txbxContent>
                  <w:p w14:paraId="31E0EE1F">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BC579">
    <w:pPr>
      <w:pStyle w:val="40"/>
    </w:pPr>
    <w:r>
      <w:rPr>
        <w:lang w:val="en-US" w:eastAsia="zh-CN"/>
      </w:rPr>
      <mc:AlternateContent>
        <mc:Choice Requires="wps">
          <w:drawing>
            <wp:anchor distT="0" distB="0" distL="0" distR="0" simplePos="0" relativeHeight="251664384" behindDoc="0" locked="0" layoutInCell="1" allowOverlap="1">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BDD75C">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Zone de texte 1" o:spid="_x0000_s1026" o:spt="202" alt="Orange Restricted" type="#_x0000_t202" style="position:absolute;left:0pt;height:34.95pt;width:34.95pt;mso-position-horizontal:center;mso-position-horizontal-relative:page;mso-position-vertical:bottom;mso-position-vertical-relative:page;mso-wrap-style:none;z-index:251664384;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IGuoNIAAAADAQAADwAAAAAAAAABACAAAAAiAAAAZHJzL2Rvd25yZXYueG1s&#10;UEsBAhQAFAAAAAgAh07iQBtriW83AgAAdQQAAA4AAAAAAAAAAQAgAAAAIQEAAGRycy9lMm9Eb2Mu&#10;eG1sUEsFBgAAAAAGAAYAWQEAAMoFAAAAAA==&#10;">
              <v:fill on="f" focussize="0,0"/>
              <v:stroke on="f"/>
              <v:imagedata o:title=""/>
              <o:lock v:ext="edit" aspectratio="f"/>
              <v:textbox inset="0mm,0mm,0mm,15pt" style="mso-fit-shape-to-text:t;">
                <w:txbxContent>
                  <w:p w14:paraId="30BDD75C">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1B2BBF"/>
    <w:multiLevelType w:val="multilevel"/>
    <w:tmpl w:val="001B2B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820774F"/>
    <w:multiLevelType w:val="multilevel"/>
    <w:tmpl w:val="0820774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9070FB6"/>
    <w:multiLevelType w:val="multilevel"/>
    <w:tmpl w:val="09070FB6"/>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0D9A0D88"/>
    <w:multiLevelType w:val="multilevel"/>
    <w:tmpl w:val="0D9A0D88"/>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
    <w:nsid w:val="0F847706"/>
    <w:multiLevelType w:val="multilevel"/>
    <w:tmpl w:val="0F847706"/>
    <w:lvl w:ilvl="0" w:tentative="0">
      <w:start w:val="1"/>
      <w:numFmt w:val="bullet"/>
      <w:pStyle w:val="19"/>
      <w:lvlText w:val=""/>
      <w:lvlJc w:val="left"/>
      <w:pPr>
        <w:ind w:left="1854" w:hanging="360"/>
      </w:pPr>
      <w:rPr>
        <w:rFonts w:hint="default" w:ascii="Symbol" w:hAnsi="Symbol"/>
      </w:rPr>
    </w:lvl>
    <w:lvl w:ilvl="1" w:tentative="0">
      <w:start w:val="1"/>
      <w:numFmt w:val="bullet"/>
      <w:lvlText w:val="o"/>
      <w:lvlJc w:val="left"/>
      <w:pPr>
        <w:ind w:left="2574" w:hanging="360"/>
      </w:pPr>
      <w:rPr>
        <w:rFonts w:hint="default" w:ascii="Courier New" w:hAnsi="Courier New" w:cs="Courier New"/>
      </w:rPr>
    </w:lvl>
    <w:lvl w:ilvl="2" w:tentative="0">
      <w:start w:val="1"/>
      <w:numFmt w:val="bullet"/>
      <w:lvlText w:val=""/>
      <w:lvlJc w:val="left"/>
      <w:pPr>
        <w:ind w:left="3294" w:hanging="360"/>
      </w:pPr>
      <w:rPr>
        <w:rFonts w:hint="default" w:ascii="Wingdings" w:hAnsi="Wingdings"/>
      </w:rPr>
    </w:lvl>
    <w:lvl w:ilvl="3" w:tentative="0">
      <w:start w:val="1"/>
      <w:numFmt w:val="bullet"/>
      <w:lvlText w:val=""/>
      <w:lvlJc w:val="left"/>
      <w:pPr>
        <w:ind w:left="4014" w:hanging="360"/>
      </w:pPr>
      <w:rPr>
        <w:rFonts w:hint="default" w:ascii="Symbol" w:hAnsi="Symbol"/>
      </w:rPr>
    </w:lvl>
    <w:lvl w:ilvl="4" w:tentative="0">
      <w:start w:val="1"/>
      <w:numFmt w:val="bullet"/>
      <w:lvlText w:val="o"/>
      <w:lvlJc w:val="left"/>
      <w:pPr>
        <w:ind w:left="4734" w:hanging="360"/>
      </w:pPr>
      <w:rPr>
        <w:rFonts w:hint="default" w:ascii="Courier New" w:hAnsi="Courier New" w:cs="Courier New"/>
      </w:rPr>
    </w:lvl>
    <w:lvl w:ilvl="5" w:tentative="0">
      <w:start w:val="1"/>
      <w:numFmt w:val="bullet"/>
      <w:lvlText w:val=""/>
      <w:lvlJc w:val="left"/>
      <w:pPr>
        <w:ind w:left="5454" w:hanging="360"/>
      </w:pPr>
      <w:rPr>
        <w:rFonts w:hint="default" w:ascii="Wingdings" w:hAnsi="Wingdings"/>
      </w:rPr>
    </w:lvl>
    <w:lvl w:ilvl="6" w:tentative="0">
      <w:start w:val="1"/>
      <w:numFmt w:val="bullet"/>
      <w:lvlText w:val=""/>
      <w:lvlJc w:val="left"/>
      <w:pPr>
        <w:ind w:left="6174" w:hanging="360"/>
      </w:pPr>
      <w:rPr>
        <w:rFonts w:hint="default" w:ascii="Symbol" w:hAnsi="Symbol"/>
      </w:rPr>
    </w:lvl>
    <w:lvl w:ilvl="7" w:tentative="0">
      <w:start w:val="1"/>
      <w:numFmt w:val="bullet"/>
      <w:lvlText w:val="o"/>
      <w:lvlJc w:val="left"/>
      <w:pPr>
        <w:ind w:left="6894" w:hanging="360"/>
      </w:pPr>
      <w:rPr>
        <w:rFonts w:hint="default" w:ascii="Courier New" w:hAnsi="Courier New" w:cs="Courier New"/>
      </w:rPr>
    </w:lvl>
    <w:lvl w:ilvl="8" w:tentative="0">
      <w:start w:val="1"/>
      <w:numFmt w:val="bullet"/>
      <w:lvlText w:val=""/>
      <w:lvlJc w:val="left"/>
      <w:pPr>
        <w:ind w:left="7614" w:hanging="360"/>
      </w:pPr>
      <w:rPr>
        <w:rFonts w:hint="default" w:ascii="Wingdings" w:hAnsi="Wingdings"/>
      </w:rPr>
    </w:lvl>
  </w:abstractNum>
  <w:abstractNum w:abstractNumId="5">
    <w:nsid w:val="116B73BA"/>
    <w:multiLevelType w:val="multilevel"/>
    <w:tmpl w:val="116B73BA"/>
    <w:lvl w:ilvl="0" w:tentative="0">
      <w:start w:val="1"/>
      <w:numFmt w:val="decimal"/>
      <w:pStyle w:val="29"/>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12125FDC"/>
    <w:multiLevelType w:val="multilevel"/>
    <w:tmpl w:val="12125FD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4B51533"/>
    <w:multiLevelType w:val="multilevel"/>
    <w:tmpl w:val="14B51533"/>
    <w:lvl w:ilvl="0" w:tentative="0">
      <w:start w:val="1"/>
      <w:numFmt w:val="decimal"/>
      <w:lvlText w:val="%1."/>
      <w:lvlJc w:val="left"/>
      <w:pPr>
        <w:ind w:left="1020" w:hanging="360"/>
      </w:pPr>
    </w:lvl>
    <w:lvl w:ilvl="1" w:tentative="0">
      <w:start w:val="1"/>
      <w:numFmt w:val="decimal"/>
      <w:lvlText w:val="%2."/>
      <w:lvlJc w:val="left"/>
      <w:pPr>
        <w:ind w:left="1020" w:hanging="360"/>
      </w:pPr>
    </w:lvl>
    <w:lvl w:ilvl="2" w:tentative="0">
      <w:start w:val="1"/>
      <w:numFmt w:val="decimal"/>
      <w:lvlText w:val="%3."/>
      <w:lvlJc w:val="left"/>
      <w:pPr>
        <w:ind w:left="1020" w:hanging="360"/>
      </w:pPr>
    </w:lvl>
    <w:lvl w:ilvl="3" w:tentative="0">
      <w:start w:val="1"/>
      <w:numFmt w:val="decimal"/>
      <w:lvlText w:val="%4."/>
      <w:lvlJc w:val="left"/>
      <w:pPr>
        <w:ind w:left="1020" w:hanging="360"/>
      </w:pPr>
    </w:lvl>
    <w:lvl w:ilvl="4" w:tentative="0">
      <w:start w:val="1"/>
      <w:numFmt w:val="decimal"/>
      <w:lvlText w:val="%5."/>
      <w:lvlJc w:val="left"/>
      <w:pPr>
        <w:ind w:left="1020" w:hanging="360"/>
      </w:pPr>
    </w:lvl>
    <w:lvl w:ilvl="5" w:tentative="0">
      <w:start w:val="1"/>
      <w:numFmt w:val="decimal"/>
      <w:lvlText w:val="%6."/>
      <w:lvlJc w:val="left"/>
      <w:pPr>
        <w:ind w:left="1020" w:hanging="360"/>
      </w:pPr>
    </w:lvl>
    <w:lvl w:ilvl="6" w:tentative="0">
      <w:start w:val="1"/>
      <w:numFmt w:val="decimal"/>
      <w:lvlText w:val="%7."/>
      <w:lvlJc w:val="left"/>
      <w:pPr>
        <w:ind w:left="1020" w:hanging="360"/>
      </w:pPr>
    </w:lvl>
    <w:lvl w:ilvl="7" w:tentative="0">
      <w:start w:val="1"/>
      <w:numFmt w:val="decimal"/>
      <w:lvlText w:val="%8."/>
      <w:lvlJc w:val="left"/>
      <w:pPr>
        <w:ind w:left="1020" w:hanging="360"/>
      </w:pPr>
    </w:lvl>
    <w:lvl w:ilvl="8" w:tentative="0">
      <w:start w:val="1"/>
      <w:numFmt w:val="decimal"/>
      <w:lvlText w:val="%9."/>
      <w:lvlJc w:val="left"/>
      <w:pPr>
        <w:ind w:left="1020" w:hanging="360"/>
      </w:pPr>
    </w:lvl>
  </w:abstractNum>
  <w:abstractNum w:abstractNumId="8">
    <w:nsid w:val="1654472C"/>
    <w:multiLevelType w:val="multilevel"/>
    <w:tmpl w:val="1654472C"/>
    <w:lvl w:ilvl="0" w:tentative="0">
      <w:start w:val="1"/>
      <w:numFmt w:val="bullet"/>
      <w:lvlText w:val=""/>
      <w:lvlJc w:val="left"/>
      <w:pPr>
        <w:ind w:left="770" w:hanging="360"/>
      </w:pPr>
      <w:rPr>
        <w:rFonts w:hint="default" w:ascii="Symbol" w:hAnsi="Symbol"/>
      </w:rPr>
    </w:lvl>
    <w:lvl w:ilvl="1" w:tentative="0">
      <w:start w:val="1"/>
      <w:numFmt w:val="bullet"/>
      <w:lvlText w:val="o"/>
      <w:lvlJc w:val="left"/>
      <w:pPr>
        <w:ind w:left="1490" w:hanging="360"/>
      </w:pPr>
      <w:rPr>
        <w:rFonts w:hint="default" w:ascii="Courier New" w:hAnsi="Courier New" w:cs="Courier New"/>
      </w:rPr>
    </w:lvl>
    <w:lvl w:ilvl="2" w:tentative="0">
      <w:start w:val="1"/>
      <w:numFmt w:val="bullet"/>
      <w:lvlText w:val=""/>
      <w:lvlJc w:val="left"/>
      <w:pPr>
        <w:ind w:left="2210" w:hanging="360"/>
      </w:pPr>
      <w:rPr>
        <w:rFonts w:hint="default" w:ascii="Wingdings" w:hAnsi="Wingdings"/>
      </w:rPr>
    </w:lvl>
    <w:lvl w:ilvl="3" w:tentative="0">
      <w:start w:val="1"/>
      <w:numFmt w:val="bullet"/>
      <w:lvlText w:val=""/>
      <w:lvlJc w:val="left"/>
      <w:pPr>
        <w:ind w:left="2930" w:hanging="360"/>
      </w:pPr>
      <w:rPr>
        <w:rFonts w:hint="default" w:ascii="Symbol" w:hAnsi="Symbol"/>
      </w:rPr>
    </w:lvl>
    <w:lvl w:ilvl="4" w:tentative="0">
      <w:start w:val="1"/>
      <w:numFmt w:val="bullet"/>
      <w:lvlText w:val="o"/>
      <w:lvlJc w:val="left"/>
      <w:pPr>
        <w:ind w:left="3650" w:hanging="360"/>
      </w:pPr>
      <w:rPr>
        <w:rFonts w:hint="default" w:ascii="Courier New" w:hAnsi="Courier New" w:cs="Courier New"/>
      </w:rPr>
    </w:lvl>
    <w:lvl w:ilvl="5" w:tentative="0">
      <w:start w:val="1"/>
      <w:numFmt w:val="bullet"/>
      <w:lvlText w:val=""/>
      <w:lvlJc w:val="left"/>
      <w:pPr>
        <w:ind w:left="4370" w:hanging="360"/>
      </w:pPr>
      <w:rPr>
        <w:rFonts w:hint="default" w:ascii="Wingdings" w:hAnsi="Wingdings"/>
      </w:rPr>
    </w:lvl>
    <w:lvl w:ilvl="6" w:tentative="0">
      <w:start w:val="1"/>
      <w:numFmt w:val="bullet"/>
      <w:lvlText w:val=""/>
      <w:lvlJc w:val="left"/>
      <w:pPr>
        <w:ind w:left="5090" w:hanging="360"/>
      </w:pPr>
      <w:rPr>
        <w:rFonts w:hint="default" w:ascii="Symbol" w:hAnsi="Symbol"/>
      </w:rPr>
    </w:lvl>
    <w:lvl w:ilvl="7" w:tentative="0">
      <w:start w:val="1"/>
      <w:numFmt w:val="bullet"/>
      <w:lvlText w:val="o"/>
      <w:lvlJc w:val="left"/>
      <w:pPr>
        <w:ind w:left="5810" w:hanging="360"/>
      </w:pPr>
      <w:rPr>
        <w:rFonts w:hint="default" w:ascii="Courier New" w:hAnsi="Courier New" w:cs="Courier New"/>
      </w:rPr>
    </w:lvl>
    <w:lvl w:ilvl="8" w:tentative="0">
      <w:start w:val="1"/>
      <w:numFmt w:val="bullet"/>
      <w:lvlText w:val=""/>
      <w:lvlJc w:val="left"/>
      <w:pPr>
        <w:ind w:left="6530" w:hanging="360"/>
      </w:pPr>
      <w:rPr>
        <w:rFonts w:hint="default" w:ascii="Wingdings" w:hAnsi="Wingdings"/>
      </w:rPr>
    </w:lvl>
  </w:abstractNum>
  <w:abstractNum w:abstractNumId="9">
    <w:nsid w:val="18180281"/>
    <w:multiLevelType w:val="multilevel"/>
    <w:tmpl w:val="18180281"/>
    <w:lvl w:ilvl="0" w:tentative="0">
      <w:start w:val="1"/>
      <w:numFmt w:val="bullet"/>
      <w:lvlText w:val="•"/>
      <w:lvlJc w:val="left"/>
      <w:pPr>
        <w:tabs>
          <w:tab w:val="left" w:pos="720"/>
        </w:tabs>
        <w:ind w:left="720" w:hanging="360"/>
      </w:pPr>
      <w:rPr>
        <w:rFonts w:hint="default" w:ascii="Arial" w:hAnsi="Arial"/>
      </w:rPr>
    </w:lvl>
    <w:lvl w:ilvl="1" w:tentative="0">
      <w:start w:val="0"/>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0">
    <w:nsid w:val="19BA1DB6"/>
    <w:multiLevelType w:val="multilevel"/>
    <w:tmpl w:val="19BA1DB6"/>
    <w:lvl w:ilvl="0" w:tentative="0">
      <w:start w:val="1"/>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B6A7336"/>
    <w:multiLevelType w:val="multilevel"/>
    <w:tmpl w:val="1B6A733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2"/>
      <w:numFmt w:val="bullet"/>
      <w:lvlText w:val="-"/>
      <w:lvlJc w:val="left"/>
      <w:pPr>
        <w:ind w:left="3090" w:hanging="570"/>
      </w:pPr>
      <w:rPr>
        <w:rFonts w:hint="default" w:ascii="Times New Roman" w:hAnsi="Times New Roman" w:eastAsia="Times New Roman" w:cs="Times New Roman"/>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EBA018E"/>
    <w:multiLevelType w:val="multilevel"/>
    <w:tmpl w:val="1EBA018E"/>
    <w:lvl w:ilvl="0" w:tentative="0">
      <w:start w:val="1"/>
      <w:numFmt w:val="bullet"/>
      <w:lvlText w:val=""/>
      <w:lvlJc w:val="left"/>
      <w:pPr>
        <w:tabs>
          <w:tab w:val="left" w:pos="360"/>
        </w:tabs>
        <w:ind w:left="360" w:hanging="360"/>
      </w:pPr>
      <w:rPr>
        <w:rFonts w:hint="default" w:ascii="Symbol" w:hAnsi="Symbol"/>
        <w:sz w:val="20"/>
      </w:rPr>
    </w:lvl>
    <w:lvl w:ilvl="1" w:tentative="0">
      <w:start w:val="1"/>
      <w:numFmt w:val="bullet"/>
      <w:lvlText w:val="o"/>
      <w:lvlJc w:val="left"/>
      <w:pPr>
        <w:tabs>
          <w:tab w:val="left" w:pos="1080"/>
        </w:tabs>
        <w:ind w:left="1080" w:hanging="360"/>
      </w:pPr>
      <w:rPr>
        <w:rFonts w:hint="default" w:ascii="Courier New" w:hAnsi="Courier New"/>
        <w:sz w:val="20"/>
      </w:rPr>
    </w:lvl>
    <w:lvl w:ilvl="2" w:tentative="0">
      <w:start w:val="1"/>
      <w:numFmt w:val="bullet"/>
      <w:lvlText w:val=""/>
      <w:lvlJc w:val="left"/>
      <w:pPr>
        <w:tabs>
          <w:tab w:val="left" w:pos="1800"/>
        </w:tabs>
        <w:ind w:left="1800" w:hanging="360"/>
      </w:pPr>
      <w:rPr>
        <w:rFonts w:hint="default" w:ascii="Wingdings" w:hAnsi="Wingdings"/>
        <w:sz w:val="20"/>
      </w:rPr>
    </w:lvl>
    <w:lvl w:ilvl="3" w:tentative="0">
      <w:start w:val="1"/>
      <w:numFmt w:val="bullet"/>
      <w:lvlText w:val=""/>
      <w:lvlJc w:val="left"/>
      <w:pPr>
        <w:tabs>
          <w:tab w:val="left" w:pos="2520"/>
        </w:tabs>
        <w:ind w:left="2520" w:hanging="360"/>
      </w:pPr>
      <w:rPr>
        <w:rFonts w:hint="default" w:ascii="Wingdings" w:hAnsi="Wingdings"/>
        <w:sz w:val="20"/>
      </w:rPr>
    </w:lvl>
    <w:lvl w:ilvl="4" w:tentative="0">
      <w:start w:val="1"/>
      <w:numFmt w:val="bullet"/>
      <w:lvlText w:val=""/>
      <w:lvlJc w:val="left"/>
      <w:pPr>
        <w:tabs>
          <w:tab w:val="left" w:pos="3240"/>
        </w:tabs>
        <w:ind w:left="3240" w:hanging="360"/>
      </w:pPr>
      <w:rPr>
        <w:rFonts w:hint="default" w:ascii="Wingdings" w:hAnsi="Wingdings"/>
        <w:sz w:val="20"/>
      </w:rPr>
    </w:lvl>
    <w:lvl w:ilvl="5" w:tentative="0">
      <w:start w:val="1"/>
      <w:numFmt w:val="bullet"/>
      <w:lvlText w:val=""/>
      <w:lvlJc w:val="left"/>
      <w:pPr>
        <w:tabs>
          <w:tab w:val="left" w:pos="3960"/>
        </w:tabs>
        <w:ind w:left="3960" w:hanging="360"/>
      </w:pPr>
      <w:rPr>
        <w:rFonts w:hint="default" w:ascii="Wingdings" w:hAnsi="Wingdings"/>
        <w:sz w:val="20"/>
      </w:rPr>
    </w:lvl>
    <w:lvl w:ilvl="6" w:tentative="0">
      <w:start w:val="1"/>
      <w:numFmt w:val="bullet"/>
      <w:lvlText w:val=""/>
      <w:lvlJc w:val="left"/>
      <w:pPr>
        <w:tabs>
          <w:tab w:val="left" w:pos="4680"/>
        </w:tabs>
        <w:ind w:left="4680" w:hanging="360"/>
      </w:pPr>
      <w:rPr>
        <w:rFonts w:hint="default" w:ascii="Wingdings" w:hAnsi="Wingdings"/>
        <w:sz w:val="20"/>
      </w:rPr>
    </w:lvl>
    <w:lvl w:ilvl="7" w:tentative="0">
      <w:start w:val="1"/>
      <w:numFmt w:val="bullet"/>
      <w:lvlText w:val=""/>
      <w:lvlJc w:val="left"/>
      <w:pPr>
        <w:tabs>
          <w:tab w:val="left" w:pos="5400"/>
        </w:tabs>
        <w:ind w:left="5400" w:hanging="360"/>
      </w:pPr>
      <w:rPr>
        <w:rFonts w:hint="default" w:ascii="Wingdings" w:hAnsi="Wingdings"/>
        <w:sz w:val="20"/>
      </w:rPr>
    </w:lvl>
    <w:lvl w:ilvl="8" w:tentative="0">
      <w:start w:val="1"/>
      <w:numFmt w:val="bullet"/>
      <w:lvlText w:val=""/>
      <w:lvlJc w:val="left"/>
      <w:pPr>
        <w:tabs>
          <w:tab w:val="left" w:pos="6120"/>
        </w:tabs>
        <w:ind w:left="6120" w:hanging="360"/>
      </w:pPr>
      <w:rPr>
        <w:rFonts w:hint="default" w:ascii="Wingdings" w:hAnsi="Wingdings"/>
        <w:sz w:val="20"/>
      </w:rPr>
    </w:lvl>
  </w:abstractNum>
  <w:abstractNum w:abstractNumId="13">
    <w:nsid w:val="20F91668"/>
    <w:multiLevelType w:val="multilevel"/>
    <w:tmpl w:val="20F91668"/>
    <w:lvl w:ilvl="0" w:tentative="0">
      <w:start w:val="1"/>
      <w:numFmt w:val="bullet"/>
      <w:lvlText w:val="•"/>
      <w:lvlJc w:val="left"/>
      <w:pPr>
        <w:tabs>
          <w:tab w:val="left" w:pos="720"/>
        </w:tabs>
        <w:ind w:left="720" w:hanging="360"/>
      </w:pPr>
      <w:rPr>
        <w:rFonts w:hint="default" w:ascii="Arial" w:hAnsi="Arial"/>
      </w:rPr>
    </w:lvl>
    <w:lvl w:ilvl="1" w:tentative="0">
      <w:start w:val="0"/>
      <w:numFmt w:val="bullet"/>
      <w:lvlText w:val="◦"/>
      <w:lvlJc w:val="left"/>
      <w:pPr>
        <w:tabs>
          <w:tab w:val="left" w:pos="1440"/>
        </w:tabs>
        <w:ind w:left="1440" w:hanging="360"/>
      </w:pPr>
      <w:rPr>
        <w:rFonts w:hint="default" w:ascii="Microsoft Sans Serif" w:hAnsi="Microsoft Sans Serif"/>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4">
    <w:nsid w:val="22D21819"/>
    <w:multiLevelType w:val="multilevel"/>
    <w:tmpl w:val="22D21819"/>
    <w:lvl w:ilvl="0" w:tentative="0">
      <w:start w:val="1"/>
      <w:numFmt w:val="bullet"/>
      <w:pStyle w:val="146"/>
      <w:lvlText w:val=""/>
      <w:lvlJc w:val="left"/>
      <w:pPr>
        <w:tabs>
          <w:tab w:val="left" w:pos="1259"/>
        </w:tabs>
        <w:ind w:left="1622" w:hanging="1055"/>
      </w:pPr>
      <w:rPr>
        <w:rFonts w:hint="default" w:ascii="Wingdings" w:hAnsi="Wingdings"/>
        <w:b/>
        <w:i w:val="0"/>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5">
    <w:nsid w:val="2366470D"/>
    <w:multiLevelType w:val="multilevel"/>
    <w:tmpl w:val="2366470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25030F38"/>
    <w:multiLevelType w:val="multilevel"/>
    <w:tmpl w:val="25030F38"/>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2B0C1686"/>
    <w:multiLevelType w:val="multilevel"/>
    <w:tmpl w:val="2B0C168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CC7125C"/>
    <w:multiLevelType w:val="singleLevel"/>
    <w:tmpl w:val="2CC7125C"/>
    <w:lvl w:ilvl="0" w:tentative="0">
      <w:start w:val="1"/>
      <w:numFmt w:val="bullet"/>
      <w:pStyle w:val="236"/>
      <w:lvlText w:val=""/>
      <w:lvlJc w:val="left"/>
      <w:pPr>
        <w:tabs>
          <w:tab w:val="left" w:pos="360"/>
        </w:tabs>
        <w:ind w:left="360" w:hanging="360"/>
      </w:pPr>
      <w:rPr>
        <w:rFonts w:hint="default" w:ascii="Symbol" w:hAnsi="Symbol"/>
      </w:rPr>
    </w:lvl>
  </w:abstractNum>
  <w:abstractNum w:abstractNumId="19">
    <w:nsid w:val="2D374023"/>
    <w:multiLevelType w:val="multilevel"/>
    <w:tmpl w:val="2D374023"/>
    <w:lvl w:ilvl="0" w:tentative="0">
      <w:start w:val="1"/>
      <w:numFmt w:val="bullet"/>
      <w:lvlText w:val=""/>
      <w:lvlJc w:val="left"/>
      <w:pPr>
        <w:tabs>
          <w:tab w:val="left" w:pos="360"/>
        </w:tabs>
        <w:ind w:left="360" w:hanging="360"/>
      </w:pPr>
      <w:rPr>
        <w:rFonts w:hint="default" w:ascii="Symbol" w:hAnsi="Symbol"/>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800"/>
        </w:tabs>
        <w:ind w:left="1800" w:hanging="360"/>
      </w:pPr>
    </w:lvl>
    <w:lvl w:ilvl="3" w:tentative="0">
      <w:start w:val="1"/>
      <w:numFmt w:val="decimal"/>
      <w:lvlText w:val="%4."/>
      <w:lvlJc w:val="left"/>
      <w:pPr>
        <w:tabs>
          <w:tab w:val="left" w:pos="2520"/>
        </w:tabs>
        <w:ind w:left="2520" w:hanging="360"/>
      </w:pPr>
    </w:lvl>
    <w:lvl w:ilvl="4" w:tentative="0">
      <w:start w:val="1"/>
      <w:numFmt w:val="decimal"/>
      <w:lvlText w:val="%5."/>
      <w:lvlJc w:val="left"/>
      <w:pPr>
        <w:tabs>
          <w:tab w:val="left" w:pos="3240"/>
        </w:tabs>
        <w:ind w:left="3240" w:hanging="360"/>
      </w:pPr>
    </w:lvl>
    <w:lvl w:ilvl="5" w:tentative="0">
      <w:start w:val="1"/>
      <w:numFmt w:val="decimal"/>
      <w:lvlText w:val="%6."/>
      <w:lvlJc w:val="left"/>
      <w:pPr>
        <w:tabs>
          <w:tab w:val="left" w:pos="3960"/>
        </w:tabs>
        <w:ind w:left="3960" w:hanging="360"/>
      </w:pPr>
    </w:lvl>
    <w:lvl w:ilvl="6" w:tentative="0">
      <w:start w:val="1"/>
      <w:numFmt w:val="decimal"/>
      <w:lvlText w:val="%7."/>
      <w:lvlJc w:val="left"/>
      <w:pPr>
        <w:tabs>
          <w:tab w:val="left" w:pos="4680"/>
        </w:tabs>
        <w:ind w:left="4680" w:hanging="360"/>
      </w:pPr>
    </w:lvl>
    <w:lvl w:ilvl="7" w:tentative="0">
      <w:start w:val="1"/>
      <w:numFmt w:val="decimal"/>
      <w:lvlText w:val="%8."/>
      <w:lvlJc w:val="left"/>
      <w:pPr>
        <w:tabs>
          <w:tab w:val="left" w:pos="5400"/>
        </w:tabs>
        <w:ind w:left="5400" w:hanging="360"/>
      </w:pPr>
    </w:lvl>
    <w:lvl w:ilvl="8" w:tentative="0">
      <w:start w:val="1"/>
      <w:numFmt w:val="decimal"/>
      <w:lvlText w:val="%9."/>
      <w:lvlJc w:val="left"/>
      <w:pPr>
        <w:tabs>
          <w:tab w:val="left" w:pos="6120"/>
        </w:tabs>
        <w:ind w:left="6120" w:hanging="360"/>
      </w:pPr>
    </w:lvl>
  </w:abstractNum>
  <w:abstractNum w:abstractNumId="20">
    <w:nsid w:val="30F61878"/>
    <w:multiLevelType w:val="multilevel"/>
    <w:tmpl w:val="30F6187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32051406"/>
    <w:multiLevelType w:val="multilevel"/>
    <w:tmpl w:val="32051406"/>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2">
    <w:nsid w:val="34D5045A"/>
    <w:multiLevelType w:val="singleLevel"/>
    <w:tmpl w:val="34D5045A"/>
    <w:lvl w:ilvl="0" w:tentative="0">
      <w:start w:val="1"/>
      <w:numFmt w:val="bullet"/>
      <w:pStyle w:val="76"/>
      <w:lvlText w:val=""/>
      <w:lvlJc w:val="left"/>
      <w:pPr>
        <w:tabs>
          <w:tab w:val="left" w:pos="360"/>
        </w:tabs>
        <w:ind w:left="340" w:hanging="340"/>
      </w:pPr>
      <w:rPr>
        <w:rFonts w:hint="default" w:ascii="Symbol" w:hAnsi="Symbol" w:eastAsia="Times New Roman"/>
        <w:color w:val="auto"/>
      </w:rPr>
    </w:lvl>
  </w:abstractNum>
  <w:abstractNum w:abstractNumId="23">
    <w:nsid w:val="37AC02FA"/>
    <w:multiLevelType w:val="multilevel"/>
    <w:tmpl w:val="37AC02F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381954F3"/>
    <w:multiLevelType w:val="multilevel"/>
    <w:tmpl w:val="381954F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38A56163"/>
    <w:multiLevelType w:val="multilevel"/>
    <w:tmpl w:val="38A5616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39CE5DF3"/>
    <w:multiLevelType w:val="multilevel"/>
    <w:tmpl w:val="39CE5DF3"/>
    <w:lvl w:ilvl="0" w:tentative="0">
      <w:start w:val="1"/>
      <w:numFmt w:val="decimal"/>
      <w:pStyle w:val="218"/>
      <w:lvlText w:val="%1."/>
      <w:lvlJc w:val="left"/>
      <w:pPr>
        <w:ind w:left="420" w:hanging="420"/>
      </w:p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27">
    <w:nsid w:val="3A877D64"/>
    <w:multiLevelType w:val="singleLevel"/>
    <w:tmpl w:val="3A877D64"/>
    <w:lvl w:ilvl="0" w:tentative="0">
      <w:start w:val="1"/>
      <w:numFmt w:val="decimal"/>
      <w:pStyle w:val="253"/>
      <w:lvlText w:val="[%1]"/>
      <w:lvlJc w:val="left"/>
      <w:pPr>
        <w:tabs>
          <w:tab w:val="left" w:pos="360"/>
        </w:tabs>
        <w:ind w:left="360" w:hanging="360"/>
      </w:pPr>
    </w:lvl>
  </w:abstractNum>
  <w:abstractNum w:abstractNumId="28">
    <w:nsid w:val="3AA46647"/>
    <w:multiLevelType w:val="multilevel"/>
    <w:tmpl w:val="3AA46647"/>
    <w:lvl w:ilvl="0" w:tentative="0">
      <w:start w:val="1"/>
      <w:numFmt w:val="decimal"/>
      <w:pStyle w:val="20"/>
      <w:lvlText w:val="Proposal %1"/>
      <w:lvlJc w:val="left"/>
      <w:pPr>
        <w:tabs>
          <w:tab w:val="left" w:pos="1304"/>
        </w:tabs>
        <w:ind w:left="1304" w:hanging="1304"/>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9">
    <w:nsid w:val="3BB2696E"/>
    <w:multiLevelType w:val="multilevel"/>
    <w:tmpl w:val="3BB2696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3C8F013D"/>
    <w:multiLevelType w:val="multilevel"/>
    <w:tmpl w:val="3C8F013D"/>
    <w:lvl w:ilvl="0" w:tentative="0">
      <w:start w:val="0"/>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410F1BBE"/>
    <w:multiLevelType w:val="multilevel"/>
    <w:tmpl w:val="410F1BBE"/>
    <w:lvl w:ilvl="0" w:tentative="0">
      <w:start w:val="1"/>
      <w:numFmt w:val="decimal"/>
      <w:pStyle w:val="206"/>
      <w:lvlText w:val="Step %1."/>
      <w:lvlJc w:val="left"/>
      <w:pPr>
        <w:tabs>
          <w:tab w:val="left" w:pos="936"/>
        </w:tabs>
        <w:ind w:left="936" w:hanging="936"/>
      </w:pPr>
      <w:rPr>
        <w:rFonts w:hint="default" w:ascii="Times New Roman" w:hAnsi="Times New Roman"/>
        <w:b/>
        <w:i w:val="0"/>
        <w:caps w:val="0"/>
        <w:strike w:val="0"/>
        <w:dstrike w:val="0"/>
        <w:vanish w:val="0"/>
        <w:color w:val="000000"/>
        <w:sz w:val="24"/>
        <w:vertAlign w:val="baseline"/>
      </w:rPr>
    </w:lvl>
    <w:lvl w:ilvl="1" w:tentative="0">
      <w:start w:val="1"/>
      <w:numFmt w:val="decimal"/>
      <w:lvlText w:val="%2."/>
      <w:lvlJc w:val="left"/>
      <w:pPr>
        <w:tabs>
          <w:tab w:val="left" w:pos="1440"/>
        </w:tabs>
        <w:ind w:left="1440" w:hanging="360"/>
      </w:pPr>
      <w:rPr>
        <w:rFonts w:hint="default"/>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2">
    <w:nsid w:val="417F6AFB"/>
    <w:multiLevelType w:val="multilevel"/>
    <w:tmpl w:val="417F6AFB"/>
    <w:lvl w:ilvl="0" w:tentative="0">
      <w:start w:val="1"/>
      <w:numFmt w:val="bullet"/>
      <w:pStyle w:val="163"/>
      <w:lvlText w:val="●"/>
      <w:lvlJc w:val="left"/>
      <w:pPr>
        <w:ind w:left="568" w:hanging="284"/>
      </w:pPr>
      <w:rPr>
        <w:rFonts w:hint="default" w:ascii="Times New Roman" w:hAnsi="Times New Roman" w:cs="Times New Roman"/>
        <w:color w:val="auto"/>
        <w:sz w:val="22"/>
      </w:rPr>
    </w:lvl>
    <w:lvl w:ilvl="1" w:tentative="0">
      <w:start w:val="1"/>
      <w:numFmt w:val="bullet"/>
      <w:lvlText w:val="○"/>
      <w:lvlJc w:val="left"/>
      <w:pPr>
        <w:ind w:left="851" w:hanging="283"/>
      </w:pPr>
      <w:rPr>
        <w:rFonts w:hint="default" w:ascii="Times New Roman" w:hAnsi="Times New Roman" w:cs="Times New Roman"/>
        <w:color w:val="auto"/>
        <w:sz w:val="22"/>
      </w:rPr>
    </w:lvl>
    <w:lvl w:ilvl="2" w:tentative="0">
      <w:start w:val="1"/>
      <w:numFmt w:val="bullet"/>
      <w:lvlText w:val="♦"/>
      <w:lvlJc w:val="left"/>
      <w:pPr>
        <w:ind w:left="1135" w:hanging="284"/>
      </w:pPr>
      <w:rPr>
        <w:rFonts w:hint="default" w:ascii="Times New Roman" w:hAnsi="Times New Roman" w:cs="Times New Roman"/>
        <w:color w:val="auto"/>
        <w:sz w:val="22"/>
      </w:rPr>
    </w:lvl>
    <w:lvl w:ilvl="3" w:tentative="0">
      <w:start w:val="1"/>
      <w:numFmt w:val="bullet"/>
      <w:lvlText w:val="□"/>
      <w:lvlJc w:val="left"/>
      <w:pPr>
        <w:ind w:left="1418" w:hanging="283"/>
      </w:pPr>
      <w:rPr>
        <w:rFonts w:hint="default" w:ascii="Times New Roman" w:hAnsi="Times New Roman" w:cs="Times New Roman"/>
        <w:color w:val="auto"/>
      </w:rPr>
    </w:lvl>
    <w:lvl w:ilvl="4" w:tentative="0">
      <w:start w:val="1"/>
      <w:numFmt w:val="bullet"/>
      <w:lvlText w:val="▪"/>
      <w:lvlJc w:val="left"/>
      <w:pPr>
        <w:ind w:left="1702" w:hanging="284"/>
      </w:pPr>
      <w:rPr>
        <w:rFonts w:hint="default" w:ascii="Times New Roman" w:hAnsi="Times New Roman" w:cs="Times New Roman"/>
        <w:color w:val="auto"/>
      </w:rPr>
    </w:lvl>
    <w:lvl w:ilvl="5" w:tentative="0">
      <w:start w:val="1"/>
      <w:numFmt w:val="lowerRoman"/>
      <w:lvlText w:val="(%6)"/>
      <w:lvlJc w:val="left"/>
      <w:pPr>
        <w:ind w:left="2444" w:hanging="360"/>
      </w:pPr>
      <w:rPr>
        <w:rFonts w:hint="default"/>
      </w:rPr>
    </w:lvl>
    <w:lvl w:ilvl="6" w:tentative="0">
      <w:start w:val="1"/>
      <w:numFmt w:val="decimal"/>
      <w:lvlText w:val="%7."/>
      <w:lvlJc w:val="left"/>
      <w:pPr>
        <w:ind w:left="2804" w:hanging="360"/>
      </w:pPr>
      <w:rPr>
        <w:rFonts w:hint="default"/>
      </w:rPr>
    </w:lvl>
    <w:lvl w:ilvl="7" w:tentative="0">
      <w:start w:val="1"/>
      <w:numFmt w:val="lowerLetter"/>
      <w:lvlText w:val="%8."/>
      <w:lvlJc w:val="left"/>
      <w:pPr>
        <w:ind w:left="3164" w:hanging="360"/>
      </w:pPr>
      <w:rPr>
        <w:rFonts w:hint="default"/>
      </w:rPr>
    </w:lvl>
    <w:lvl w:ilvl="8" w:tentative="0">
      <w:start w:val="1"/>
      <w:numFmt w:val="lowerRoman"/>
      <w:lvlText w:val="%9."/>
      <w:lvlJc w:val="left"/>
      <w:pPr>
        <w:ind w:left="3524" w:hanging="360"/>
      </w:pPr>
      <w:rPr>
        <w:rFonts w:hint="default"/>
      </w:rPr>
    </w:lvl>
  </w:abstractNum>
  <w:abstractNum w:abstractNumId="33">
    <w:nsid w:val="4B1F283C"/>
    <w:multiLevelType w:val="singleLevel"/>
    <w:tmpl w:val="4B1F283C"/>
    <w:lvl w:ilvl="0" w:tentative="0">
      <w:start w:val="1"/>
      <w:numFmt w:val="bullet"/>
      <w:pStyle w:val="256"/>
      <w:lvlText w:val=""/>
      <w:lvlJc w:val="left"/>
      <w:pPr>
        <w:tabs>
          <w:tab w:val="left" w:pos="1843"/>
        </w:tabs>
        <w:ind w:left="1843" w:hanging="425"/>
      </w:pPr>
      <w:rPr>
        <w:rFonts w:hint="default" w:ascii="Symbol" w:hAnsi="Symbol"/>
      </w:rPr>
    </w:lvl>
  </w:abstractNum>
  <w:abstractNum w:abstractNumId="34">
    <w:nsid w:val="5101505E"/>
    <w:multiLevelType w:val="multilevel"/>
    <w:tmpl w:val="5101505E"/>
    <w:lvl w:ilvl="0" w:tentative="0">
      <w:start w:val="1"/>
      <w:numFmt w:val="decimal"/>
      <w:pStyle w:val="228"/>
      <w:lvlText w:val="Observation %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52CA544A"/>
    <w:multiLevelType w:val="singleLevel"/>
    <w:tmpl w:val="52CA544A"/>
    <w:lvl w:ilvl="0" w:tentative="0">
      <w:start w:val="1"/>
      <w:numFmt w:val="decimal"/>
      <w:pStyle w:val="220"/>
      <w:lvlText w:val="[%1]"/>
      <w:lvlJc w:val="left"/>
      <w:pPr>
        <w:tabs>
          <w:tab w:val="left" w:pos="360"/>
        </w:tabs>
        <w:ind w:left="360" w:hanging="360"/>
      </w:pPr>
      <w:rPr>
        <w:rFonts w:hint="default" w:ascii="Times New Roman" w:hAnsi="Times New Roman" w:cs="Times New Roman"/>
        <w:b w:val="0"/>
        <w:bCs w:val="0"/>
        <w:i w:val="0"/>
        <w:iCs w:val="0"/>
        <w:color w:val="auto"/>
        <w:sz w:val="20"/>
        <w:szCs w:val="16"/>
      </w:rPr>
    </w:lvl>
  </w:abstractNum>
  <w:abstractNum w:abstractNumId="36">
    <w:nsid w:val="531F060E"/>
    <w:multiLevelType w:val="multilevel"/>
    <w:tmpl w:val="531F060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57A33DA1"/>
    <w:multiLevelType w:val="multilevel"/>
    <w:tmpl w:val="57A33DA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58B436D7"/>
    <w:multiLevelType w:val="multilevel"/>
    <w:tmpl w:val="58B436D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9">
    <w:nsid w:val="599D33B3"/>
    <w:multiLevelType w:val="multilevel"/>
    <w:tmpl w:val="599D33B3"/>
    <w:lvl w:ilvl="0" w:tentative="0">
      <w:start w:val="1"/>
      <w:numFmt w:val="bullet"/>
      <w:lvlText w:val="●"/>
      <w:lvlJc w:val="left"/>
      <w:pPr>
        <w:ind w:left="568" w:hanging="284"/>
      </w:pPr>
      <w:rPr>
        <w:rFonts w:hint="default" w:ascii="Times New Roman" w:hAnsi="Times New Roman" w:cs="Times New Roman"/>
        <w:color w:val="auto"/>
        <w:sz w:val="22"/>
      </w:rPr>
    </w:lvl>
    <w:lvl w:ilvl="1" w:tentative="0">
      <w:start w:val="5"/>
      <w:numFmt w:val="bullet"/>
      <w:lvlText w:val=""/>
      <w:lvlJc w:val="left"/>
      <w:pPr>
        <w:ind w:left="851" w:hanging="283"/>
      </w:pPr>
      <w:rPr>
        <w:rFonts w:hint="default" w:ascii="Symbol" w:hAnsi="Symbol" w:eastAsia="宋体" w:cs="Times New Roman"/>
        <w:color w:val="auto"/>
        <w:sz w:val="22"/>
      </w:rPr>
    </w:lvl>
    <w:lvl w:ilvl="2" w:tentative="0">
      <w:start w:val="1"/>
      <w:numFmt w:val="bullet"/>
      <w:lvlText w:val="♦"/>
      <w:lvlJc w:val="left"/>
      <w:pPr>
        <w:ind w:left="1135" w:hanging="284"/>
      </w:pPr>
      <w:rPr>
        <w:rFonts w:hint="default" w:ascii="Times New Roman" w:hAnsi="Times New Roman" w:cs="Times New Roman"/>
        <w:color w:val="auto"/>
        <w:sz w:val="22"/>
      </w:rPr>
    </w:lvl>
    <w:lvl w:ilvl="3" w:tentative="0">
      <w:start w:val="1"/>
      <w:numFmt w:val="bullet"/>
      <w:lvlText w:val="□"/>
      <w:lvlJc w:val="left"/>
      <w:pPr>
        <w:ind w:left="1418" w:hanging="283"/>
      </w:pPr>
      <w:rPr>
        <w:rFonts w:hint="default" w:ascii="Times New Roman" w:hAnsi="Times New Roman" w:cs="Times New Roman"/>
        <w:color w:val="auto"/>
      </w:rPr>
    </w:lvl>
    <w:lvl w:ilvl="4" w:tentative="0">
      <w:start w:val="1"/>
      <w:numFmt w:val="bullet"/>
      <w:lvlText w:val="▪"/>
      <w:lvlJc w:val="left"/>
      <w:pPr>
        <w:ind w:left="1702" w:hanging="284"/>
      </w:pPr>
      <w:rPr>
        <w:rFonts w:hint="default" w:ascii="Times New Roman" w:hAnsi="Times New Roman" w:cs="Times New Roman"/>
        <w:color w:val="auto"/>
      </w:rPr>
    </w:lvl>
    <w:lvl w:ilvl="5" w:tentative="0">
      <w:start w:val="1"/>
      <w:numFmt w:val="lowerRoman"/>
      <w:lvlText w:val="(%6)"/>
      <w:lvlJc w:val="left"/>
      <w:pPr>
        <w:ind w:left="2444" w:hanging="360"/>
      </w:pPr>
      <w:rPr>
        <w:rFonts w:hint="default"/>
      </w:rPr>
    </w:lvl>
    <w:lvl w:ilvl="6" w:tentative="0">
      <w:start w:val="1"/>
      <w:numFmt w:val="decimal"/>
      <w:lvlText w:val="%7."/>
      <w:lvlJc w:val="left"/>
      <w:pPr>
        <w:ind w:left="2804" w:hanging="360"/>
      </w:pPr>
      <w:rPr>
        <w:rFonts w:hint="default"/>
      </w:rPr>
    </w:lvl>
    <w:lvl w:ilvl="7" w:tentative="0">
      <w:start w:val="1"/>
      <w:numFmt w:val="lowerLetter"/>
      <w:lvlText w:val="%8."/>
      <w:lvlJc w:val="left"/>
      <w:pPr>
        <w:ind w:left="3164" w:hanging="360"/>
      </w:pPr>
      <w:rPr>
        <w:rFonts w:hint="default"/>
      </w:rPr>
    </w:lvl>
    <w:lvl w:ilvl="8" w:tentative="0">
      <w:start w:val="1"/>
      <w:numFmt w:val="lowerRoman"/>
      <w:lvlText w:val="%9."/>
      <w:lvlJc w:val="left"/>
      <w:pPr>
        <w:ind w:left="3524" w:hanging="360"/>
      </w:pPr>
      <w:rPr>
        <w:rFonts w:hint="default"/>
      </w:rPr>
    </w:lvl>
  </w:abstractNum>
  <w:abstractNum w:abstractNumId="40">
    <w:nsid w:val="59A43710"/>
    <w:multiLevelType w:val="multilevel"/>
    <w:tmpl w:val="59A43710"/>
    <w:lvl w:ilvl="0" w:tentative="0">
      <w:start w:val="1"/>
      <w:numFmt w:val="bullet"/>
      <w:lvlText w:val="•"/>
      <w:lvlJc w:val="left"/>
      <w:pPr>
        <w:ind w:left="1080" w:hanging="400"/>
      </w:pPr>
      <w:rPr>
        <w:rFonts w:hint="default" w:ascii="Arial" w:hAnsi="Arial"/>
      </w:rPr>
    </w:lvl>
    <w:lvl w:ilvl="1" w:tentative="0">
      <w:start w:val="0"/>
      <w:numFmt w:val="bullet"/>
      <w:lvlText w:val="-"/>
      <w:lvlJc w:val="left"/>
      <w:pPr>
        <w:ind w:left="1440" w:hanging="360"/>
      </w:pPr>
      <w:rPr>
        <w:rFonts w:hint="default" w:ascii="Times New Roman" w:hAnsi="Times New Roman" w:cs="Times New Roman" w:eastAsiaTheme="minorEastAsia"/>
        <w:i w:val="0"/>
        <w:color w:val="auto"/>
      </w:rPr>
    </w:lvl>
    <w:lvl w:ilvl="2" w:tentative="0">
      <w:start w:val="1"/>
      <w:numFmt w:val="bullet"/>
      <w:lvlText w:val=""/>
      <w:lvlJc w:val="left"/>
      <w:pPr>
        <w:ind w:left="1880" w:hanging="400"/>
      </w:pPr>
      <w:rPr>
        <w:rFonts w:hint="default" w:ascii="Wingdings" w:hAnsi="Wingdings"/>
      </w:rPr>
    </w:lvl>
    <w:lvl w:ilvl="3" w:tentative="0">
      <w:start w:val="1"/>
      <w:numFmt w:val="bullet"/>
      <w:lvlText w:val=""/>
      <w:lvlJc w:val="left"/>
      <w:pPr>
        <w:ind w:left="2280" w:hanging="400"/>
      </w:pPr>
      <w:rPr>
        <w:rFonts w:hint="default" w:ascii="Wingdings" w:hAnsi="Wingdings"/>
      </w:rPr>
    </w:lvl>
    <w:lvl w:ilvl="4" w:tentative="0">
      <w:start w:val="1"/>
      <w:numFmt w:val="bullet"/>
      <w:lvlText w:val=""/>
      <w:lvlJc w:val="left"/>
      <w:pPr>
        <w:ind w:left="2680" w:hanging="400"/>
      </w:pPr>
      <w:rPr>
        <w:rFonts w:hint="default" w:ascii="Wingdings" w:hAnsi="Wingdings"/>
      </w:rPr>
    </w:lvl>
    <w:lvl w:ilvl="5" w:tentative="0">
      <w:start w:val="1"/>
      <w:numFmt w:val="bullet"/>
      <w:lvlText w:val=""/>
      <w:lvlJc w:val="left"/>
      <w:pPr>
        <w:ind w:left="3080" w:hanging="400"/>
      </w:pPr>
      <w:rPr>
        <w:rFonts w:hint="default" w:ascii="Wingdings" w:hAnsi="Wingdings"/>
      </w:rPr>
    </w:lvl>
    <w:lvl w:ilvl="6" w:tentative="0">
      <w:start w:val="1"/>
      <w:numFmt w:val="bullet"/>
      <w:lvlText w:val=""/>
      <w:lvlJc w:val="left"/>
      <w:pPr>
        <w:ind w:left="3480" w:hanging="400"/>
      </w:pPr>
      <w:rPr>
        <w:rFonts w:hint="default" w:ascii="Wingdings" w:hAnsi="Wingdings"/>
      </w:rPr>
    </w:lvl>
    <w:lvl w:ilvl="7" w:tentative="0">
      <w:start w:val="1"/>
      <w:numFmt w:val="bullet"/>
      <w:lvlText w:val=""/>
      <w:lvlJc w:val="left"/>
      <w:pPr>
        <w:ind w:left="3880" w:hanging="400"/>
      </w:pPr>
      <w:rPr>
        <w:rFonts w:hint="default" w:ascii="Wingdings" w:hAnsi="Wingdings"/>
      </w:rPr>
    </w:lvl>
    <w:lvl w:ilvl="8" w:tentative="0">
      <w:start w:val="1"/>
      <w:numFmt w:val="bullet"/>
      <w:lvlText w:val=""/>
      <w:lvlJc w:val="left"/>
      <w:pPr>
        <w:ind w:left="4280" w:hanging="400"/>
      </w:pPr>
      <w:rPr>
        <w:rFonts w:hint="default" w:ascii="Wingdings" w:hAnsi="Wingdings"/>
      </w:rPr>
    </w:lvl>
  </w:abstractNum>
  <w:abstractNum w:abstractNumId="41">
    <w:nsid w:val="5D0A1770"/>
    <w:multiLevelType w:val="multilevel"/>
    <w:tmpl w:val="5D0A1770"/>
    <w:lvl w:ilvl="0" w:tentative="0">
      <w:start w:val="2"/>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5F1912B1"/>
    <w:multiLevelType w:val="multilevel"/>
    <w:tmpl w:val="5F1912B1"/>
    <w:lvl w:ilvl="0" w:tentative="0">
      <w:start w:val="1"/>
      <w:numFmt w:val="bullet"/>
      <w:pStyle w:val="152"/>
      <w:lvlText w:val=""/>
      <w:lvlJc w:val="left"/>
      <w:pPr>
        <w:ind w:left="720" w:hanging="360"/>
      </w:pPr>
      <w:rPr>
        <w:rFonts w:hint="default" w:ascii="Symbol" w:hAnsi="Symbol"/>
      </w:rPr>
    </w:lvl>
    <w:lvl w:ilvl="1" w:tentative="0">
      <w:start w:val="1"/>
      <w:numFmt w:val="bullet"/>
      <w:pStyle w:val="153"/>
      <w:lvlText w:val="o"/>
      <w:lvlJc w:val="left"/>
      <w:pPr>
        <w:ind w:left="1440" w:hanging="360"/>
      </w:pPr>
      <w:rPr>
        <w:rFonts w:hint="default" w:ascii="Courier New" w:hAnsi="Courier New" w:cs="Courier New"/>
      </w:rPr>
    </w:lvl>
    <w:lvl w:ilvl="2" w:tentative="0">
      <w:start w:val="1"/>
      <w:numFmt w:val="bullet"/>
      <w:pStyle w:val="155"/>
      <w:lvlText w:val=""/>
      <w:lvlJc w:val="left"/>
      <w:pPr>
        <w:ind w:left="2160" w:hanging="360"/>
      </w:pPr>
      <w:rPr>
        <w:rFonts w:hint="default" w:ascii="Wingdings" w:hAnsi="Wingdings"/>
      </w:rPr>
    </w:lvl>
    <w:lvl w:ilvl="3" w:tentative="0">
      <w:start w:val="1"/>
      <w:numFmt w:val="bullet"/>
      <w:pStyle w:val="156"/>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64AE27F1"/>
    <w:multiLevelType w:val="singleLevel"/>
    <w:tmpl w:val="64AE27F1"/>
    <w:lvl w:ilvl="0" w:tentative="0">
      <w:start w:val="1"/>
      <w:numFmt w:val="bullet"/>
      <w:pStyle w:val="81"/>
      <w:lvlText w:val=""/>
      <w:lvlJc w:val="left"/>
      <w:pPr>
        <w:tabs>
          <w:tab w:val="left" w:pos="992"/>
        </w:tabs>
        <w:ind w:left="992" w:hanging="425"/>
      </w:pPr>
      <w:rPr>
        <w:rFonts w:hint="default" w:ascii="Symbol" w:hAnsi="Symbol" w:eastAsia="Times New Roman"/>
      </w:rPr>
    </w:lvl>
  </w:abstractNum>
  <w:abstractNum w:abstractNumId="44">
    <w:nsid w:val="675866D1"/>
    <w:multiLevelType w:val="multilevel"/>
    <w:tmpl w:val="675866D1"/>
    <w:lvl w:ilvl="0" w:tentative="0">
      <w:start w:val="38"/>
      <w:numFmt w:val="bullet"/>
      <w:lvlText w:val="-"/>
      <w:lvlJc w:val="left"/>
      <w:pPr>
        <w:ind w:left="360" w:hanging="360"/>
      </w:pPr>
      <w:rPr>
        <w:rFonts w:hint="default" w:ascii="Times New Roman" w:hAnsi="Times New Roman" w:cs="Times New Roman" w:eastAsiaTheme="minor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7042737F"/>
    <w:multiLevelType w:val="multilevel"/>
    <w:tmpl w:val="7042737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734D2D0B"/>
    <w:multiLevelType w:val="multilevel"/>
    <w:tmpl w:val="734D2D0B"/>
    <w:lvl w:ilvl="0" w:tentative="0">
      <w:start w:val="38"/>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76876673"/>
    <w:multiLevelType w:val="multilevel"/>
    <w:tmpl w:val="7687667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60" w:hanging="440"/>
      </w:pPr>
      <w:rPr>
        <w:rFonts w:hint="default" w:ascii="Wingdings" w:hAnsi="Wingdings"/>
      </w:rPr>
    </w:lvl>
    <w:lvl w:ilvl="2" w:tentative="0">
      <w:start w:val="38"/>
      <w:numFmt w:val="bullet"/>
      <w:lvlText w:val="-"/>
      <w:lvlJc w:val="left"/>
      <w:pPr>
        <w:ind w:left="1280" w:hanging="440"/>
      </w:pPr>
      <w:rPr>
        <w:rFonts w:hint="default" w:ascii="Times New Roman" w:hAnsi="Times New Roman" w:cs="Times New Roman" w:eastAsiaTheme="minorEastAsia"/>
      </w:rPr>
    </w:lvl>
    <w:lvl w:ilvl="3" w:tentative="0">
      <w:start w:val="0"/>
      <w:numFmt w:val="bullet"/>
      <w:lvlText w:val="◦"/>
      <w:lvlJc w:val="left"/>
      <w:pPr>
        <w:ind w:left="1700" w:hanging="440"/>
      </w:pPr>
      <w:rPr>
        <w:rFonts w:hint="default" w:ascii="Microsoft Sans Serif" w:hAnsi="Microsoft Sans Serif"/>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8">
    <w:nsid w:val="7BC330F5"/>
    <w:multiLevelType w:val="multilevel"/>
    <w:tmpl w:val="7BC330F5"/>
    <w:lvl w:ilvl="0" w:tentative="0">
      <w:start w:val="1"/>
      <w:numFmt w:val="bullet"/>
      <w:pStyle w:val="91"/>
      <w:lvlText w:val=""/>
      <w:lvlJc w:val="left"/>
      <w:pPr>
        <w:tabs>
          <w:tab w:val="left" w:pos="851"/>
        </w:tabs>
        <w:ind w:left="851" w:hanging="851"/>
      </w:pPr>
      <w:rPr>
        <w:rFonts w:hint="default" w:ascii="ZapfDingbats" w:hAnsi="ZapfDingbats"/>
        <w:b/>
        <w:i w:val="0"/>
        <w:color w:val="auto"/>
        <w:sz w:val="20"/>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eastAsia="Times New Roman"/>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eastAsia="Times New Roman"/>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9">
    <w:nsid w:val="7DD53980"/>
    <w:multiLevelType w:val="multilevel"/>
    <w:tmpl w:val="7DD53980"/>
    <w:lvl w:ilvl="0" w:tentative="0">
      <w:start w:val="1"/>
      <w:numFmt w:val="decimal"/>
      <w:lvlText w:val="%1"/>
      <w:lvlJc w:val="left"/>
      <w:pPr>
        <w:ind w:left="680" w:hanging="680"/>
      </w:pPr>
      <w:rPr>
        <w:rFonts w:hint="eastAsia"/>
      </w:rPr>
    </w:lvl>
    <w:lvl w:ilvl="1" w:tentative="0">
      <w:start w:val="1"/>
      <w:numFmt w:val="decimal"/>
      <w:lvlText w:val="2.%2"/>
      <w:lvlJc w:val="left"/>
      <w:pPr>
        <w:ind w:left="907" w:hanging="907"/>
      </w:pPr>
      <w:rPr>
        <w:rFonts w:hint="eastAsia"/>
        <w:sz w:val="28"/>
      </w:rPr>
    </w:lvl>
    <w:lvl w:ilvl="2" w:tentative="0">
      <w:start w:val="1"/>
      <w:numFmt w:val="decimal"/>
      <w:lvlText w:val="%1.%2.%3"/>
      <w:lvlJc w:val="left"/>
      <w:pPr>
        <w:ind w:left="1247" w:hanging="1247"/>
      </w:pPr>
      <w:rPr>
        <w:rFonts w:hint="eastAsia"/>
        <w:sz w:val="28"/>
      </w:rPr>
    </w:lvl>
    <w:lvl w:ilvl="3" w:tentative="0">
      <w:start w:val="1"/>
      <w:numFmt w:val="decimal"/>
      <w:lvlText w:val="%1.%2.%3.%4"/>
      <w:lvlJc w:val="left"/>
      <w:pPr>
        <w:ind w:left="1929" w:hanging="708"/>
      </w:pPr>
      <w:rPr>
        <w:rFonts w:hint="eastAsia"/>
      </w:rPr>
    </w:lvl>
    <w:lvl w:ilvl="4" w:tentative="0">
      <w:start w:val="1"/>
      <w:numFmt w:val="decimal"/>
      <w:lvlText w:val="%1.%2.%3.%4.%5"/>
      <w:lvlJc w:val="left"/>
      <w:pPr>
        <w:ind w:left="2496" w:hanging="850"/>
      </w:pPr>
      <w:rPr>
        <w:rFonts w:hint="eastAsia"/>
      </w:rPr>
    </w:lvl>
    <w:lvl w:ilvl="5" w:tentative="0">
      <w:start w:val="1"/>
      <w:numFmt w:val="decimal"/>
      <w:lvlText w:val="%1.%2.%3.%4.%5.%6"/>
      <w:lvlJc w:val="left"/>
      <w:pPr>
        <w:ind w:left="3205" w:hanging="1134"/>
      </w:pPr>
      <w:rPr>
        <w:rFonts w:hint="eastAsia"/>
      </w:rPr>
    </w:lvl>
    <w:lvl w:ilvl="6" w:tentative="0">
      <w:start w:val="1"/>
      <w:numFmt w:val="decimal"/>
      <w:lvlText w:val="%1.%2.%3.%4.%5.%6.%7"/>
      <w:lvlJc w:val="left"/>
      <w:pPr>
        <w:ind w:left="3772" w:hanging="1276"/>
      </w:pPr>
      <w:rPr>
        <w:rFonts w:hint="eastAsia"/>
      </w:rPr>
    </w:lvl>
    <w:lvl w:ilvl="7" w:tentative="0">
      <w:start w:val="1"/>
      <w:numFmt w:val="decimal"/>
      <w:lvlText w:val="%1.%2.%3.%4.%5.%6.%7.%8"/>
      <w:lvlJc w:val="left"/>
      <w:pPr>
        <w:ind w:left="4339" w:hanging="1418"/>
      </w:pPr>
      <w:rPr>
        <w:rFonts w:hint="eastAsia"/>
      </w:rPr>
    </w:lvl>
    <w:lvl w:ilvl="8" w:tentative="0">
      <w:start w:val="1"/>
      <w:numFmt w:val="decimal"/>
      <w:lvlText w:val="%1.%2.%3.%4.%5.%6.%7.%8.%9"/>
      <w:lvlJc w:val="left"/>
      <w:pPr>
        <w:ind w:left="5047" w:hanging="1700"/>
      </w:pPr>
      <w:rPr>
        <w:rFonts w:hint="eastAsia"/>
      </w:rPr>
    </w:lvl>
  </w:abstractNum>
  <w:num w:numId="1">
    <w:abstractNumId w:val="4"/>
  </w:num>
  <w:num w:numId="2">
    <w:abstractNumId w:val="28"/>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2"/>
  </w:num>
  <w:num w:numId="5">
    <w:abstractNumId w:val="43"/>
  </w:num>
  <w:num w:numId="6">
    <w:abstractNumId w:val="48"/>
  </w:num>
  <w:num w:numId="7">
    <w:abstractNumId w:val="14"/>
  </w:num>
  <w:num w:numId="8">
    <w:abstractNumId w:val="42"/>
  </w:num>
  <w:num w:numId="9">
    <w:abstractNumId w:val="32"/>
  </w:num>
  <w:num w:numId="10">
    <w:abstractNumId w:val="31"/>
  </w:num>
  <w:num w:numId="11">
    <w:abstractNumId w:val="26"/>
  </w:num>
  <w:num w:numId="12">
    <w:abstractNumId w:val="35"/>
  </w:num>
  <w:num w:numId="13">
    <w:abstractNumId w:val="34"/>
  </w:num>
  <w:num w:numId="14">
    <w:abstractNumId w:val="18"/>
  </w:num>
  <w:num w:numId="15">
    <w:abstractNumId w:val="27"/>
  </w:num>
  <w:num w:numId="16">
    <w:abstractNumId w:val="33"/>
  </w:num>
  <w:num w:numId="17">
    <w:abstractNumId w:val="38"/>
  </w:num>
  <w:num w:numId="18">
    <w:abstractNumId w:val="49"/>
  </w:num>
  <w:num w:numId="19">
    <w:abstractNumId w:val="40"/>
  </w:num>
  <w:num w:numId="20">
    <w:abstractNumId w:val="47"/>
  </w:num>
  <w:num w:numId="21">
    <w:abstractNumId w:val="36"/>
  </w:num>
  <w:num w:numId="22">
    <w:abstractNumId w:val="19"/>
  </w:num>
  <w:num w:numId="23">
    <w:abstractNumId w:val="9"/>
  </w:num>
  <w:num w:numId="24">
    <w:abstractNumId w:val="44"/>
  </w:num>
  <w:num w:numId="25">
    <w:abstractNumId w:val="46"/>
  </w:num>
  <w:num w:numId="26">
    <w:abstractNumId w:val="39"/>
  </w:num>
  <w:num w:numId="27">
    <w:abstractNumId w:val="12"/>
  </w:num>
  <w:num w:numId="28">
    <w:abstractNumId w:val="34"/>
    <w:lvlOverride w:ilvl="0">
      <w:startOverride w:val="1"/>
    </w:lvlOverride>
  </w:num>
  <w:num w:numId="29">
    <w:abstractNumId w:val="25"/>
  </w:num>
  <w:num w:numId="30">
    <w:abstractNumId w:val="24"/>
  </w:num>
  <w:num w:numId="31">
    <w:abstractNumId w:val="37"/>
  </w:num>
  <w:num w:numId="32">
    <w:abstractNumId w:val="10"/>
  </w:num>
  <w:num w:numId="33">
    <w:abstractNumId w:val="20"/>
  </w:num>
  <w:num w:numId="34">
    <w:abstractNumId w:val="0"/>
  </w:num>
  <w:num w:numId="35">
    <w:abstractNumId w:val="1"/>
  </w:num>
  <w:num w:numId="36">
    <w:abstractNumId w:val="30"/>
  </w:num>
  <w:num w:numId="37">
    <w:abstractNumId w:val="2"/>
  </w:num>
  <w:num w:numId="38">
    <w:abstractNumId w:val="16"/>
  </w:num>
  <w:num w:numId="39">
    <w:abstractNumId w:val="23"/>
  </w:num>
  <w:num w:numId="40">
    <w:abstractNumId w:val="7"/>
  </w:num>
  <w:num w:numId="41">
    <w:abstractNumId w:val="17"/>
  </w:num>
  <w:num w:numId="42">
    <w:abstractNumId w:val="8"/>
  </w:num>
  <w:num w:numId="43">
    <w:abstractNumId w:val="45"/>
  </w:num>
  <w:num w:numId="44">
    <w:abstractNumId w:val="6"/>
  </w:num>
  <w:num w:numId="45">
    <w:abstractNumId w:val="15"/>
  </w:num>
  <w:num w:numId="46">
    <w:abstractNumId w:val="13"/>
  </w:num>
  <w:num w:numId="47">
    <w:abstractNumId w:val="41"/>
  </w:num>
  <w:num w:numId="48">
    <w:abstractNumId w:val="11"/>
  </w:num>
  <w:num w:numId="49">
    <w:abstractNumId w:val="3"/>
  </w:num>
  <w:num w:numId="50">
    <w:abstractNumId w:val="21"/>
  </w:num>
  <w:num w:numId="5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2"/>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nforcement="0"/>
  <w:defaultTabStop w:val="720"/>
  <w:hyphenationZone w:val="425"/>
  <w:doNotHyphenateCaps/>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2EE"/>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1656EC2D"/>
    <w:rsid w:val="2055DED0"/>
    <w:rsid w:val="2DC4682B"/>
    <w:rsid w:val="504E0BA2"/>
    <w:rsid w:val="56601634"/>
    <w:rsid w:val="5E25939E"/>
    <w:rsid w:val="649F85A4"/>
    <w:rsid w:val="6559D771"/>
    <w:rsid w:val="69A84542"/>
    <w:rsid w:val="6FDE2C36"/>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w:hAnsi="Times" w:eastAsia="MS Mincho"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name="toc 3"/>
    <w:lsdException w:qFormat="1" w:unhideWhenUsed="0" w:uiPriority="0" w:name="toc 4"/>
    <w:lsdException w:qFormat="1" w:uiPriority="0" w:semiHidden="0" w:name="toc 5"/>
    <w:lsdException w:qFormat="1" w:unhideWhenUsed="0" w:uiPriority="0" w:name="toc 6"/>
    <w:lsdException w:qFormat="1" w:unhideWhenUsed="0" w:uiPriority="0" w:name="toc 7"/>
    <w:lsdException w:qFormat="1" w:unhideWhenUsed="0" w:uiPriority="0" w:semiHidden="0" w:name="toc 8"/>
    <w:lsdException w:qFormat="1" w:unhideWhenUsed="0" w:uiPriority="0" w:semiHidden="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35" w:semiHidden="0" w:name="caption"/>
    <w:lsdException w:qFormat="1" w:unhideWhenUsed="0" w:uiPriority="99"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99" w:semiHidden="0" w:name="Title"/>
    <w:lsdException w:qFormat="1" w:unhideWhenUsed="0" w:uiPriority="99" w:semiHidden="0" w:name="Closing"/>
    <w:lsdException w:uiPriority="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qFormat="1" w:unhideWhenUsed="0" w:uiPriority="99"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MS Gothic" w:cs="Times New Roman"/>
      <w:sz w:val="24"/>
      <w:lang w:val="en-GB" w:eastAsia="ja-JP" w:bidi="ar-SA"/>
    </w:rPr>
  </w:style>
  <w:style w:type="paragraph" w:styleId="2">
    <w:name w:val="heading 1"/>
    <w:basedOn w:val="1"/>
    <w:next w:val="1"/>
    <w:link w:val="165"/>
    <w:qFormat/>
    <w:uiPriority w:val="0"/>
    <w:pPr>
      <w:keepNext/>
      <w:tabs>
        <w:tab w:val="left" w:pos="0"/>
      </w:tabs>
      <w:spacing w:before="240" w:after="60"/>
      <w:outlineLvl w:val="0"/>
    </w:pPr>
    <w:rPr>
      <w:rFonts w:ascii="Arial" w:hAnsi="Arial"/>
      <w:kern w:val="28"/>
      <w:sz w:val="28"/>
    </w:rPr>
  </w:style>
  <w:style w:type="paragraph" w:styleId="3">
    <w:name w:val="heading 2"/>
    <w:basedOn w:val="1"/>
    <w:next w:val="1"/>
    <w:link w:val="166"/>
    <w:qFormat/>
    <w:uiPriority w:val="0"/>
    <w:pPr>
      <w:keepNext/>
      <w:spacing w:line="480" w:lineRule="auto"/>
      <w:outlineLvl w:val="1"/>
    </w:pPr>
    <w:rPr>
      <w:rFonts w:ascii="Arial" w:hAnsi="Arial"/>
    </w:rPr>
  </w:style>
  <w:style w:type="paragraph" w:styleId="4">
    <w:name w:val="heading 3"/>
    <w:basedOn w:val="1"/>
    <w:next w:val="1"/>
    <w:link w:val="167"/>
    <w:qFormat/>
    <w:uiPriority w:val="0"/>
    <w:pPr>
      <w:keepNext/>
      <w:spacing w:before="240" w:after="60"/>
      <w:outlineLvl w:val="2"/>
    </w:pPr>
    <w:rPr>
      <w:rFonts w:ascii="Arial" w:hAnsi="Arial"/>
    </w:rPr>
  </w:style>
  <w:style w:type="paragraph" w:styleId="5">
    <w:name w:val="heading 4"/>
    <w:basedOn w:val="1"/>
    <w:next w:val="1"/>
    <w:link w:val="168"/>
    <w:qFormat/>
    <w:uiPriority w:val="0"/>
    <w:pPr>
      <w:keepNext/>
      <w:jc w:val="right"/>
      <w:outlineLvl w:val="3"/>
    </w:pPr>
    <w:rPr>
      <w:rFonts w:ascii="Arial" w:hAnsi="Arial"/>
      <w:i/>
    </w:rPr>
  </w:style>
  <w:style w:type="paragraph" w:styleId="6">
    <w:name w:val="heading 5"/>
    <w:basedOn w:val="1"/>
    <w:next w:val="1"/>
    <w:link w:val="169"/>
    <w:qFormat/>
    <w:uiPriority w:val="0"/>
    <w:pPr>
      <w:keepNext/>
      <w:spacing w:line="360" w:lineRule="auto"/>
      <w:outlineLvl w:val="4"/>
    </w:pPr>
    <w:rPr>
      <w:sz w:val="26"/>
      <w:u w:val="single"/>
    </w:rPr>
  </w:style>
  <w:style w:type="paragraph" w:styleId="7">
    <w:name w:val="heading 6"/>
    <w:basedOn w:val="1"/>
    <w:next w:val="1"/>
    <w:link w:val="170"/>
    <w:qFormat/>
    <w:uiPriority w:val="0"/>
    <w:pPr>
      <w:spacing w:before="240" w:after="60"/>
      <w:outlineLvl w:val="5"/>
    </w:pPr>
    <w:rPr>
      <w:i/>
      <w:sz w:val="22"/>
    </w:rPr>
  </w:style>
  <w:style w:type="paragraph" w:styleId="8">
    <w:name w:val="heading 7"/>
    <w:basedOn w:val="1"/>
    <w:next w:val="1"/>
    <w:link w:val="171"/>
    <w:qFormat/>
    <w:uiPriority w:val="0"/>
    <w:pPr>
      <w:spacing w:before="240" w:after="60"/>
      <w:outlineLvl w:val="6"/>
    </w:pPr>
    <w:rPr>
      <w:rFonts w:ascii="Arial" w:hAnsi="Arial"/>
    </w:rPr>
  </w:style>
  <w:style w:type="paragraph" w:styleId="9">
    <w:name w:val="heading 8"/>
    <w:basedOn w:val="1"/>
    <w:next w:val="1"/>
    <w:link w:val="172"/>
    <w:qFormat/>
    <w:uiPriority w:val="0"/>
    <w:pPr>
      <w:spacing w:before="240" w:after="60"/>
      <w:outlineLvl w:val="7"/>
    </w:pPr>
    <w:rPr>
      <w:rFonts w:ascii="Arial" w:hAnsi="Arial"/>
      <w:i/>
    </w:rPr>
  </w:style>
  <w:style w:type="paragraph" w:styleId="10">
    <w:name w:val="heading 9"/>
    <w:basedOn w:val="1"/>
    <w:next w:val="1"/>
    <w:link w:val="173"/>
    <w:qFormat/>
    <w:uiPriority w:val="0"/>
    <w:pPr>
      <w:spacing w:before="240" w:after="60"/>
      <w:outlineLvl w:val="8"/>
    </w:pPr>
    <w:rPr>
      <w:rFonts w:ascii="Arial" w:hAnsi="Arial"/>
      <w:b/>
      <w:i/>
      <w:sz w:val="18"/>
    </w:rPr>
  </w:style>
  <w:style w:type="character" w:default="1" w:styleId="57">
    <w:name w:val="Default Paragraph Font"/>
    <w:semiHidden/>
    <w:unhideWhenUsed/>
    <w:qFormat/>
    <w:uiPriority w:val="1"/>
  </w:style>
  <w:style w:type="table" w:default="1" w:styleId="55">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style>
  <w:style w:type="paragraph" w:styleId="12">
    <w:name w:val="toc 7"/>
    <w:basedOn w:val="13"/>
    <w:next w:val="1"/>
    <w:semiHidden/>
    <w:qFormat/>
    <w:uiPriority w:val="0"/>
    <w:pPr>
      <w:tabs>
        <w:tab w:val="right" w:leader="dot" w:pos="9639"/>
      </w:tabs>
      <w:ind w:left="2268" w:hanging="2268"/>
    </w:pPr>
  </w:style>
  <w:style w:type="paragraph" w:styleId="13">
    <w:name w:val="toc 6"/>
    <w:basedOn w:val="14"/>
    <w:next w:val="1"/>
    <w:semiHidden/>
    <w:qFormat/>
    <w:uiPriority w:val="0"/>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hAnsi="Times New Roman" w:eastAsia="宋体"/>
    </w:rPr>
  </w:style>
  <w:style w:type="paragraph" w:styleId="14">
    <w:name w:val="toc 5"/>
    <w:basedOn w:val="1"/>
    <w:next w:val="1"/>
    <w:unhideWhenUsed/>
    <w:qFormat/>
    <w:uiPriority w:val="0"/>
    <w:pPr>
      <w:spacing w:before="60" w:after="120"/>
      <w:ind w:left="800"/>
      <w:jc w:val="both"/>
    </w:pPr>
    <w:rPr>
      <w:rFonts w:ascii="Arial" w:hAnsi="Arial" w:eastAsia="Times New Roman"/>
      <w:sz w:val="20"/>
      <w:lang w:val="en-US" w:eastAsia="en-US"/>
    </w:rPr>
  </w:style>
  <w:style w:type="paragraph" w:styleId="15">
    <w:name w:val="List Number 2"/>
    <w:basedOn w:val="16"/>
    <w:qFormat/>
    <w:uiPriority w:val="0"/>
    <w:pPr>
      <w:ind w:left="851"/>
    </w:pPr>
  </w:style>
  <w:style w:type="paragraph" w:styleId="16">
    <w:name w:val="List Number"/>
    <w:basedOn w:val="17"/>
    <w:qFormat/>
    <w:uiPriority w:val="0"/>
    <w:pPr>
      <w:overflowPunct w:val="0"/>
      <w:autoSpaceDE w:val="0"/>
      <w:autoSpaceDN w:val="0"/>
      <w:adjustRightInd w:val="0"/>
      <w:textAlignment w:val="baseline"/>
    </w:pPr>
    <w:rPr>
      <w:rFonts w:eastAsia="宋体"/>
      <w:sz w:val="20"/>
      <w:lang w:val="en-US" w:eastAsia="en-US"/>
    </w:rPr>
  </w:style>
  <w:style w:type="paragraph" w:styleId="17">
    <w:name w:val="List"/>
    <w:basedOn w:val="1"/>
    <w:qFormat/>
    <w:uiPriority w:val="0"/>
    <w:pPr>
      <w:spacing w:after="180"/>
      <w:ind w:left="568" w:hanging="284"/>
    </w:pPr>
  </w:style>
  <w:style w:type="paragraph" w:styleId="18">
    <w:name w:val="Note Heading"/>
    <w:basedOn w:val="1"/>
    <w:next w:val="1"/>
    <w:link w:val="113"/>
    <w:qFormat/>
    <w:uiPriority w:val="99"/>
    <w:pPr>
      <w:jc w:val="center"/>
    </w:pPr>
    <w:rPr>
      <w:b/>
      <w:color w:val="FF0000"/>
      <w:szCs w:val="21"/>
      <w:lang w:val="en-US"/>
    </w:rPr>
  </w:style>
  <w:style w:type="paragraph" w:styleId="19">
    <w:name w:val="List Bullet 4"/>
    <w:basedOn w:val="20"/>
    <w:qFormat/>
    <w:uiPriority w:val="0"/>
    <w:pPr>
      <w:widowControl w:val="0"/>
      <w:numPr>
        <w:numId w:val="1"/>
      </w:numPr>
      <w:tabs>
        <w:tab w:val="left" w:pos="1304"/>
      </w:tabs>
      <w:spacing w:after="120"/>
      <w:ind w:left="720"/>
      <w:contextualSpacing w:val="0"/>
      <w:jc w:val="both"/>
    </w:pPr>
    <w:rPr>
      <w:rFonts w:ascii="Arial" w:hAnsi="Arial" w:eastAsia="Yu Mincho" w:cs="Arial"/>
      <w:kern w:val="2"/>
      <w:sz w:val="21"/>
      <w:szCs w:val="22"/>
      <w:lang w:val="en-US"/>
    </w:rPr>
  </w:style>
  <w:style w:type="paragraph" w:styleId="20">
    <w:name w:val="List Bullet 3"/>
    <w:basedOn w:val="1"/>
    <w:unhideWhenUsed/>
    <w:qFormat/>
    <w:uiPriority w:val="0"/>
    <w:pPr>
      <w:numPr>
        <w:ilvl w:val="0"/>
        <w:numId w:val="2"/>
      </w:numPr>
      <w:contextualSpacing/>
    </w:pPr>
  </w:style>
  <w:style w:type="paragraph" w:styleId="21">
    <w:name w:val="caption"/>
    <w:basedOn w:val="1"/>
    <w:next w:val="1"/>
    <w:link w:val="193"/>
    <w:qFormat/>
    <w:uiPriority w:val="35"/>
    <w:pPr>
      <w:spacing w:before="120" w:after="120"/>
    </w:pPr>
    <w:rPr>
      <w:b/>
    </w:rPr>
  </w:style>
  <w:style w:type="paragraph" w:styleId="22">
    <w:name w:val="List Bullet"/>
    <w:basedOn w:val="1"/>
    <w:qFormat/>
    <w:uiPriority w:val="0"/>
    <w:pPr>
      <w:tabs>
        <w:tab w:val="left" w:pos="360"/>
      </w:tabs>
      <w:ind w:left="360" w:hanging="360"/>
    </w:pPr>
  </w:style>
  <w:style w:type="paragraph" w:styleId="23">
    <w:name w:val="Document Map"/>
    <w:basedOn w:val="1"/>
    <w:link w:val="176"/>
    <w:semiHidden/>
    <w:qFormat/>
    <w:uiPriority w:val="0"/>
    <w:pPr>
      <w:shd w:val="clear" w:color="auto" w:fill="000080"/>
    </w:pPr>
    <w:rPr>
      <w:rFonts w:ascii="Tahoma" w:hAnsi="Tahoma"/>
    </w:rPr>
  </w:style>
  <w:style w:type="paragraph" w:styleId="24">
    <w:name w:val="annotation text"/>
    <w:basedOn w:val="1"/>
    <w:link w:val="88"/>
    <w:qFormat/>
    <w:uiPriority w:val="0"/>
    <w:rPr>
      <w:sz w:val="20"/>
    </w:rPr>
  </w:style>
  <w:style w:type="paragraph" w:styleId="25">
    <w:name w:val="Body Text 3"/>
    <w:basedOn w:val="1"/>
    <w:link w:val="182"/>
    <w:qFormat/>
    <w:uiPriority w:val="0"/>
    <w:pPr>
      <w:jc w:val="both"/>
    </w:pPr>
  </w:style>
  <w:style w:type="paragraph" w:styleId="26">
    <w:name w:val="Closing"/>
    <w:basedOn w:val="1"/>
    <w:link w:val="114"/>
    <w:qFormat/>
    <w:uiPriority w:val="99"/>
    <w:pPr>
      <w:jc w:val="right"/>
    </w:pPr>
    <w:rPr>
      <w:b/>
      <w:color w:val="FF0000"/>
      <w:szCs w:val="21"/>
      <w:lang w:val="en-US"/>
    </w:rPr>
  </w:style>
  <w:style w:type="paragraph" w:styleId="27">
    <w:name w:val="Body Text"/>
    <w:basedOn w:val="1"/>
    <w:link w:val="174"/>
    <w:qFormat/>
    <w:uiPriority w:val="0"/>
    <w:pPr>
      <w:spacing w:after="120"/>
    </w:pPr>
  </w:style>
  <w:style w:type="paragraph" w:styleId="28">
    <w:name w:val="Body Text Indent"/>
    <w:basedOn w:val="1"/>
    <w:link w:val="175"/>
    <w:qFormat/>
    <w:uiPriority w:val="99"/>
    <w:pPr>
      <w:ind w:left="360"/>
    </w:pPr>
  </w:style>
  <w:style w:type="paragraph" w:styleId="29">
    <w:name w:val="List Number 3"/>
    <w:basedOn w:val="1"/>
    <w:qFormat/>
    <w:uiPriority w:val="0"/>
    <w:pPr>
      <w:numPr>
        <w:ilvl w:val="0"/>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30">
    <w:name w:val="List 2"/>
    <w:basedOn w:val="17"/>
    <w:qFormat/>
    <w:uiPriority w:val="0"/>
    <w:pPr>
      <w:ind w:left="851"/>
    </w:pPr>
  </w:style>
  <w:style w:type="paragraph" w:styleId="31">
    <w:name w:val="List Bullet 2"/>
    <w:basedOn w:val="22"/>
    <w:qFormat/>
    <w:uiPriority w:val="0"/>
    <w:pPr>
      <w:tabs>
        <w:tab w:val="clear" w:pos="360"/>
      </w:tabs>
      <w:spacing w:after="60"/>
      <w:ind w:left="1080" w:hanging="357"/>
    </w:pPr>
    <w:rPr>
      <w:rFonts w:ascii="Arial" w:hAnsi="Arial"/>
    </w:rPr>
  </w:style>
  <w:style w:type="paragraph" w:styleId="32">
    <w:name w:val="toc 3"/>
    <w:basedOn w:val="33"/>
    <w:next w:val="1"/>
    <w:semiHidden/>
    <w:qFormat/>
    <w:uiPriority w:val="0"/>
    <w:pPr>
      <w:tabs>
        <w:tab w:val="right" w:leader="dot" w:pos="9639"/>
      </w:tabs>
      <w:overflowPunct w:val="0"/>
      <w:autoSpaceDE w:val="0"/>
      <w:autoSpaceDN w:val="0"/>
      <w:adjustRightInd w:val="0"/>
      <w:ind w:left="1134" w:hanging="1134"/>
      <w:textAlignment w:val="baseline"/>
    </w:pPr>
    <w:rPr>
      <w:rFonts w:eastAsia="宋体"/>
      <w:lang w:val="en-US"/>
    </w:rPr>
  </w:style>
  <w:style w:type="paragraph" w:styleId="33">
    <w:name w:val="toc 2"/>
    <w:basedOn w:val="34"/>
    <w:next w:val="1"/>
    <w:qFormat/>
    <w:uiPriority w:val="0"/>
    <w:pPr>
      <w:keepLines/>
      <w:widowControl w:val="0"/>
      <w:tabs>
        <w:tab w:val="right" w:leader="dot" w:pos="9639"/>
      </w:tabs>
      <w:ind w:left="851" w:right="425" w:hanging="851"/>
    </w:pPr>
    <w:rPr>
      <w:rFonts w:eastAsiaTheme="minorEastAsia"/>
      <w:sz w:val="20"/>
      <w:lang w:eastAsia="en-US"/>
    </w:rPr>
  </w:style>
  <w:style w:type="paragraph" w:styleId="34">
    <w:name w:val="toc 1"/>
    <w:basedOn w:val="1"/>
    <w:next w:val="1"/>
    <w:qFormat/>
    <w:uiPriority w:val="0"/>
  </w:style>
  <w:style w:type="paragraph" w:styleId="35">
    <w:name w:val="Plain Text"/>
    <w:basedOn w:val="1"/>
    <w:link w:val="177"/>
    <w:qFormat/>
    <w:uiPriority w:val="99"/>
    <w:rPr>
      <w:rFonts w:ascii="Courier New" w:hAnsi="Courier New"/>
    </w:rPr>
  </w:style>
  <w:style w:type="paragraph" w:styleId="36">
    <w:name w:val="List Bullet 5"/>
    <w:basedOn w:val="19"/>
    <w:qFormat/>
    <w:uiPriority w:val="0"/>
    <w:pPr>
      <w:widowControl/>
      <w:numPr>
        <w:numId w:val="0"/>
      </w:numPr>
      <w:overflowPunct w:val="0"/>
      <w:autoSpaceDE w:val="0"/>
      <w:autoSpaceDN w:val="0"/>
      <w:adjustRightInd w:val="0"/>
      <w:spacing w:after="180"/>
      <w:ind w:left="1702" w:hanging="284"/>
      <w:jc w:val="left"/>
      <w:textAlignment w:val="baseline"/>
    </w:pPr>
    <w:rPr>
      <w:rFonts w:ascii="Times New Roman" w:hAnsi="Times New Roman" w:eastAsia="宋体" w:cs="Times New Roman"/>
      <w:kern w:val="0"/>
      <w:sz w:val="20"/>
      <w:szCs w:val="20"/>
      <w:lang w:eastAsia="en-US"/>
    </w:rPr>
  </w:style>
  <w:style w:type="paragraph" w:styleId="37">
    <w:name w:val="toc 8"/>
    <w:basedOn w:val="34"/>
    <w:next w:val="1"/>
    <w:qFormat/>
    <w:uiPriority w:val="0"/>
    <w:pPr>
      <w:keepNext/>
      <w:keepLines/>
      <w:widowControl w:val="0"/>
      <w:tabs>
        <w:tab w:val="right" w:leader="dot" w:pos="9639"/>
      </w:tabs>
      <w:spacing w:before="180"/>
      <w:ind w:left="2693" w:right="425" w:hanging="2693"/>
    </w:pPr>
    <w:rPr>
      <w:rFonts w:eastAsiaTheme="minorEastAsia"/>
      <w:b/>
      <w:sz w:val="22"/>
      <w:lang w:eastAsia="en-US"/>
    </w:rPr>
  </w:style>
  <w:style w:type="paragraph" w:styleId="38">
    <w:name w:val="Body Text Indent 2"/>
    <w:basedOn w:val="1"/>
    <w:link w:val="179"/>
    <w:qFormat/>
    <w:uiPriority w:val="99"/>
    <w:pPr>
      <w:widowControl w:val="0"/>
      <w:autoSpaceDE w:val="0"/>
      <w:autoSpaceDN w:val="0"/>
      <w:adjustRightInd w:val="0"/>
      <w:ind w:left="1656"/>
      <w:jc w:val="both"/>
      <w:textAlignment w:val="baseline"/>
    </w:pPr>
    <w:rPr>
      <w:kern w:val="2"/>
    </w:rPr>
  </w:style>
  <w:style w:type="paragraph" w:styleId="39">
    <w:name w:val="Balloon Text"/>
    <w:basedOn w:val="1"/>
    <w:link w:val="86"/>
    <w:qFormat/>
    <w:uiPriority w:val="0"/>
    <w:rPr>
      <w:rFonts w:ascii="Arial" w:hAnsi="Arial"/>
      <w:sz w:val="18"/>
    </w:rPr>
  </w:style>
  <w:style w:type="paragraph" w:styleId="40">
    <w:name w:val="footer"/>
    <w:basedOn w:val="1"/>
    <w:link w:val="180"/>
    <w:qFormat/>
    <w:uiPriority w:val="0"/>
    <w:pPr>
      <w:tabs>
        <w:tab w:val="center" w:pos="4536"/>
        <w:tab w:val="right" w:pos="9072"/>
      </w:tabs>
      <w:spacing w:before="120"/>
    </w:pPr>
    <w:rPr>
      <w:lang w:val="de-DE"/>
    </w:rPr>
  </w:style>
  <w:style w:type="paragraph" w:styleId="41">
    <w:name w:val="header"/>
    <w:basedOn w:val="1"/>
    <w:link w:val="66"/>
    <w:qFormat/>
    <w:uiPriority w:val="0"/>
    <w:pPr>
      <w:widowControl w:val="0"/>
    </w:pPr>
    <w:rPr>
      <w:rFonts w:ascii="Arial" w:hAnsi="Arial" w:eastAsia="MS Mincho"/>
      <w:b/>
      <w:sz w:val="18"/>
    </w:rPr>
  </w:style>
  <w:style w:type="paragraph" w:styleId="42">
    <w:name w:val="toc 4"/>
    <w:basedOn w:val="32"/>
    <w:next w:val="1"/>
    <w:semiHidden/>
    <w:qFormat/>
    <w:uiPriority w:val="0"/>
    <w:pPr>
      <w:ind w:left="1418" w:hanging="1418"/>
    </w:pPr>
  </w:style>
  <w:style w:type="paragraph" w:styleId="43">
    <w:name w:val="Subtitle"/>
    <w:basedOn w:val="1"/>
    <w:next w:val="1"/>
    <w:link w:val="250"/>
    <w:qFormat/>
    <w:uiPriority w:val="0"/>
    <w:pPr>
      <w:overflowPunct w:val="0"/>
      <w:autoSpaceDE w:val="0"/>
      <w:autoSpaceDN w:val="0"/>
      <w:adjustRightInd w:val="0"/>
      <w:spacing w:after="60"/>
      <w:jc w:val="center"/>
      <w:textAlignment w:val="baseline"/>
      <w:outlineLvl w:val="1"/>
    </w:pPr>
    <w:rPr>
      <w:rFonts w:ascii="Cambria" w:hAnsi="Cambria" w:eastAsia="宋体"/>
      <w:szCs w:val="24"/>
      <w:lang w:val="en-US" w:eastAsia="en-US"/>
    </w:rPr>
  </w:style>
  <w:style w:type="paragraph" w:styleId="44">
    <w:name w:val="footnote text"/>
    <w:basedOn w:val="1"/>
    <w:link w:val="178"/>
    <w:qFormat/>
    <w:uiPriority w:val="0"/>
    <w:pPr>
      <w:keepLines/>
      <w:ind w:left="454" w:hanging="454"/>
    </w:pPr>
    <w:rPr>
      <w:sz w:val="16"/>
    </w:rPr>
  </w:style>
  <w:style w:type="paragraph" w:styleId="45">
    <w:name w:val="List 5"/>
    <w:basedOn w:val="46"/>
    <w:qFormat/>
    <w:uiPriority w:val="0"/>
    <w:pPr>
      <w:ind w:left="1702"/>
    </w:pPr>
  </w:style>
  <w:style w:type="paragraph" w:styleId="46">
    <w:name w:val="List 4"/>
    <w:basedOn w:val="11"/>
    <w:qFormat/>
    <w:uiPriority w:val="0"/>
    <w:pPr>
      <w:overflowPunct w:val="0"/>
      <w:autoSpaceDE w:val="0"/>
      <w:autoSpaceDN w:val="0"/>
      <w:adjustRightInd w:val="0"/>
      <w:spacing w:after="180"/>
      <w:ind w:left="1418" w:leftChars="0" w:hanging="284" w:firstLineChars="0"/>
      <w:textAlignment w:val="baseline"/>
    </w:pPr>
    <w:rPr>
      <w:rFonts w:eastAsia="宋体"/>
      <w:sz w:val="20"/>
      <w:lang w:val="en-US" w:eastAsia="en-US"/>
    </w:rPr>
  </w:style>
  <w:style w:type="paragraph" w:styleId="47">
    <w:name w:val="table of figures"/>
    <w:basedOn w:val="34"/>
    <w:next w:val="1"/>
    <w:semiHidden/>
    <w:qFormat/>
    <w:uiPriority w:val="99"/>
    <w:pPr>
      <w:tabs>
        <w:tab w:val="right" w:leader="dot" w:pos="9360"/>
      </w:tabs>
      <w:spacing w:before="120" w:after="120"/>
    </w:pPr>
    <w:rPr>
      <w:caps/>
    </w:rPr>
  </w:style>
  <w:style w:type="paragraph" w:styleId="48">
    <w:name w:val="toc 9"/>
    <w:basedOn w:val="37"/>
    <w:next w:val="1"/>
    <w:qFormat/>
    <w:uiPriority w:val="0"/>
    <w:pPr>
      <w:ind w:left="1418" w:hanging="1418"/>
    </w:pPr>
  </w:style>
  <w:style w:type="paragraph" w:styleId="49">
    <w:name w:val="Body Text 2"/>
    <w:basedOn w:val="1"/>
    <w:link w:val="242"/>
    <w:qFormat/>
    <w:uiPriority w:val="0"/>
    <w:pPr>
      <w:tabs>
        <w:tab w:val="left" w:pos="1985"/>
      </w:tabs>
      <w:overflowPunct w:val="0"/>
      <w:autoSpaceDE w:val="0"/>
      <w:autoSpaceDN w:val="0"/>
      <w:adjustRightInd w:val="0"/>
      <w:jc w:val="both"/>
      <w:textAlignment w:val="baseline"/>
    </w:pPr>
    <w:rPr>
      <w:rFonts w:ascii="Arial" w:hAnsi="Arial" w:eastAsia="宋体"/>
      <w:sz w:val="22"/>
      <w:lang w:val="en-US" w:eastAsia="en-US"/>
    </w:rPr>
  </w:style>
  <w:style w:type="paragraph" w:styleId="50">
    <w:name w:val="Normal (Web)"/>
    <w:basedOn w:val="1"/>
    <w:unhideWhenUsed/>
    <w:qFormat/>
    <w:uiPriority w:val="99"/>
    <w:pPr>
      <w:spacing w:before="100" w:beforeAutospacing="1" w:after="100" w:afterAutospacing="1"/>
    </w:pPr>
    <w:rPr>
      <w:rFonts w:ascii="MS PGothic" w:hAnsi="MS PGothic" w:eastAsia="MS PGothic" w:cs="MS PGothic"/>
      <w:szCs w:val="24"/>
      <w:lang w:val="en-US"/>
    </w:rPr>
  </w:style>
  <w:style w:type="paragraph" w:styleId="51">
    <w:name w:val="index 1"/>
    <w:basedOn w:val="1"/>
    <w:next w:val="1"/>
    <w:semiHidden/>
    <w:qFormat/>
    <w:uiPriority w:val="0"/>
    <w:pPr>
      <w:keepLines/>
      <w:overflowPunct w:val="0"/>
      <w:autoSpaceDE w:val="0"/>
      <w:autoSpaceDN w:val="0"/>
      <w:adjustRightInd w:val="0"/>
      <w:textAlignment w:val="baseline"/>
    </w:pPr>
    <w:rPr>
      <w:rFonts w:eastAsia="宋体"/>
      <w:sz w:val="20"/>
      <w:lang w:val="en-US" w:eastAsia="en-US"/>
    </w:rPr>
  </w:style>
  <w:style w:type="paragraph" w:styleId="52">
    <w:name w:val="index 2"/>
    <w:basedOn w:val="51"/>
    <w:next w:val="1"/>
    <w:semiHidden/>
    <w:qFormat/>
    <w:uiPriority w:val="0"/>
    <w:pPr>
      <w:ind w:left="284"/>
    </w:pPr>
  </w:style>
  <w:style w:type="paragraph" w:styleId="53">
    <w:name w:val="Title"/>
    <w:basedOn w:val="1"/>
    <w:link w:val="181"/>
    <w:qFormat/>
    <w:uiPriority w:val="99"/>
    <w:pPr>
      <w:jc w:val="center"/>
    </w:pPr>
    <w:rPr>
      <w:rFonts w:ascii="Arial" w:hAnsi="Arial"/>
      <w:b/>
    </w:rPr>
  </w:style>
  <w:style w:type="paragraph" w:styleId="54">
    <w:name w:val="annotation subject"/>
    <w:basedOn w:val="24"/>
    <w:next w:val="24"/>
    <w:link w:val="92"/>
    <w:qFormat/>
    <w:uiPriority w:val="0"/>
    <w:rPr>
      <w:b/>
      <w:sz w:val="24"/>
    </w:rPr>
  </w:style>
  <w:style w:type="table" w:styleId="56">
    <w:name w:val="Table Grid"/>
    <w:basedOn w:val="55"/>
    <w:qFormat/>
    <w:uiPriority w:val="99"/>
    <w:pPr>
      <w:overflowPunct w:val="0"/>
      <w:autoSpaceDE w:val="0"/>
      <w:autoSpaceDN w:val="0"/>
      <w:adjustRightInd w:val="0"/>
      <w:spacing w:after="180"/>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8">
    <w:name w:val="Strong"/>
    <w:qFormat/>
    <w:uiPriority w:val="22"/>
    <w:rPr>
      <w:b/>
      <w:bCs/>
    </w:rPr>
  </w:style>
  <w:style w:type="character" w:styleId="59">
    <w:name w:val="page number"/>
    <w:qFormat/>
    <w:uiPriority w:val="0"/>
    <w:rPr>
      <w:rFonts w:eastAsia="Times New Roman"/>
      <w:kern w:val="2"/>
      <w:sz w:val="21"/>
      <w:lang w:val="en-GB"/>
    </w:rPr>
  </w:style>
  <w:style w:type="character" w:styleId="60">
    <w:name w:val="FollowedHyperlink"/>
    <w:qFormat/>
    <w:uiPriority w:val="0"/>
    <w:rPr>
      <w:rFonts w:eastAsia="Times New Roman"/>
      <w:color w:val="800080"/>
      <w:kern w:val="2"/>
      <w:sz w:val="21"/>
      <w:u w:val="single"/>
      <w:lang w:val="en-GB"/>
    </w:rPr>
  </w:style>
  <w:style w:type="character" w:styleId="61">
    <w:name w:val="Emphasis"/>
    <w:basedOn w:val="57"/>
    <w:qFormat/>
    <w:uiPriority w:val="20"/>
    <w:rPr>
      <w:rFonts w:hint="default" w:ascii="Times New Roman" w:hAnsi="Times New Roman" w:cs="Times New Roman"/>
      <w:i/>
      <w:iCs/>
    </w:rPr>
  </w:style>
  <w:style w:type="character" w:styleId="62">
    <w:name w:val="Hyperlink"/>
    <w:qFormat/>
    <w:uiPriority w:val="99"/>
    <w:rPr>
      <w:rFonts w:eastAsia="Times New Roman"/>
      <w:color w:val="0000FF"/>
      <w:kern w:val="2"/>
      <w:sz w:val="21"/>
      <w:u w:val="single"/>
      <w:lang w:val="en-GB"/>
    </w:rPr>
  </w:style>
  <w:style w:type="character" w:styleId="63">
    <w:name w:val="annotation reference"/>
    <w:qFormat/>
    <w:uiPriority w:val="0"/>
    <w:rPr>
      <w:rFonts w:eastAsia="Times New Roman"/>
      <w:kern w:val="2"/>
      <w:sz w:val="16"/>
      <w:lang w:val="en-GB"/>
    </w:rPr>
  </w:style>
  <w:style w:type="character" w:styleId="64">
    <w:name w:val="footnote reference"/>
    <w:qFormat/>
    <w:uiPriority w:val="0"/>
    <w:rPr>
      <w:rFonts w:eastAsia="Times New Roman"/>
      <w:b/>
      <w:kern w:val="2"/>
      <w:position w:val="6"/>
      <w:sz w:val="16"/>
      <w:lang w:val="en-GB"/>
    </w:rPr>
  </w:style>
  <w:style w:type="paragraph" w:customStyle="1" w:styleId="65">
    <w:name w:val="Heading 1 unnumbered"/>
    <w:basedOn w:val="2"/>
    <w:next w:val="27"/>
    <w:qFormat/>
    <w:uiPriority w:val="99"/>
    <w:pPr>
      <w:tabs>
        <w:tab w:val="left" w:pos="360"/>
      </w:tabs>
      <w:spacing w:before="360" w:after="240"/>
      <w:ind w:left="360" w:hanging="360"/>
      <w:outlineLvl w:val="9"/>
    </w:pPr>
    <w:rPr>
      <w:rFonts w:ascii="Times New Roman" w:hAnsi="Times New Roman"/>
      <w:sz w:val="32"/>
    </w:rPr>
  </w:style>
  <w:style w:type="character" w:customStyle="1" w:styleId="66">
    <w:name w:val="Header Char"/>
    <w:link w:val="41"/>
    <w:qFormat/>
    <w:locked/>
    <w:uiPriority w:val="0"/>
    <w:rPr>
      <w:rFonts w:ascii="Arial" w:hAnsi="Arial"/>
      <w:b/>
      <w:sz w:val="18"/>
      <w:lang w:val="en-GB"/>
    </w:rPr>
  </w:style>
  <w:style w:type="paragraph" w:customStyle="1" w:styleId="67">
    <w:name w:val="ZT"/>
    <w:qFormat/>
    <w:uiPriority w:val="0"/>
    <w:pPr>
      <w:framePr w:wrap="notBeside" w:vAnchor="margin" w:hAnchor="margin" w:yAlign="center"/>
      <w:widowControl w:val="0"/>
      <w:spacing w:line="240" w:lineRule="atLeast"/>
      <w:jc w:val="right"/>
    </w:pPr>
    <w:rPr>
      <w:rFonts w:ascii="Arial" w:hAnsi="Arial" w:eastAsia="MS Mincho" w:cs="Times New Roman"/>
      <w:b/>
      <w:sz w:val="34"/>
      <w:lang w:val="en-GB" w:eastAsia="ja-JP" w:bidi="ar-SA"/>
    </w:rPr>
  </w:style>
  <w:style w:type="character" w:customStyle="1" w:styleId="68">
    <w:name w:val="ZGSM"/>
    <w:qFormat/>
    <w:uiPriority w:val="0"/>
  </w:style>
  <w:style w:type="paragraph" w:customStyle="1" w:styleId="69">
    <w:name w:val="TF"/>
    <w:basedOn w:val="70"/>
    <w:qFormat/>
    <w:uiPriority w:val="0"/>
    <w:pPr>
      <w:keepNext w:val="0"/>
      <w:spacing w:before="0" w:after="240"/>
    </w:pPr>
  </w:style>
  <w:style w:type="paragraph" w:customStyle="1" w:styleId="70">
    <w:name w:val="TH"/>
    <w:basedOn w:val="1"/>
    <w:link w:val="71"/>
    <w:qFormat/>
    <w:uiPriority w:val="0"/>
    <w:pPr>
      <w:keepNext/>
      <w:keepLines/>
      <w:spacing w:before="60" w:after="180"/>
      <w:jc w:val="center"/>
    </w:pPr>
    <w:rPr>
      <w:rFonts w:ascii="Arial" w:hAnsi="Arial"/>
      <w:b/>
    </w:rPr>
  </w:style>
  <w:style w:type="character" w:customStyle="1" w:styleId="71">
    <w:name w:val="TH Char"/>
    <w:link w:val="70"/>
    <w:qFormat/>
    <w:uiPriority w:val="0"/>
    <w:rPr>
      <w:rFonts w:ascii="Arial" w:hAnsi="Arial" w:eastAsia="MS Gothic"/>
      <w:b/>
      <w:sz w:val="24"/>
      <w:lang w:val="en-GB"/>
    </w:rPr>
  </w:style>
  <w:style w:type="paragraph" w:customStyle="1" w:styleId="72">
    <w:name w:val="B1"/>
    <w:basedOn w:val="17"/>
    <w:link w:val="73"/>
    <w:qFormat/>
    <w:uiPriority w:val="0"/>
  </w:style>
  <w:style w:type="character" w:customStyle="1" w:styleId="73">
    <w:name w:val="B1 Char"/>
    <w:link w:val="72"/>
    <w:qFormat/>
    <w:uiPriority w:val="0"/>
    <w:rPr>
      <w:rFonts w:ascii="Times New Roman" w:hAnsi="Times New Roman" w:eastAsia="MS Gothic"/>
      <w:sz w:val="24"/>
      <w:lang w:val="en-GB"/>
    </w:rPr>
  </w:style>
  <w:style w:type="paragraph" w:customStyle="1" w:styleId="74">
    <w:name w:val="EQ"/>
    <w:basedOn w:val="1"/>
    <w:next w:val="1"/>
    <w:link w:val="259"/>
    <w:qFormat/>
    <w:uiPriority w:val="0"/>
    <w:pPr>
      <w:keepLines/>
      <w:tabs>
        <w:tab w:val="center" w:pos="4536"/>
        <w:tab w:val="right" w:pos="9072"/>
      </w:tabs>
      <w:spacing w:after="180"/>
    </w:pPr>
  </w:style>
  <w:style w:type="paragraph" w:customStyle="1" w:styleId="75">
    <w:name w:val="lˆptext"/>
    <w:basedOn w:val="1"/>
    <w:qFormat/>
    <w:uiPriority w:val="99"/>
    <w:pPr>
      <w:spacing w:before="100" w:after="100"/>
      <w:ind w:left="860"/>
    </w:pPr>
    <w:rPr>
      <w:rFonts w:ascii="Times" w:hAnsi="Times"/>
    </w:rPr>
  </w:style>
  <w:style w:type="paragraph" w:customStyle="1" w:styleId="76">
    <w:name w:val="佐藤２"/>
    <w:basedOn w:val="1"/>
    <w:qFormat/>
    <w:uiPriority w:val="99"/>
    <w:pPr>
      <w:numPr>
        <w:ilvl w:val="0"/>
        <w:numId w:val="4"/>
      </w:numPr>
      <w:spacing w:after="180"/>
    </w:pPr>
  </w:style>
  <w:style w:type="paragraph" w:customStyle="1" w:styleId="77">
    <w:name w:val="List Bullet Last"/>
    <w:basedOn w:val="22"/>
    <w:next w:val="27"/>
    <w:qFormat/>
    <w:uiPriority w:val="99"/>
    <w:pPr>
      <w:tabs>
        <w:tab w:val="clear" w:pos="360"/>
      </w:tabs>
      <w:spacing w:after="240"/>
      <w:ind w:left="714" w:hanging="357"/>
    </w:pPr>
    <w:rPr>
      <w:rFonts w:ascii="Arial" w:hAnsi="Arial"/>
    </w:rPr>
  </w:style>
  <w:style w:type="paragraph" w:customStyle="1" w:styleId="78">
    <w:name w:val="Title Text"/>
    <w:basedOn w:val="1"/>
    <w:next w:val="1"/>
    <w:qFormat/>
    <w:uiPriority w:val="99"/>
    <w:pPr>
      <w:spacing w:after="220"/>
    </w:pPr>
    <w:rPr>
      <w:rFonts w:ascii="Arial" w:hAnsi="Arial"/>
      <w:b/>
      <w:sz w:val="22"/>
    </w:rPr>
  </w:style>
  <w:style w:type="paragraph" w:customStyle="1" w:styleId="79">
    <w:name w:val="Table_Text"/>
    <w:basedOn w:val="1"/>
    <w:qFormat/>
    <w:uiPriority w:val="99"/>
    <w:pPr>
      <w:keepNext/>
      <w:tabs>
        <w:tab w:val="left" w:pos="794"/>
        <w:tab w:val="left" w:pos="1191"/>
        <w:tab w:val="left" w:pos="1588"/>
        <w:tab w:val="left" w:pos="1985"/>
      </w:tabs>
      <w:spacing w:before="100" w:after="100" w:line="190" w:lineRule="exact"/>
      <w:jc w:val="both"/>
    </w:pPr>
    <w:rPr>
      <w:sz w:val="18"/>
    </w:rPr>
  </w:style>
  <w:style w:type="paragraph" w:customStyle="1" w:styleId="80">
    <w:name w:val="text"/>
    <w:basedOn w:val="1"/>
    <w:qFormat/>
    <w:uiPriority w:val="0"/>
    <w:pPr>
      <w:spacing w:after="240"/>
      <w:jc w:val="both"/>
    </w:pPr>
    <w:rPr>
      <w:lang w:val="en-US"/>
    </w:rPr>
  </w:style>
  <w:style w:type="paragraph" w:customStyle="1" w:styleId="81">
    <w:name w:val="text intend 1"/>
    <w:basedOn w:val="80"/>
    <w:qFormat/>
    <w:uiPriority w:val="99"/>
    <w:pPr>
      <w:numPr>
        <w:ilvl w:val="0"/>
        <w:numId w:val="5"/>
      </w:numPr>
      <w:spacing w:after="120"/>
    </w:pPr>
  </w:style>
  <w:style w:type="paragraph" w:customStyle="1" w:styleId="82">
    <w:name w:val="shortcode"/>
    <w:basedOn w:val="27"/>
    <w:qFormat/>
    <w:uiPriority w:val="99"/>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hAnsi="Times" w:eastAsia="Mincho"/>
    </w:rPr>
  </w:style>
  <w:style w:type="paragraph" w:customStyle="1" w:styleId="83">
    <w:name w:val="B2"/>
    <w:basedOn w:val="30"/>
    <w:link w:val="226"/>
    <w:qFormat/>
    <w:uiPriority w:val="0"/>
    <w:pPr>
      <w:overflowPunct w:val="0"/>
      <w:autoSpaceDE w:val="0"/>
      <w:autoSpaceDN w:val="0"/>
      <w:adjustRightInd w:val="0"/>
      <w:textAlignment w:val="baseline"/>
    </w:pPr>
  </w:style>
  <w:style w:type="paragraph" w:customStyle="1" w:styleId="84">
    <w:name w:val="B3"/>
    <w:basedOn w:val="11"/>
    <w:link w:val="227"/>
    <w:qFormat/>
    <w:uiPriority w:val="0"/>
    <w:pPr>
      <w:overflowPunct w:val="0"/>
      <w:autoSpaceDE w:val="0"/>
      <w:autoSpaceDN w:val="0"/>
      <w:adjustRightInd w:val="0"/>
      <w:spacing w:after="180"/>
      <w:ind w:left="1135" w:leftChars="0" w:hanging="284" w:firstLineChars="0"/>
      <w:textAlignment w:val="baseline"/>
    </w:pPr>
  </w:style>
  <w:style w:type="paragraph" w:customStyle="1" w:styleId="85">
    <w:name w:val="Rec_CCITT_#"/>
    <w:basedOn w:val="1"/>
    <w:qFormat/>
    <w:uiPriority w:val="99"/>
    <w:pPr>
      <w:keepNext/>
      <w:keepLines/>
      <w:spacing w:after="180"/>
    </w:pPr>
    <w:rPr>
      <w:b/>
    </w:rPr>
  </w:style>
  <w:style w:type="character" w:customStyle="1" w:styleId="86">
    <w:name w:val="Balloon Text Char"/>
    <w:link w:val="39"/>
    <w:qFormat/>
    <w:uiPriority w:val="99"/>
    <w:rPr>
      <w:rFonts w:ascii="Arial" w:hAnsi="Arial" w:eastAsia="MS Gothic"/>
      <w:sz w:val="18"/>
      <w:lang w:val="en-GB"/>
    </w:rPr>
  </w:style>
  <w:style w:type="paragraph" w:customStyle="1" w:styleId="87">
    <w:name w:val="Reference"/>
    <w:basedOn w:val="1"/>
    <w:qFormat/>
    <w:uiPriority w:val="0"/>
    <w:pPr>
      <w:widowControl w:val="0"/>
      <w:ind w:left="283" w:hanging="283"/>
      <w:jc w:val="both"/>
    </w:pPr>
    <w:rPr>
      <w:rFonts w:ascii="Arial" w:hAnsi="Arial" w:eastAsia="MS Mincho"/>
      <w:kern w:val="2"/>
      <w:sz w:val="21"/>
      <w:lang w:val="de-DE"/>
    </w:rPr>
  </w:style>
  <w:style w:type="character" w:customStyle="1" w:styleId="88">
    <w:name w:val="Comment Text Char"/>
    <w:basedOn w:val="57"/>
    <w:link w:val="24"/>
    <w:qFormat/>
    <w:uiPriority w:val="0"/>
    <w:rPr>
      <w:rFonts w:ascii="Times New Roman" w:hAnsi="Times New Roman" w:eastAsia="MS Gothic"/>
      <w:lang w:val="en-GB"/>
    </w:rPr>
  </w:style>
  <w:style w:type="paragraph" w:customStyle="1" w:styleId="89">
    <w:name w:val="HTML Body"/>
    <w:qFormat/>
    <w:uiPriority w:val="99"/>
    <w:pPr>
      <w:widowControl w:val="0"/>
      <w:autoSpaceDE w:val="0"/>
      <w:autoSpaceDN w:val="0"/>
      <w:adjustRightInd w:val="0"/>
    </w:pPr>
    <w:rPr>
      <w:rFonts w:ascii="MS PGothic" w:hAnsi="Century" w:eastAsia="MS PGothic" w:cs="Times New Roman"/>
      <w:lang w:val="en-US" w:eastAsia="ja-JP" w:bidi="ar-SA"/>
    </w:rPr>
  </w:style>
  <w:style w:type="character" w:customStyle="1" w:styleId="90">
    <w:name w:val="図表番号 (文字)"/>
    <w:qFormat/>
    <w:uiPriority w:val="35"/>
    <w:rPr>
      <w:rFonts w:eastAsia="MS Gothic"/>
      <w:b/>
      <w:kern w:val="2"/>
      <w:sz w:val="24"/>
      <w:lang w:val="en-GB"/>
    </w:rPr>
  </w:style>
  <w:style w:type="paragraph" w:customStyle="1" w:styleId="91">
    <w:name w:val="Normal1 Char Char"/>
    <w:qFormat/>
    <w:uiPriority w:val="99"/>
    <w:pPr>
      <w:keepNext/>
      <w:numPr>
        <w:ilvl w:val="0"/>
        <w:numId w:val="6"/>
      </w:numPr>
      <w:kinsoku w:val="0"/>
      <w:overflowPunct w:val="0"/>
      <w:autoSpaceDE w:val="0"/>
      <w:autoSpaceDN w:val="0"/>
      <w:adjustRightInd w:val="0"/>
      <w:spacing w:before="60" w:after="60"/>
      <w:jc w:val="both"/>
    </w:pPr>
    <w:rPr>
      <w:rFonts w:ascii="Times New Roman" w:hAnsi="Times New Roman" w:eastAsia="Times New Roman" w:cs="Times New Roman"/>
      <w:kern w:val="2"/>
      <w:sz w:val="21"/>
      <w:lang w:val="en-GB" w:eastAsia="ja-JP" w:bidi="ar-SA"/>
    </w:rPr>
  </w:style>
  <w:style w:type="character" w:customStyle="1" w:styleId="92">
    <w:name w:val="Comment Subject Char"/>
    <w:basedOn w:val="88"/>
    <w:link w:val="54"/>
    <w:qFormat/>
    <w:uiPriority w:val="99"/>
    <w:rPr>
      <w:rFonts w:ascii="Times New Roman" w:hAnsi="Times New Roman" w:eastAsia="MS Gothic"/>
      <w:b/>
      <w:sz w:val="24"/>
      <w:lang w:val="en-GB"/>
    </w:rPr>
  </w:style>
  <w:style w:type="paragraph" w:customStyle="1" w:styleId="93">
    <w:name w:val="Char Char Char Car Car Char Char Car Car"/>
    <w:qFormat/>
    <w:uiPriority w:val="99"/>
    <w:pPr>
      <w:keepNext/>
      <w:tabs>
        <w:tab w:val="left" w:pos="851"/>
      </w:tabs>
      <w:autoSpaceDE w:val="0"/>
      <w:autoSpaceDN w:val="0"/>
      <w:adjustRightInd w:val="0"/>
      <w:spacing w:before="60" w:after="60"/>
      <w:ind w:left="851" w:hanging="851"/>
      <w:jc w:val="both"/>
    </w:pPr>
    <w:rPr>
      <w:rFonts w:ascii="Arial" w:hAnsi="Arial" w:eastAsia="宋体" w:cs="Times New Roman"/>
      <w:color w:val="0000FF"/>
      <w:kern w:val="2"/>
      <w:lang w:val="en-US" w:eastAsia="ja-JP" w:bidi="ar-SA"/>
    </w:rPr>
  </w:style>
  <w:style w:type="paragraph" w:customStyle="1" w:styleId="94">
    <w:name w:val="Char Char1 Char Char Char Char Char Char Char Char Char Char Char Char Char Char Char Char Char Char Char Char"/>
    <w:next w:val="1"/>
    <w:semiHidden/>
    <w:qFormat/>
    <w:uiPriority w:val="99"/>
    <w:pPr>
      <w:keepNext/>
      <w:tabs>
        <w:tab w:val="left" w:pos="720"/>
      </w:tabs>
      <w:autoSpaceDE w:val="0"/>
      <w:autoSpaceDN w:val="0"/>
      <w:adjustRightInd w:val="0"/>
      <w:ind w:left="720" w:hanging="360"/>
      <w:jc w:val="both"/>
    </w:pPr>
    <w:rPr>
      <w:rFonts w:ascii="Times New Roman" w:hAnsi="Times New Roman" w:eastAsia="Times New Roman" w:cs="Times New Roman"/>
      <w:kern w:val="2"/>
      <w:lang w:val="en-GB" w:eastAsia="zh-CN" w:bidi="ar-SA"/>
    </w:rPr>
  </w:style>
  <w:style w:type="paragraph" w:customStyle="1" w:styleId="95">
    <w:name w:val="TAH"/>
    <w:basedOn w:val="96"/>
    <w:link w:val="98"/>
    <w:qFormat/>
    <w:uiPriority w:val="0"/>
    <w:rPr>
      <w:b/>
    </w:rPr>
  </w:style>
  <w:style w:type="paragraph" w:customStyle="1" w:styleId="96">
    <w:name w:val="TAC"/>
    <w:basedOn w:val="1"/>
    <w:link w:val="97"/>
    <w:qFormat/>
    <w:uiPriority w:val="0"/>
    <w:pPr>
      <w:keepNext/>
      <w:keepLines/>
      <w:overflowPunct w:val="0"/>
      <w:autoSpaceDE w:val="0"/>
      <w:autoSpaceDN w:val="0"/>
      <w:adjustRightInd w:val="0"/>
      <w:jc w:val="center"/>
      <w:textAlignment w:val="baseline"/>
    </w:pPr>
    <w:rPr>
      <w:rFonts w:ascii="Arial" w:hAnsi="Arial" w:eastAsia="Times New Roman"/>
      <w:sz w:val="18"/>
    </w:rPr>
  </w:style>
  <w:style w:type="character" w:customStyle="1" w:styleId="97">
    <w:name w:val="TAC Char"/>
    <w:link w:val="96"/>
    <w:qFormat/>
    <w:uiPriority w:val="0"/>
    <w:rPr>
      <w:rFonts w:ascii="Arial" w:hAnsi="Arial" w:eastAsia="Times New Roman"/>
      <w:sz w:val="18"/>
      <w:lang w:val="en-GB"/>
    </w:rPr>
  </w:style>
  <w:style w:type="character" w:customStyle="1" w:styleId="98">
    <w:name w:val="TAH Car"/>
    <w:link w:val="95"/>
    <w:qFormat/>
    <w:uiPriority w:val="0"/>
    <w:rPr>
      <w:rFonts w:ascii="Arial" w:hAnsi="Arial" w:eastAsia="Times New Roman"/>
      <w:b/>
      <w:sz w:val="18"/>
      <w:lang w:val="en-GB"/>
    </w:rPr>
  </w:style>
  <w:style w:type="paragraph" w:customStyle="1" w:styleId="99">
    <w:name w:val="Char Char1 Char Char Char Char Char Char Char Char Char Char Char Char Char Char Char Char Char Char Char Char Char Char Char Char Char Char Char Char Char Char"/>
    <w:next w:val="1"/>
    <w:semiHidden/>
    <w:qFormat/>
    <w:uiPriority w:val="99"/>
    <w:pPr>
      <w:keepNext/>
      <w:tabs>
        <w:tab w:val="left" w:pos="720"/>
      </w:tabs>
      <w:autoSpaceDE w:val="0"/>
      <w:autoSpaceDN w:val="0"/>
      <w:adjustRightInd w:val="0"/>
      <w:ind w:left="720" w:hanging="360"/>
      <w:jc w:val="both"/>
    </w:pPr>
    <w:rPr>
      <w:rFonts w:ascii="Times New Roman" w:hAnsi="Times New Roman" w:eastAsia="Times New Roman" w:cs="Times New Roman"/>
      <w:kern w:val="2"/>
      <w:lang w:val="en-GB" w:eastAsia="zh-CN" w:bidi="ar-SA"/>
    </w:rPr>
  </w:style>
  <w:style w:type="paragraph" w:customStyle="1" w:styleId="100">
    <w:name w:val="Char Char1 Char Char Char Char Char Char Char Char Char Char Char Char Char Char Char"/>
    <w:semiHidden/>
    <w:qFormat/>
    <w:uiPriority w:val="99"/>
    <w:pPr>
      <w:keepNext/>
      <w:tabs>
        <w:tab w:val="left" w:pos="360"/>
      </w:tabs>
      <w:autoSpaceDE w:val="0"/>
      <w:autoSpaceDN w:val="0"/>
      <w:adjustRightInd w:val="0"/>
      <w:spacing w:before="60" w:after="60"/>
      <w:ind w:left="360" w:hanging="360"/>
      <w:jc w:val="both"/>
    </w:pPr>
    <w:rPr>
      <w:rFonts w:ascii="Arial" w:hAnsi="Arial" w:eastAsia="宋体" w:cs="Arial"/>
      <w:color w:val="0000FF"/>
      <w:kern w:val="2"/>
      <w:lang w:val="en-US" w:eastAsia="zh-CN" w:bidi="ar-SA"/>
    </w:rPr>
  </w:style>
  <w:style w:type="paragraph" w:customStyle="1" w:styleId="101">
    <w:name w:val="表 (赤)  81"/>
    <w:basedOn w:val="1"/>
    <w:qFormat/>
    <w:uiPriority w:val="34"/>
    <w:pPr>
      <w:ind w:left="840" w:leftChars="400"/>
    </w:pPr>
    <w:rPr>
      <w:rFonts w:ascii="MS PGothic" w:hAnsi="MS PGothic" w:eastAsia="MS PGothic" w:cs="MS PGothic"/>
      <w:szCs w:val="24"/>
      <w:lang w:val="en-US"/>
    </w:rPr>
  </w:style>
  <w:style w:type="paragraph" w:customStyle="1" w:styleId="102">
    <w:name w:val="表 (赤)  71"/>
    <w:hidden/>
    <w:semiHidden/>
    <w:qFormat/>
    <w:uiPriority w:val="99"/>
    <w:rPr>
      <w:rFonts w:ascii="Times New Roman" w:hAnsi="Times New Roman" w:eastAsia="MS Gothic" w:cs="Times New Roman"/>
      <w:sz w:val="24"/>
      <w:lang w:val="en-GB" w:eastAsia="ja-JP" w:bidi="ar-SA"/>
    </w:rPr>
  </w:style>
  <w:style w:type="paragraph" w:customStyle="1" w:styleId="103">
    <w:name w:val="Revision1"/>
    <w:hidden/>
    <w:semiHidden/>
    <w:qFormat/>
    <w:uiPriority w:val="99"/>
    <w:rPr>
      <w:rFonts w:ascii="Times New Roman" w:hAnsi="Times New Roman" w:eastAsia="MS Gothic" w:cs="Times New Roman"/>
      <w:sz w:val="24"/>
      <w:lang w:val="en-GB" w:eastAsia="ja-JP" w:bidi="ar-SA"/>
    </w:rPr>
  </w:style>
  <w:style w:type="paragraph" w:customStyle="1" w:styleId="104">
    <w:name w:val="Doc-title"/>
    <w:basedOn w:val="1"/>
    <w:next w:val="105"/>
    <w:link w:val="107"/>
    <w:qFormat/>
    <w:uiPriority w:val="0"/>
    <w:pPr>
      <w:ind w:left="1260" w:hanging="1260"/>
    </w:pPr>
    <w:rPr>
      <w:rFonts w:ascii="Arial" w:hAnsi="Arial" w:eastAsia="MS Mincho"/>
      <w:sz w:val="20"/>
      <w:szCs w:val="24"/>
      <w:lang w:eastAsia="en-GB"/>
    </w:rPr>
  </w:style>
  <w:style w:type="paragraph" w:customStyle="1" w:styleId="105">
    <w:name w:val="Doc-text2"/>
    <w:basedOn w:val="1"/>
    <w:link w:val="106"/>
    <w:qFormat/>
    <w:uiPriority w:val="99"/>
    <w:pPr>
      <w:tabs>
        <w:tab w:val="left" w:pos="1622"/>
      </w:tabs>
      <w:ind w:left="1622" w:hanging="363"/>
    </w:pPr>
    <w:rPr>
      <w:rFonts w:ascii="Arial" w:hAnsi="Arial" w:eastAsia="MS Mincho"/>
      <w:sz w:val="20"/>
      <w:szCs w:val="24"/>
      <w:lang w:eastAsia="en-GB"/>
    </w:rPr>
  </w:style>
  <w:style w:type="character" w:customStyle="1" w:styleId="106">
    <w:name w:val="Doc-text2 Char"/>
    <w:link w:val="105"/>
    <w:qFormat/>
    <w:uiPriority w:val="99"/>
    <w:rPr>
      <w:rFonts w:ascii="Arial" w:hAnsi="Arial"/>
      <w:szCs w:val="24"/>
      <w:lang w:val="en-GB" w:eastAsia="en-GB"/>
    </w:rPr>
  </w:style>
  <w:style w:type="character" w:customStyle="1" w:styleId="107">
    <w:name w:val="Doc-title Char"/>
    <w:link w:val="104"/>
    <w:qFormat/>
    <w:uiPriority w:val="0"/>
    <w:rPr>
      <w:rFonts w:ascii="Arial" w:hAnsi="Arial"/>
      <w:szCs w:val="24"/>
      <w:lang w:val="en-GB" w:eastAsia="en-GB"/>
    </w:rPr>
  </w:style>
  <w:style w:type="paragraph" w:styleId="108">
    <w:name w:val="List Paragraph"/>
    <w:basedOn w:val="1"/>
    <w:link w:val="109"/>
    <w:qFormat/>
    <w:uiPriority w:val="34"/>
    <w:pPr>
      <w:ind w:left="840" w:leftChars="400"/>
    </w:pPr>
  </w:style>
  <w:style w:type="character" w:customStyle="1" w:styleId="109">
    <w:name w:val="List Paragraph Char"/>
    <w:link w:val="108"/>
    <w:qFormat/>
    <w:locked/>
    <w:uiPriority w:val="34"/>
    <w:rPr>
      <w:rFonts w:ascii="Times New Roman" w:hAnsi="Times New Roman" w:eastAsia="MS Gothic"/>
      <w:sz w:val="24"/>
      <w:lang w:val="en-GB"/>
    </w:rPr>
  </w:style>
  <w:style w:type="paragraph" w:customStyle="1" w:styleId="110">
    <w:name w:val="TAR"/>
    <w:basedOn w:val="1"/>
    <w:qFormat/>
    <w:uiPriority w:val="0"/>
    <w:pPr>
      <w:keepNext/>
      <w:keepLines/>
      <w:jc w:val="right"/>
    </w:pPr>
    <w:rPr>
      <w:rFonts w:ascii="Arial" w:hAnsi="Arial" w:eastAsiaTheme="minorEastAsia"/>
      <w:sz w:val="18"/>
      <w:lang w:eastAsia="en-US"/>
    </w:rPr>
  </w:style>
  <w:style w:type="paragraph" w:customStyle="1" w:styleId="111">
    <w:name w:val="Comments"/>
    <w:basedOn w:val="1"/>
    <w:link w:val="112"/>
    <w:qFormat/>
    <w:uiPriority w:val="0"/>
    <w:pPr>
      <w:spacing w:before="40"/>
    </w:pPr>
    <w:rPr>
      <w:rFonts w:ascii="Arial" w:hAnsi="Arial" w:eastAsia="MS Mincho"/>
      <w:i/>
      <w:sz w:val="18"/>
      <w:szCs w:val="24"/>
      <w:lang w:eastAsia="en-GB"/>
    </w:rPr>
  </w:style>
  <w:style w:type="character" w:customStyle="1" w:styleId="112">
    <w:name w:val="Comments Char"/>
    <w:link w:val="111"/>
    <w:qFormat/>
    <w:uiPriority w:val="0"/>
    <w:rPr>
      <w:rFonts w:ascii="Arial" w:hAnsi="Arial"/>
      <w:i/>
      <w:sz w:val="18"/>
      <w:szCs w:val="24"/>
      <w:lang w:val="en-GB" w:eastAsia="en-GB"/>
    </w:rPr>
  </w:style>
  <w:style w:type="character" w:customStyle="1" w:styleId="113">
    <w:name w:val="Note Heading Char"/>
    <w:basedOn w:val="57"/>
    <w:link w:val="18"/>
    <w:qFormat/>
    <w:uiPriority w:val="99"/>
    <w:rPr>
      <w:rFonts w:ascii="Times New Roman" w:hAnsi="Times New Roman" w:eastAsia="MS Gothic"/>
      <w:b/>
      <w:color w:val="FF0000"/>
      <w:sz w:val="24"/>
      <w:szCs w:val="21"/>
    </w:rPr>
  </w:style>
  <w:style w:type="character" w:customStyle="1" w:styleId="114">
    <w:name w:val="Closing Char"/>
    <w:basedOn w:val="57"/>
    <w:link w:val="26"/>
    <w:qFormat/>
    <w:uiPriority w:val="99"/>
    <w:rPr>
      <w:rFonts w:ascii="Times New Roman" w:hAnsi="Times New Roman" w:eastAsia="MS Gothic"/>
      <w:b/>
      <w:color w:val="FF0000"/>
      <w:sz w:val="24"/>
      <w:szCs w:val="21"/>
    </w:rPr>
  </w:style>
  <w:style w:type="character" w:customStyle="1" w:styleId="115">
    <w:name w:val="B1 (文字)"/>
    <w:qFormat/>
    <w:uiPriority w:val="0"/>
    <w:rPr>
      <w:rFonts w:eastAsia="MS Mincho"/>
      <w:lang w:val="en-GB" w:eastAsia="en-US" w:bidi="ar-SA"/>
    </w:rPr>
  </w:style>
  <w:style w:type="paragraph" w:customStyle="1" w:styleId="116">
    <w:name w:val="3GPP Normal Text"/>
    <w:basedOn w:val="27"/>
    <w:link w:val="117"/>
    <w:qFormat/>
    <w:uiPriority w:val="0"/>
    <w:pPr>
      <w:ind w:left="720" w:hanging="720"/>
      <w:jc w:val="both"/>
    </w:pPr>
    <w:rPr>
      <w:rFonts w:eastAsia="MS Mincho"/>
      <w:sz w:val="22"/>
      <w:szCs w:val="24"/>
    </w:rPr>
  </w:style>
  <w:style w:type="character" w:customStyle="1" w:styleId="117">
    <w:name w:val="3GPP Normal Text Char"/>
    <w:link w:val="116"/>
    <w:qFormat/>
    <w:uiPriority w:val="0"/>
    <w:rPr>
      <w:rFonts w:ascii="Times New Roman" w:hAnsi="Times New Roman"/>
      <w:sz w:val="22"/>
      <w:szCs w:val="24"/>
    </w:rPr>
  </w:style>
  <w:style w:type="paragraph" w:customStyle="1" w:styleId="118">
    <w:name w:val="main text"/>
    <w:basedOn w:val="1"/>
    <w:link w:val="119"/>
    <w:qFormat/>
    <w:uiPriority w:val="0"/>
    <w:pPr>
      <w:spacing w:before="60" w:after="60" w:line="288" w:lineRule="auto"/>
      <w:ind w:firstLine="200" w:firstLineChars="200"/>
      <w:jc w:val="both"/>
    </w:pPr>
    <w:rPr>
      <w:rFonts w:eastAsia="Malgun Gothic"/>
      <w:sz w:val="20"/>
      <w:lang w:eastAsia="ko-KR"/>
    </w:rPr>
  </w:style>
  <w:style w:type="character" w:customStyle="1" w:styleId="119">
    <w:name w:val="main text Char"/>
    <w:link w:val="118"/>
    <w:qFormat/>
    <w:uiPriority w:val="0"/>
    <w:rPr>
      <w:rFonts w:ascii="Times New Roman" w:hAnsi="Times New Roman" w:eastAsia="Malgun Gothic"/>
      <w:lang w:val="en-GB" w:eastAsia="ko-KR"/>
    </w:rPr>
  </w:style>
  <w:style w:type="character" w:styleId="120">
    <w:name w:val="Placeholder Text"/>
    <w:basedOn w:val="57"/>
    <w:semiHidden/>
    <w:qFormat/>
    <w:uiPriority w:val="99"/>
    <w:rPr>
      <w:color w:val="808080"/>
    </w:rPr>
  </w:style>
  <w:style w:type="paragraph" w:customStyle="1" w:styleId="121">
    <w:name w:val="H6"/>
    <w:basedOn w:val="6"/>
    <w:next w:val="1"/>
    <w:qFormat/>
    <w:uiPriority w:val="0"/>
    <w:pPr>
      <w:keepLines/>
      <w:spacing w:before="120" w:after="180" w:line="240" w:lineRule="auto"/>
      <w:ind w:left="1985" w:hanging="1985"/>
      <w:outlineLvl w:val="9"/>
    </w:pPr>
    <w:rPr>
      <w:rFonts w:ascii="Arial" w:hAnsi="Arial" w:eastAsiaTheme="minorEastAsia"/>
      <w:sz w:val="20"/>
      <w:u w:val="none"/>
      <w:lang w:eastAsia="en-US"/>
    </w:rPr>
  </w:style>
  <w:style w:type="paragraph" w:customStyle="1" w:styleId="122">
    <w:name w:val="ZD"/>
    <w:qFormat/>
    <w:uiPriority w:val="0"/>
    <w:pPr>
      <w:framePr w:wrap="notBeside" w:vAnchor="page" w:hAnchor="margin" w:y="15764"/>
      <w:widowControl w:val="0"/>
    </w:pPr>
    <w:rPr>
      <w:rFonts w:ascii="Arial" w:hAnsi="Arial" w:cs="Times New Roman" w:eastAsiaTheme="minorEastAsia"/>
      <w:sz w:val="32"/>
      <w:lang w:val="en-GB" w:eastAsia="en-US" w:bidi="ar-SA"/>
    </w:rPr>
  </w:style>
  <w:style w:type="paragraph" w:customStyle="1" w:styleId="123">
    <w:name w:val="TT"/>
    <w:basedOn w:val="2"/>
    <w:next w:val="1"/>
    <w:qFormat/>
    <w:uiPriority w:val="0"/>
    <w:pPr>
      <w:keepLines/>
      <w:pBdr>
        <w:top w:val="single" w:color="auto" w:sz="12" w:space="3"/>
      </w:pBdr>
      <w:tabs>
        <w:tab w:val="clear" w:pos="0"/>
      </w:tabs>
      <w:spacing w:after="180"/>
      <w:ind w:left="1134" w:hanging="1134"/>
      <w:outlineLvl w:val="9"/>
    </w:pPr>
    <w:rPr>
      <w:rFonts w:eastAsiaTheme="minorEastAsia"/>
      <w:kern w:val="0"/>
      <w:sz w:val="36"/>
      <w:lang w:eastAsia="en-US"/>
    </w:rPr>
  </w:style>
  <w:style w:type="paragraph" w:customStyle="1" w:styleId="124">
    <w:name w:val="NF"/>
    <w:basedOn w:val="125"/>
    <w:qFormat/>
    <w:uiPriority w:val="0"/>
    <w:pPr>
      <w:keepNext/>
      <w:spacing w:after="0"/>
    </w:pPr>
    <w:rPr>
      <w:rFonts w:ascii="Arial" w:hAnsi="Arial"/>
      <w:sz w:val="18"/>
    </w:rPr>
  </w:style>
  <w:style w:type="paragraph" w:customStyle="1" w:styleId="125">
    <w:name w:val="NO"/>
    <w:basedOn w:val="1"/>
    <w:qFormat/>
    <w:uiPriority w:val="0"/>
    <w:pPr>
      <w:keepLines/>
      <w:spacing w:after="180"/>
      <w:ind w:left="1135" w:hanging="851"/>
    </w:pPr>
    <w:rPr>
      <w:rFonts w:eastAsiaTheme="minorEastAsia"/>
      <w:sz w:val="20"/>
      <w:lang w:eastAsia="en-US"/>
    </w:rPr>
  </w:style>
  <w:style w:type="paragraph" w:customStyle="1" w:styleId="126">
    <w:name w:val="PL"/>
    <w:link w:val="149"/>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paragraph" w:customStyle="1" w:styleId="127">
    <w:name w:val="TAL"/>
    <w:basedOn w:val="1"/>
    <w:link w:val="148"/>
    <w:qFormat/>
    <w:uiPriority w:val="0"/>
    <w:pPr>
      <w:keepNext/>
      <w:keepLines/>
    </w:pPr>
    <w:rPr>
      <w:rFonts w:ascii="Arial" w:hAnsi="Arial" w:eastAsiaTheme="minorEastAsia"/>
      <w:sz w:val="18"/>
      <w:lang w:eastAsia="en-US"/>
    </w:rPr>
  </w:style>
  <w:style w:type="paragraph" w:customStyle="1" w:styleId="128">
    <w:name w:val="LD"/>
    <w:qFormat/>
    <w:uiPriority w:val="0"/>
    <w:pPr>
      <w:keepNext/>
      <w:keepLines/>
      <w:spacing w:line="180" w:lineRule="exact"/>
    </w:pPr>
    <w:rPr>
      <w:rFonts w:ascii="Courier New" w:hAnsi="Courier New" w:cs="Times New Roman" w:eastAsiaTheme="minorEastAsia"/>
      <w:lang w:val="en-GB" w:eastAsia="en-US" w:bidi="ar-SA"/>
    </w:rPr>
  </w:style>
  <w:style w:type="paragraph" w:customStyle="1" w:styleId="129">
    <w:name w:val="EX"/>
    <w:basedOn w:val="1"/>
    <w:qFormat/>
    <w:uiPriority w:val="0"/>
    <w:pPr>
      <w:keepLines/>
      <w:spacing w:after="180"/>
      <w:ind w:left="1702" w:hanging="1418"/>
    </w:pPr>
    <w:rPr>
      <w:rFonts w:eastAsiaTheme="minorEastAsia"/>
      <w:sz w:val="20"/>
      <w:lang w:eastAsia="en-US"/>
    </w:rPr>
  </w:style>
  <w:style w:type="paragraph" w:customStyle="1" w:styleId="130">
    <w:name w:val="FP"/>
    <w:basedOn w:val="1"/>
    <w:qFormat/>
    <w:uiPriority w:val="0"/>
    <w:rPr>
      <w:rFonts w:eastAsiaTheme="minorEastAsia"/>
      <w:sz w:val="20"/>
      <w:lang w:eastAsia="en-US"/>
    </w:rPr>
  </w:style>
  <w:style w:type="paragraph" w:customStyle="1" w:styleId="131">
    <w:name w:val="NW"/>
    <w:basedOn w:val="125"/>
    <w:qFormat/>
    <w:uiPriority w:val="0"/>
    <w:pPr>
      <w:spacing w:after="0"/>
    </w:pPr>
  </w:style>
  <w:style w:type="paragraph" w:customStyle="1" w:styleId="132">
    <w:name w:val="EW"/>
    <w:basedOn w:val="129"/>
    <w:qFormat/>
    <w:uiPriority w:val="0"/>
    <w:pPr>
      <w:spacing w:after="0"/>
    </w:pPr>
  </w:style>
  <w:style w:type="paragraph" w:customStyle="1" w:styleId="133">
    <w:name w:val="Editor's Note"/>
    <w:basedOn w:val="125"/>
    <w:qFormat/>
    <w:uiPriority w:val="0"/>
    <w:rPr>
      <w:color w:val="FF0000"/>
    </w:rPr>
  </w:style>
  <w:style w:type="paragraph" w:customStyle="1" w:styleId="134">
    <w:name w:val="ZA"/>
    <w:qFormat/>
    <w:uiPriority w:val="0"/>
    <w:pPr>
      <w:framePr w:w="10206" w:h="794" w:hRule="exact" w:wrap="notBeside" w:vAnchor="page" w:hAnchor="margin" w:y="1135"/>
      <w:widowControl w:val="0"/>
      <w:pBdr>
        <w:bottom w:val="single" w:color="auto" w:sz="12" w:space="1"/>
      </w:pBdr>
      <w:jc w:val="right"/>
    </w:pPr>
    <w:rPr>
      <w:rFonts w:ascii="Arial" w:hAnsi="Arial" w:cs="Times New Roman" w:eastAsiaTheme="minorEastAsia"/>
      <w:sz w:val="40"/>
      <w:lang w:val="en-GB" w:eastAsia="en-US" w:bidi="ar-SA"/>
    </w:rPr>
  </w:style>
  <w:style w:type="paragraph" w:customStyle="1" w:styleId="135">
    <w:name w:val="ZB"/>
    <w:qFormat/>
    <w:uiPriority w:val="0"/>
    <w:pPr>
      <w:framePr w:w="10206" w:h="284" w:hRule="exact" w:wrap="notBeside" w:vAnchor="page" w:hAnchor="margin" w:y="1986"/>
      <w:widowControl w:val="0"/>
      <w:ind w:right="28"/>
      <w:jc w:val="right"/>
    </w:pPr>
    <w:rPr>
      <w:rFonts w:ascii="Arial" w:hAnsi="Arial" w:cs="Times New Roman" w:eastAsiaTheme="minorEastAsia"/>
      <w:i/>
      <w:lang w:val="en-GB" w:eastAsia="en-US" w:bidi="ar-SA"/>
    </w:rPr>
  </w:style>
  <w:style w:type="paragraph" w:customStyle="1" w:styleId="136">
    <w:name w:val="ZU"/>
    <w:qFormat/>
    <w:uiPriority w:val="0"/>
    <w:pPr>
      <w:framePr w:w="10206" w:wrap="notBeside" w:vAnchor="page" w:hAnchor="margin" w:y="6238"/>
      <w:widowControl w:val="0"/>
      <w:pBdr>
        <w:top w:val="single" w:color="auto" w:sz="12" w:space="1"/>
      </w:pBdr>
      <w:jc w:val="right"/>
    </w:pPr>
    <w:rPr>
      <w:rFonts w:ascii="Arial" w:hAnsi="Arial" w:cs="Times New Roman" w:eastAsiaTheme="minorEastAsia"/>
      <w:lang w:val="en-GB" w:eastAsia="en-US" w:bidi="ar-SA"/>
    </w:rPr>
  </w:style>
  <w:style w:type="paragraph" w:customStyle="1" w:styleId="137">
    <w:name w:val="TAN"/>
    <w:basedOn w:val="127"/>
    <w:qFormat/>
    <w:uiPriority w:val="0"/>
    <w:pPr>
      <w:ind w:left="851" w:hanging="851"/>
    </w:pPr>
  </w:style>
  <w:style w:type="paragraph" w:customStyle="1" w:styleId="138">
    <w:name w:val="ZH"/>
    <w:qFormat/>
    <w:uiPriority w:val="0"/>
    <w:pPr>
      <w:framePr w:wrap="notBeside" w:vAnchor="page" w:hAnchor="margin" w:xAlign="center" w:y="6805"/>
      <w:widowControl w:val="0"/>
    </w:pPr>
    <w:rPr>
      <w:rFonts w:ascii="Arial" w:hAnsi="Arial" w:cs="Times New Roman" w:eastAsiaTheme="minorEastAsia"/>
      <w:lang w:val="en-GB" w:eastAsia="en-US" w:bidi="ar-SA"/>
    </w:rPr>
  </w:style>
  <w:style w:type="paragraph" w:customStyle="1" w:styleId="139">
    <w:name w:val="ZG"/>
    <w:qFormat/>
    <w:uiPriority w:val="0"/>
    <w:pPr>
      <w:framePr w:wrap="notBeside" w:vAnchor="page" w:hAnchor="margin" w:xAlign="right" w:y="6805"/>
      <w:widowControl w:val="0"/>
      <w:jc w:val="right"/>
    </w:pPr>
    <w:rPr>
      <w:rFonts w:ascii="Arial" w:hAnsi="Arial" w:cs="Times New Roman" w:eastAsiaTheme="minorEastAsia"/>
      <w:lang w:val="en-GB" w:eastAsia="en-US" w:bidi="ar-SA"/>
    </w:rPr>
  </w:style>
  <w:style w:type="paragraph" w:customStyle="1" w:styleId="140">
    <w:name w:val="B4"/>
    <w:basedOn w:val="1"/>
    <w:qFormat/>
    <w:uiPriority w:val="0"/>
    <w:pPr>
      <w:spacing w:after="180"/>
      <w:ind w:left="1418" w:hanging="284"/>
    </w:pPr>
    <w:rPr>
      <w:rFonts w:eastAsiaTheme="minorEastAsia"/>
      <w:sz w:val="20"/>
      <w:lang w:eastAsia="en-US"/>
    </w:rPr>
  </w:style>
  <w:style w:type="paragraph" w:customStyle="1" w:styleId="141">
    <w:name w:val="B5"/>
    <w:basedOn w:val="1"/>
    <w:qFormat/>
    <w:uiPriority w:val="0"/>
    <w:pPr>
      <w:spacing w:after="180"/>
      <w:ind w:left="1702" w:hanging="284"/>
    </w:pPr>
    <w:rPr>
      <w:rFonts w:eastAsiaTheme="minorEastAsia"/>
      <w:sz w:val="20"/>
      <w:lang w:eastAsia="en-US"/>
    </w:rPr>
  </w:style>
  <w:style w:type="paragraph" w:customStyle="1" w:styleId="142">
    <w:name w:val="ZTD"/>
    <w:basedOn w:val="135"/>
    <w:qFormat/>
    <w:uiPriority w:val="0"/>
    <w:pPr>
      <w:framePr w:hRule="auto" w:y="852"/>
    </w:pPr>
    <w:rPr>
      <w:i w:val="0"/>
      <w:sz w:val="40"/>
    </w:rPr>
  </w:style>
  <w:style w:type="paragraph" w:customStyle="1" w:styleId="143">
    <w:name w:val="ZV"/>
    <w:basedOn w:val="136"/>
    <w:qFormat/>
    <w:uiPriority w:val="0"/>
    <w:pPr>
      <w:framePr w:y="16161"/>
    </w:pPr>
  </w:style>
  <w:style w:type="paragraph" w:customStyle="1" w:styleId="144">
    <w:name w:val="TAJ"/>
    <w:basedOn w:val="70"/>
    <w:qFormat/>
    <w:uiPriority w:val="99"/>
    <w:rPr>
      <w:rFonts w:eastAsiaTheme="minorEastAsia"/>
      <w:sz w:val="20"/>
      <w:lang w:eastAsia="en-US"/>
    </w:rPr>
  </w:style>
  <w:style w:type="paragraph" w:customStyle="1" w:styleId="145">
    <w:name w:val="Guidance"/>
    <w:basedOn w:val="1"/>
    <w:qFormat/>
    <w:uiPriority w:val="99"/>
    <w:pPr>
      <w:spacing w:after="180"/>
    </w:pPr>
    <w:rPr>
      <w:rFonts w:eastAsiaTheme="minorEastAsia"/>
      <w:i/>
      <w:color w:val="0000FF"/>
      <w:sz w:val="20"/>
      <w:lang w:eastAsia="en-US"/>
    </w:rPr>
  </w:style>
  <w:style w:type="paragraph" w:customStyle="1" w:styleId="146">
    <w:name w:val="ComeBack"/>
    <w:basedOn w:val="105"/>
    <w:next w:val="105"/>
    <w:qFormat/>
    <w:uiPriority w:val="99"/>
    <w:pPr>
      <w:widowControl w:val="0"/>
      <w:numPr>
        <w:ilvl w:val="0"/>
        <w:numId w:val="7"/>
      </w:numPr>
      <w:tabs>
        <w:tab w:val="left" w:pos="360"/>
        <w:tab w:val="clear" w:pos="1259"/>
        <w:tab w:val="clear" w:pos="1622"/>
      </w:tabs>
      <w:ind w:left="360" w:hanging="360"/>
      <w:jc w:val="both"/>
    </w:pPr>
    <w:rPr>
      <w:kern w:val="2"/>
      <w:sz w:val="21"/>
      <w:lang w:eastAsia="ja-JP"/>
    </w:rPr>
  </w:style>
  <w:style w:type="table" w:customStyle="1" w:styleId="147">
    <w:name w:val="网格表 1 浅色1"/>
    <w:basedOn w:val="55"/>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148">
    <w:name w:val="TAL Car"/>
    <w:basedOn w:val="57"/>
    <w:link w:val="127"/>
    <w:qFormat/>
    <w:locked/>
    <w:uiPriority w:val="0"/>
    <w:rPr>
      <w:rFonts w:ascii="Arial" w:hAnsi="Arial" w:eastAsiaTheme="minorEastAsia"/>
      <w:sz w:val="18"/>
      <w:lang w:val="en-GB" w:eastAsia="en-US"/>
    </w:rPr>
  </w:style>
  <w:style w:type="character" w:customStyle="1" w:styleId="149">
    <w:name w:val="PL Char"/>
    <w:basedOn w:val="57"/>
    <w:link w:val="126"/>
    <w:qFormat/>
    <w:locked/>
    <w:uiPriority w:val="0"/>
    <w:rPr>
      <w:rFonts w:ascii="Courier New" w:hAnsi="Courier New" w:eastAsiaTheme="minorEastAsia"/>
      <w:sz w:val="16"/>
      <w:lang w:val="en-GB" w:eastAsia="en-US"/>
    </w:rPr>
  </w:style>
  <w:style w:type="paragraph" w:customStyle="1" w:styleId="150">
    <w:name w:val="正文1"/>
    <w:qFormat/>
    <w:uiPriority w:val="99"/>
    <w:rPr>
      <w:rFonts w:ascii="Times" w:hAnsi="Times" w:eastAsia="宋体" w:cs="Times"/>
      <w:sz w:val="24"/>
      <w:szCs w:val="24"/>
      <w:lang w:val="en-US" w:eastAsia="zh-CN" w:bidi="ar-SA"/>
    </w:rPr>
  </w:style>
  <w:style w:type="paragraph" w:customStyle="1" w:styleId="151">
    <w:name w:val="Style1"/>
    <w:basedOn w:val="1"/>
    <w:link w:val="160"/>
    <w:qFormat/>
    <w:uiPriority w:val="0"/>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152">
    <w:name w:val="Bullets"/>
    <w:basedOn w:val="1"/>
    <w:link w:val="154"/>
    <w:qFormat/>
    <w:uiPriority w:val="99"/>
    <w:pPr>
      <w:numPr>
        <w:ilvl w:val="0"/>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153">
    <w:name w:val="bullet2"/>
    <w:basedOn w:val="1"/>
    <w:qFormat/>
    <w:uiPriority w:val="99"/>
    <w:pPr>
      <w:numPr>
        <w:ilvl w:val="1"/>
        <w:numId w:val="8"/>
      </w:numPr>
    </w:pPr>
    <w:rPr>
      <w:rFonts w:ascii="Times" w:hAnsi="Times" w:eastAsia="Batang"/>
      <w:sz w:val="20"/>
      <w:szCs w:val="24"/>
      <w:lang w:eastAsia="en-US"/>
    </w:rPr>
  </w:style>
  <w:style w:type="character" w:customStyle="1" w:styleId="154">
    <w:name w:val="Bullets Char"/>
    <w:link w:val="152"/>
    <w:qFormat/>
    <w:uiPriority w:val="99"/>
    <w:rPr>
      <w:rFonts w:ascii="Times New Roman" w:hAnsi="Times New Roman" w:eastAsia="Batang"/>
      <w:bCs/>
      <w:iCs/>
      <w:sz w:val="24"/>
      <w:szCs w:val="24"/>
      <w:lang w:val="en-GB" w:eastAsia="en-US"/>
    </w:rPr>
  </w:style>
  <w:style w:type="paragraph" w:customStyle="1" w:styleId="155">
    <w:name w:val="bullet3"/>
    <w:basedOn w:val="1"/>
    <w:qFormat/>
    <w:uiPriority w:val="99"/>
    <w:pPr>
      <w:numPr>
        <w:ilvl w:val="2"/>
        <w:numId w:val="8"/>
      </w:numPr>
      <w:ind w:hanging="180"/>
    </w:pPr>
    <w:rPr>
      <w:rFonts w:ascii="Times" w:hAnsi="Times" w:eastAsia="Batang"/>
      <w:sz w:val="20"/>
      <w:szCs w:val="24"/>
      <w:lang w:eastAsia="en-US"/>
    </w:rPr>
  </w:style>
  <w:style w:type="paragraph" w:customStyle="1" w:styleId="156">
    <w:name w:val="bullet4"/>
    <w:basedOn w:val="1"/>
    <w:qFormat/>
    <w:uiPriority w:val="99"/>
    <w:pPr>
      <w:numPr>
        <w:ilvl w:val="3"/>
        <w:numId w:val="8"/>
      </w:numPr>
    </w:pPr>
    <w:rPr>
      <w:rFonts w:ascii="Times" w:hAnsi="Times" w:eastAsia="Batang"/>
      <w:sz w:val="20"/>
      <w:szCs w:val="24"/>
      <w:lang w:eastAsia="en-US"/>
    </w:rPr>
  </w:style>
  <w:style w:type="character" w:customStyle="1" w:styleId="157">
    <w:name w:val="normaltextrun"/>
    <w:basedOn w:val="57"/>
    <w:qFormat/>
    <w:uiPriority w:val="0"/>
  </w:style>
  <w:style w:type="character" w:customStyle="1" w:styleId="158">
    <w:name w:val="LGTdoc_본문 Char"/>
    <w:link w:val="159"/>
    <w:qFormat/>
    <w:uiPriority w:val="0"/>
    <w:rPr>
      <w:sz w:val="22"/>
      <w:szCs w:val="24"/>
      <w:lang w:val="en-GB" w:eastAsia="ko-KR"/>
    </w:rPr>
  </w:style>
  <w:style w:type="paragraph" w:customStyle="1" w:styleId="159">
    <w:name w:val="LGTdoc_본문"/>
    <w:basedOn w:val="1"/>
    <w:link w:val="158"/>
    <w:qFormat/>
    <w:uiPriority w:val="0"/>
    <w:pPr>
      <w:widowControl w:val="0"/>
      <w:autoSpaceDE w:val="0"/>
      <w:autoSpaceDN w:val="0"/>
      <w:adjustRightInd w:val="0"/>
      <w:snapToGrid w:val="0"/>
      <w:spacing w:afterLines="50" w:line="264" w:lineRule="auto"/>
      <w:jc w:val="both"/>
    </w:pPr>
    <w:rPr>
      <w:rFonts w:ascii="Times" w:hAnsi="Times" w:eastAsia="MS Mincho"/>
      <w:sz w:val="22"/>
      <w:szCs w:val="24"/>
      <w:lang w:eastAsia="ko-KR"/>
    </w:rPr>
  </w:style>
  <w:style w:type="character" w:customStyle="1" w:styleId="160">
    <w:name w:val="Style1 Char"/>
    <w:link w:val="151"/>
    <w:qFormat/>
    <w:uiPriority w:val="0"/>
    <w:rPr>
      <w:rFonts w:ascii="Times New Roman" w:hAnsi="Times New Roman" w:eastAsia="宋体"/>
      <w:sz w:val="24"/>
      <w:szCs w:val="24"/>
      <w:lang w:eastAsia="zh-CN"/>
    </w:rPr>
  </w:style>
  <w:style w:type="paragraph" w:customStyle="1" w:styleId="161">
    <w:name w:val="3GPP Text"/>
    <w:basedOn w:val="1"/>
    <w:link w:val="162"/>
    <w:qFormat/>
    <w:uiPriority w:val="0"/>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162">
    <w:name w:val="3GPP Text Char"/>
    <w:link w:val="161"/>
    <w:qFormat/>
    <w:uiPriority w:val="0"/>
    <w:rPr>
      <w:rFonts w:ascii="Times New Roman" w:hAnsi="Times New Roman" w:eastAsia="宋体"/>
      <w:sz w:val="22"/>
      <w:lang w:eastAsia="en-US"/>
    </w:rPr>
  </w:style>
  <w:style w:type="paragraph" w:customStyle="1" w:styleId="163">
    <w:name w:val="3GPP Agreements"/>
    <w:basedOn w:val="1"/>
    <w:link w:val="204"/>
    <w:qFormat/>
    <w:uiPriority w:val="0"/>
    <w:pPr>
      <w:numPr>
        <w:ilvl w:val="0"/>
        <w:numId w:val="9"/>
      </w:numPr>
      <w:spacing w:before="60" w:after="60"/>
      <w:jc w:val="both"/>
    </w:pPr>
    <w:rPr>
      <w:rFonts w:eastAsia="宋体"/>
      <w:lang w:val="en-US" w:eastAsia="zh-CN"/>
    </w:rPr>
  </w:style>
  <w:style w:type="paragraph" w:customStyle="1" w:styleId="164">
    <w:name w:val="Agreement"/>
    <w:basedOn w:val="1"/>
    <w:next w:val="105"/>
    <w:qFormat/>
    <w:uiPriority w:val="99"/>
    <w:pPr>
      <w:spacing w:before="60"/>
    </w:pPr>
    <w:rPr>
      <w:rFonts w:ascii="Arial" w:hAnsi="Arial" w:eastAsia="Times New Roman"/>
      <w:b/>
      <w:sz w:val="20"/>
      <w:szCs w:val="24"/>
    </w:rPr>
  </w:style>
  <w:style w:type="character" w:customStyle="1" w:styleId="165">
    <w:name w:val="Heading 1 Char2"/>
    <w:basedOn w:val="57"/>
    <w:link w:val="2"/>
    <w:qFormat/>
    <w:uiPriority w:val="0"/>
    <w:rPr>
      <w:rFonts w:ascii="Arial" w:hAnsi="Arial" w:eastAsia="MS Gothic"/>
      <w:kern w:val="28"/>
      <w:sz w:val="28"/>
      <w:lang w:val="en-GB"/>
    </w:rPr>
  </w:style>
  <w:style w:type="character" w:customStyle="1" w:styleId="166">
    <w:name w:val="Heading 2 Char"/>
    <w:basedOn w:val="57"/>
    <w:link w:val="3"/>
    <w:qFormat/>
    <w:uiPriority w:val="0"/>
    <w:rPr>
      <w:rFonts w:ascii="Arial" w:hAnsi="Arial" w:eastAsia="MS Gothic"/>
      <w:sz w:val="24"/>
      <w:lang w:val="en-GB"/>
    </w:rPr>
  </w:style>
  <w:style w:type="character" w:customStyle="1" w:styleId="167">
    <w:name w:val="Heading 3 Char"/>
    <w:basedOn w:val="57"/>
    <w:link w:val="4"/>
    <w:qFormat/>
    <w:uiPriority w:val="0"/>
    <w:rPr>
      <w:rFonts w:ascii="Arial" w:hAnsi="Arial" w:eastAsia="MS Gothic"/>
      <w:sz w:val="24"/>
      <w:lang w:val="en-GB"/>
    </w:rPr>
  </w:style>
  <w:style w:type="character" w:customStyle="1" w:styleId="168">
    <w:name w:val="Heading 4 Char"/>
    <w:basedOn w:val="57"/>
    <w:link w:val="5"/>
    <w:qFormat/>
    <w:uiPriority w:val="0"/>
    <w:rPr>
      <w:rFonts w:ascii="Arial" w:hAnsi="Arial" w:eastAsia="MS Gothic"/>
      <w:i/>
      <w:sz w:val="24"/>
      <w:lang w:val="en-GB"/>
    </w:rPr>
  </w:style>
  <w:style w:type="character" w:customStyle="1" w:styleId="169">
    <w:name w:val="Heading 5 Char"/>
    <w:basedOn w:val="57"/>
    <w:link w:val="6"/>
    <w:qFormat/>
    <w:uiPriority w:val="0"/>
    <w:rPr>
      <w:rFonts w:ascii="Times New Roman" w:hAnsi="Times New Roman" w:eastAsia="MS Gothic"/>
      <w:sz w:val="26"/>
      <w:u w:val="single"/>
      <w:lang w:val="en-GB"/>
    </w:rPr>
  </w:style>
  <w:style w:type="character" w:customStyle="1" w:styleId="170">
    <w:name w:val="Heading 6 Char"/>
    <w:basedOn w:val="57"/>
    <w:link w:val="7"/>
    <w:qFormat/>
    <w:uiPriority w:val="0"/>
    <w:rPr>
      <w:rFonts w:ascii="Times New Roman" w:hAnsi="Times New Roman" w:eastAsia="MS Gothic"/>
      <w:i/>
      <w:sz w:val="22"/>
      <w:lang w:val="en-GB"/>
    </w:rPr>
  </w:style>
  <w:style w:type="character" w:customStyle="1" w:styleId="171">
    <w:name w:val="Heading 7 Char"/>
    <w:basedOn w:val="57"/>
    <w:link w:val="8"/>
    <w:qFormat/>
    <w:uiPriority w:val="0"/>
    <w:rPr>
      <w:rFonts w:ascii="Arial" w:hAnsi="Arial" w:eastAsia="MS Gothic"/>
      <w:sz w:val="24"/>
      <w:lang w:val="en-GB"/>
    </w:rPr>
  </w:style>
  <w:style w:type="character" w:customStyle="1" w:styleId="172">
    <w:name w:val="Heading 8 Char"/>
    <w:basedOn w:val="57"/>
    <w:link w:val="9"/>
    <w:qFormat/>
    <w:uiPriority w:val="0"/>
    <w:rPr>
      <w:rFonts w:ascii="Arial" w:hAnsi="Arial" w:eastAsia="MS Gothic"/>
      <w:i/>
      <w:sz w:val="24"/>
      <w:lang w:val="en-GB"/>
    </w:rPr>
  </w:style>
  <w:style w:type="character" w:customStyle="1" w:styleId="173">
    <w:name w:val="Heading 9 Char"/>
    <w:basedOn w:val="57"/>
    <w:link w:val="10"/>
    <w:qFormat/>
    <w:uiPriority w:val="0"/>
    <w:rPr>
      <w:rFonts w:ascii="Arial" w:hAnsi="Arial" w:eastAsia="MS Gothic"/>
      <w:b/>
      <w:i/>
      <w:sz w:val="18"/>
      <w:lang w:val="en-GB"/>
    </w:rPr>
  </w:style>
  <w:style w:type="character" w:customStyle="1" w:styleId="174">
    <w:name w:val="Body Text Char"/>
    <w:basedOn w:val="57"/>
    <w:link w:val="27"/>
    <w:qFormat/>
    <w:uiPriority w:val="0"/>
    <w:rPr>
      <w:rFonts w:ascii="Times New Roman" w:hAnsi="Times New Roman" w:eastAsia="MS Gothic"/>
      <w:sz w:val="24"/>
      <w:lang w:val="en-GB"/>
    </w:rPr>
  </w:style>
  <w:style w:type="character" w:customStyle="1" w:styleId="175">
    <w:name w:val="Body Text Indent Char"/>
    <w:basedOn w:val="57"/>
    <w:link w:val="28"/>
    <w:qFormat/>
    <w:uiPriority w:val="99"/>
    <w:rPr>
      <w:rFonts w:ascii="Times New Roman" w:hAnsi="Times New Roman" w:eastAsia="MS Gothic"/>
      <w:sz w:val="24"/>
      <w:lang w:val="en-GB"/>
    </w:rPr>
  </w:style>
  <w:style w:type="character" w:customStyle="1" w:styleId="176">
    <w:name w:val="Document Map Char"/>
    <w:basedOn w:val="57"/>
    <w:link w:val="23"/>
    <w:semiHidden/>
    <w:qFormat/>
    <w:uiPriority w:val="99"/>
    <w:rPr>
      <w:rFonts w:ascii="Tahoma" w:hAnsi="Tahoma" w:eastAsia="MS Gothic"/>
      <w:sz w:val="24"/>
      <w:shd w:val="clear" w:color="auto" w:fill="000080"/>
      <w:lang w:val="en-GB"/>
    </w:rPr>
  </w:style>
  <w:style w:type="character" w:customStyle="1" w:styleId="177">
    <w:name w:val="Plain Text Char"/>
    <w:basedOn w:val="57"/>
    <w:link w:val="35"/>
    <w:qFormat/>
    <w:uiPriority w:val="99"/>
    <w:rPr>
      <w:rFonts w:ascii="Courier New" w:hAnsi="Courier New" w:eastAsia="MS Gothic"/>
      <w:sz w:val="24"/>
      <w:lang w:val="en-GB"/>
    </w:rPr>
  </w:style>
  <w:style w:type="character" w:customStyle="1" w:styleId="178">
    <w:name w:val="Footnote Text Char"/>
    <w:basedOn w:val="57"/>
    <w:link w:val="44"/>
    <w:qFormat/>
    <w:uiPriority w:val="0"/>
    <w:rPr>
      <w:rFonts w:ascii="Times New Roman" w:hAnsi="Times New Roman" w:eastAsia="MS Gothic"/>
      <w:sz w:val="16"/>
      <w:lang w:val="en-GB"/>
    </w:rPr>
  </w:style>
  <w:style w:type="character" w:customStyle="1" w:styleId="179">
    <w:name w:val="Body Text Indent 2 Char"/>
    <w:basedOn w:val="57"/>
    <w:link w:val="38"/>
    <w:qFormat/>
    <w:uiPriority w:val="99"/>
    <w:rPr>
      <w:rFonts w:ascii="Times New Roman" w:hAnsi="Times New Roman" w:eastAsia="MS Gothic"/>
      <w:kern w:val="2"/>
      <w:sz w:val="24"/>
      <w:lang w:val="en-GB"/>
    </w:rPr>
  </w:style>
  <w:style w:type="character" w:customStyle="1" w:styleId="180">
    <w:name w:val="Footer Char"/>
    <w:basedOn w:val="57"/>
    <w:link w:val="40"/>
    <w:qFormat/>
    <w:uiPriority w:val="0"/>
    <w:rPr>
      <w:rFonts w:ascii="Times New Roman" w:hAnsi="Times New Roman" w:eastAsia="MS Gothic"/>
      <w:sz w:val="24"/>
      <w:lang w:val="de-DE"/>
    </w:rPr>
  </w:style>
  <w:style w:type="character" w:customStyle="1" w:styleId="181">
    <w:name w:val="Title Char"/>
    <w:basedOn w:val="57"/>
    <w:link w:val="53"/>
    <w:qFormat/>
    <w:uiPriority w:val="99"/>
    <w:rPr>
      <w:rFonts w:ascii="Arial" w:hAnsi="Arial" w:eastAsia="MS Gothic"/>
      <w:b/>
      <w:sz w:val="24"/>
      <w:lang w:val="en-GB"/>
    </w:rPr>
  </w:style>
  <w:style w:type="character" w:customStyle="1" w:styleId="182">
    <w:name w:val="Body Text 3 Char"/>
    <w:basedOn w:val="57"/>
    <w:link w:val="25"/>
    <w:qFormat/>
    <w:uiPriority w:val="99"/>
    <w:rPr>
      <w:rFonts w:ascii="Times New Roman" w:hAnsi="Times New Roman" w:eastAsia="MS Gothic"/>
      <w:sz w:val="24"/>
      <w:lang w:val="en-GB"/>
    </w:rPr>
  </w:style>
  <w:style w:type="character" w:customStyle="1" w:styleId="183">
    <w:name w:val="Heading 1 Char1"/>
    <w:basedOn w:val="57"/>
    <w:qFormat/>
    <w:uiPriority w:val="0"/>
    <w:rPr>
      <w:rFonts w:asciiTheme="majorHAnsi" w:hAnsiTheme="majorHAnsi" w:eastAsiaTheme="majorEastAsia" w:cstheme="majorBidi"/>
      <w:color w:val="2E75B6" w:themeColor="accent1" w:themeShade="BF"/>
      <w:sz w:val="32"/>
      <w:szCs w:val="32"/>
      <w:lang w:val="en-GB"/>
    </w:rPr>
  </w:style>
  <w:style w:type="character" w:customStyle="1" w:styleId="184">
    <w:name w:val="Heading 2 Char1"/>
    <w:basedOn w:val="57"/>
    <w:semiHidden/>
    <w:qFormat/>
    <w:uiPriority w:val="0"/>
    <w:rPr>
      <w:rFonts w:asciiTheme="majorHAnsi" w:hAnsiTheme="majorHAnsi" w:eastAsiaTheme="majorEastAsia" w:cstheme="majorBidi"/>
      <w:color w:val="2E75B6" w:themeColor="accent1" w:themeShade="BF"/>
      <w:sz w:val="26"/>
      <w:szCs w:val="26"/>
      <w:lang w:val="en-GB"/>
    </w:rPr>
  </w:style>
  <w:style w:type="character" w:customStyle="1" w:styleId="185">
    <w:name w:val="Heading 3 Char1"/>
    <w:basedOn w:val="57"/>
    <w:semiHidden/>
    <w:qFormat/>
    <w:uiPriority w:val="0"/>
    <w:rPr>
      <w:rFonts w:asciiTheme="majorHAnsi" w:hAnsiTheme="majorHAnsi" w:eastAsiaTheme="majorEastAsia" w:cstheme="majorBidi"/>
      <w:color w:val="1F4E79" w:themeColor="accent1" w:themeShade="80"/>
      <w:sz w:val="24"/>
      <w:szCs w:val="24"/>
      <w:lang w:val="en-GB"/>
    </w:rPr>
  </w:style>
  <w:style w:type="character" w:customStyle="1" w:styleId="186">
    <w:name w:val="Heading 4 Char1"/>
    <w:basedOn w:val="57"/>
    <w:semiHidden/>
    <w:qFormat/>
    <w:uiPriority w:val="0"/>
    <w:rPr>
      <w:rFonts w:asciiTheme="majorHAnsi" w:hAnsiTheme="majorHAnsi" w:eastAsiaTheme="majorEastAsia" w:cstheme="majorBidi"/>
      <w:i/>
      <w:iCs/>
      <w:color w:val="2E75B6" w:themeColor="accent1" w:themeShade="BF"/>
      <w:sz w:val="24"/>
      <w:lang w:val="en-GB"/>
    </w:rPr>
  </w:style>
  <w:style w:type="character" w:customStyle="1" w:styleId="187">
    <w:name w:val="Heading 5 Char1"/>
    <w:basedOn w:val="57"/>
    <w:semiHidden/>
    <w:qFormat/>
    <w:uiPriority w:val="0"/>
    <w:rPr>
      <w:rFonts w:asciiTheme="majorHAnsi" w:hAnsiTheme="majorHAnsi" w:eastAsiaTheme="majorEastAsia" w:cstheme="majorBidi"/>
      <w:color w:val="2E75B6" w:themeColor="accent1" w:themeShade="BF"/>
      <w:sz w:val="24"/>
      <w:lang w:val="en-GB"/>
    </w:rPr>
  </w:style>
  <w:style w:type="paragraph" w:customStyle="1" w:styleId="188">
    <w:name w:val="msonormal"/>
    <w:basedOn w:val="1"/>
    <w:qFormat/>
    <w:uiPriority w:val="99"/>
    <w:pPr>
      <w:spacing w:before="100" w:beforeAutospacing="1" w:after="100" w:afterAutospacing="1"/>
    </w:pPr>
    <w:rPr>
      <w:rFonts w:ascii="MS PGothic" w:hAnsi="MS PGothic" w:eastAsia="MS PGothic" w:cs="MS PGothic"/>
      <w:szCs w:val="24"/>
      <w:lang w:val="en-US"/>
    </w:rPr>
  </w:style>
  <w:style w:type="character" w:customStyle="1" w:styleId="189">
    <w:name w:val="Heading 8 Char1"/>
    <w:basedOn w:val="57"/>
    <w:semiHidden/>
    <w:qFormat/>
    <w:uiPriority w:val="0"/>
    <w:rPr>
      <w:rFonts w:asciiTheme="majorHAnsi" w:hAnsiTheme="majorHAnsi" w:eastAsiaTheme="majorEastAsia" w:cstheme="majorBidi"/>
      <w:color w:val="262626" w:themeColor="text1" w:themeTint="D9"/>
      <w:sz w:val="21"/>
      <w:szCs w:val="21"/>
      <w:lang w:val="en-GB"/>
      <w14:textFill>
        <w14:solidFill>
          <w14:schemeClr w14:val="tx1">
            <w14:lumMod w14:val="85000"/>
            <w14:lumOff w14:val="15000"/>
          </w14:schemeClr>
        </w14:solidFill>
      </w14:textFill>
    </w:rPr>
  </w:style>
  <w:style w:type="character" w:customStyle="1" w:styleId="190">
    <w:name w:val="Heading 9 Char1"/>
    <w:basedOn w:val="57"/>
    <w:semiHidden/>
    <w:qFormat/>
    <w:uiPriority w:val="0"/>
    <w:rPr>
      <w:rFonts w:asciiTheme="majorHAnsi" w:hAnsiTheme="majorHAnsi" w:eastAsiaTheme="majorEastAsia" w:cstheme="majorBidi"/>
      <w:i/>
      <w:iCs/>
      <w:color w:val="262626" w:themeColor="text1" w:themeTint="D9"/>
      <w:sz w:val="21"/>
      <w:szCs w:val="21"/>
      <w:lang w:val="en-GB"/>
      <w14:textFill>
        <w14:solidFill>
          <w14:schemeClr w14:val="tx1">
            <w14:lumMod w14:val="85000"/>
            <w14:lumOff w14:val="15000"/>
          </w14:schemeClr>
        </w14:solidFill>
      </w14:textFill>
    </w:rPr>
  </w:style>
  <w:style w:type="character" w:customStyle="1" w:styleId="191">
    <w:name w:val="Footnote Text Char1"/>
    <w:basedOn w:val="57"/>
    <w:semiHidden/>
    <w:qFormat/>
    <w:uiPriority w:val="0"/>
    <w:rPr>
      <w:rFonts w:ascii="Times New Roman" w:hAnsi="Times New Roman" w:eastAsia="MS Gothic"/>
      <w:lang w:val="en-GB"/>
    </w:rPr>
  </w:style>
  <w:style w:type="character" w:customStyle="1" w:styleId="192">
    <w:name w:val="Header Char1"/>
    <w:basedOn w:val="57"/>
    <w:semiHidden/>
    <w:qFormat/>
    <w:uiPriority w:val="0"/>
    <w:rPr>
      <w:rFonts w:ascii="Times New Roman" w:hAnsi="Times New Roman" w:eastAsia="MS Gothic"/>
      <w:sz w:val="24"/>
      <w:lang w:val="en-GB"/>
    </w:rPr>
  </w:style>
  <w:style w:type="character" w:customStyle="1" w:styleId="193">
    <w:name w:val="Caption Char"/>
    <w:link w:val="21"/>
    <w:qFormat/>
    <w:locked/>
    <w:uiPriority w:val="0"/>
    <w:rPr>
      <w:rFonts w:ascii="Times New Roman" w:hAnsi="Times New Roman" w:eastAsia="MS Gothic"/>
      <w:b/>
      <w:sz w:val="24"/>
      <w:lang w:val="en-GB"/>
    </w:rPr>
  </w:style>
  <w:style w:type="character" w:customStyle="1" w:styleId="194">
    <w:name w:val="apple-converted-space"/>
    <w:basedOn w:val="57"/>
    <w:qFormat/>
    <w:uiPriority w:val="0"/>
  </w:style>
  <w:style w:type="character" w:customStyle="1" w:styleId="195">
    <w:name w:val="見出し 1 (文字)1"/>
    <w:basedOn w:val="57"/>
    <w:qFormat/>
    <w:uiPriority w:val="0"/>
    <w:rPr>
      <w:rFonts w:asciiTheme="majorHAnsi" w:hAnsiTheme="majorHAnsi" w:eastAsiaTheme="majorEastAsia" w:cstheme="majorBidi"/>
      <w:sz w:val="24"/>
      <w:szCs w:val="24"/>
      <w:lang w:val="en-GB"/>
    </w:rPr>
  </w:style>
  <w:style w:type="character" w:customStyle="1" w:styleId="196">
    <w:name w:val="見出し 2 (文字)1"/>
    <w:basedOn w:val="57"/>
    <w:semiHidden/>
    <w:qFormat/>
    <w:uiPriority w:val="0"/>
    <w:rPr>
      <w:rFonts w:asciiTheme="majorHAnsi" w:hAnsiTheme="majorHAnsi" w:eastAsiaTheme="majorEastAsia" w:cstheme="majorBidi"/>
      <w:sz w:val="24"/>
      <w:lang w:val="en-GB"/>
    </w:rPr>
  </w:style>
  <w:style w:type="character" w:customStyle="1" w:styleId="197">
    <w:name w:val="見出し 3 (文字)1"/>
    <w:basedOn w:val="57"/>
    <w:semiHidden/>
    <w:qFormat/>
    <w:uiPriority w:val="0"/>
    <w:rPr>
      <w:rFonts w:asciiTheme="majorHAnsi" w:hAnsiTheme="majorHAnsi" w:eastAsiaTheme="majorEastAsia" w:cstheme="majorBidi"/>
      <w:sz w:val="24"/>
      <w:lang w:val="en-GB"/>
    </w:rPr>
  </w:style>
  <w:style w:type="character" w:customStyle="1" w:styleId="198">
    <w:name w:val="見出し 4 (文字)1"/>
    <w:basedOn w:val="57"/>
    <w:semiHidden/>
    <w:qFormat/>
    <w:uiPriority w:val="0"/>
    <w:rPr>
      <w:rFonts w:ascii="Times New Roman" w:hAnsi="Times New Roman" w:eastAsia="MS Gothic" w:cs="Times New Roman"/>
      <w:b/>
      <w:bCs/>
      <w:sz w:val="24"/>
      <w:lang w:val="en-GB"/>
    </w:rPr>
  </w:style>
  <w:style w:type="character" w:customStyle="1" w:styleId="199">
    <w:name w:val="見出し 5 (文字)1"/>
    <w:basedOn w:val="57"/>
    <w:semiHidden/>
    <w:qFormat/>
    <w:uiPriority w:val="0"/>
    <w:rPr>
      <w:rFonts w:asciiTheme="majorHAnsi" w:hAnsiTheme="majorHAnsi" w:eastAsiaTheme="majorEastAsia" w:cstheme="majorBidi"/>
      <w:sz w:val="24"/>
      <w:lang w:val="en-GB"/>
    </w:rPr>
  </w:style>
  <w:style w:type="character" w:customStyle="1" w:styleId="200">
    <w:name w:val="見出し 8 (文字)1"/>
    <w:basedOn w:val="57"/>
    <w:semiHidden/>
    <w:qFormat/>
    <w:uiPriority w:val="0"/>
    <w:rPr>
      <w:rFonts w:ascii="Times New Roman" w:hAnsi="Times New Roman" w:eastAsia="MS Gothic" w:cs="Times New Roman"/>
      <w:sz w:val="24"/>
      <w:lang w:val="en-GB"/>
    </w:rPr>
  </w:style>
  <w:style w:type="character" w:customStyle="1" w:styleId="201">
    <w:name w:val="見出し 9 (文字)1"/>
    <w:basedOn w:val="57"/>
    <w:semiHidden/>
    <w:qFormat/>
    <w:uiPriority w:val="0"/>
    <w:rPr>
      <w:rFonts w:ascii="Times New Roman" w:hAnsi="Times New Roman" w:eastAsia="MS Gothic" w:cs="Times New Roman"/>
      <w:sz w:val="24"/>
      <w:lang w:val="en-GB"/>
    </w:rPr>
  </w:style>
  <w:style w:type="character" w:customStyle="1" w:styleId="202">
    <w:name w:val="脚注文字列 (文字)1"/>
    <w:basedOn w:val="57"/>
    <w:semiHidden/>
    <w:qFormat/>
    <w:uiPriority w:val="0"/>
    <w:rPr>
      <w:rFonts w:ascii="Times New Roman" w:hAnsi="Times New Roman" w:eastAsia="MS Gothic"/>
      <w:sz w:val="24"/>
      <w:lang w:val="en-GB"/>
    </w:rPr>
  </w:style>
  <w:style w:type="character" w:customStyle="1" w:styleId="203">
    <w:name w:val="ヘッダー (文字)1"/>
    <w:basedOn w:val="57"/>
    <w:semiHidden/>
    <w:qFormat/>
    <w:uiPriority w:val="0"/>
    <w:rPr>
      <w:rFonts w:ascii="Times New Roman" w:hAnsi="Times New Roman" w:eastAsia="MS Gothic"/>
      <w:sz w:val="24"/>
      <w:lang w:val="en-GB"/>
    </w:rPr>
  </w:style>
  <w:style w:type="character" w:customStyle="1" w:styleId="204">
    <w:name w:val="3GPP Agreements Char"/>
    <w:link w:val="163"/>
    <w:qFormat/>
    <w:locked/>
    <w:uiPriority w:val="0"/>
    <w:rPr>
      <w:rFonts w:ascii="Times New Roman" w:hAnsi="Times New Roman" w:eastAsia="宋体"/>
      <w:sz w:val="24"/>
      <w:lang w:eastAsia="zh-CN"/>
    </w:rPr>
  </w:style>
  <w:style w:type="paragraph" w:customStyle="1" w:styleId="205">
    <w:name w:val="tal"/>
    <w:basedOn w:val="1"/>
    <w:qFormat/>
    <w:uiPriority w:val="0"/>
    <w:pPr>
      <w:spacing w:before="100" w:beforeAutospacing="1" w:after="100" w:afterAutospacing="1"/>
    </w:pPr>
    <w:rPr>
      <w:rFonts w:ascii="Calibri" w:hAnsi="Calibri" w:cs="Calibri" w:eastAsiaTheme="minorHAnsi"/>
      <w:sz w:val="22"/>
      <w:szCs w:val="22"/>
      <w:lang w:val="en-US" w:eastAsia="en-US"/>
    </w:rPr>
  </w:style>
  <w:style w:type="paragraph" w:customStyle="1" w:styleId="206">
    <w:name w:val="Steps-8th set"/>
    <w:basedOn w:val="30"/>
    <w:qFormat/>
    <w:uiPriority w:val="0"/>
    <w:pPr>
      <w:widowControl w:val="0"/>
      <w:numPr>
        <w:ilvl w:val="0"/>
        <w:numId w:val="10"/>
      </w:numPr>
      <w:tabs>
        <w:tab w:val="left" w:pos="360"/>
        <w:tab w:val="clear" w:pos="936"/>
      </w:tabs>
      <w:spacing w:before="120" w:after="120"/>
      <w:ind w:left="720" w:hanging="360"/>
    </w:pPr>
    <w:rPr>
      <w:rFonts w:ascii="Arial" w:hAnsi="Arial" w:eastAsia="Times New Roman"/>
      <w:szCs w:val="24"/>
      <w:lang w:val="en-US" w:eastAsia="en-US"/>
    </w:rPr>
  </w:style>
  <w:style w:type="character" w:customStyle="1" w:styleId="207">
    <w:name w:val="No Spacing Char"/>
    <w:link w:val="208"/>
    <w:qFormat/>
    <w:uiPriority w:val="1"/>
    <w:rPr>
      <w:rFonts w:ascii="Arial" w:hAnsi="Arial" w:eastAsia="Times New Roman"/>
    </w:rPr>
  </w:style>
  <w:style w:type="paragraph" w:styleId="208">
    <w:name w:val="No Spacing"/>
    <w:basedOn w:val="1"/>
    <w:link w:val="207"/>
    <w:qFormat/>
    <w:uiPriority w:val="1"/>
    <w:pPr>
      <w:jc w:val="both"/>
    </w:pPr>
    <w:rPr>
      <w:rFonts w:ascii="Arial" w:hAnsi="Arial" w:eastAsia="Times New Roman"/>
      <w:sz w:val="20"/>
      <w:lang w:val="en-US"/>
    </w:rPr>
  </w:style>
  <w:style w:type="character" w:customStyle="1" w:styleId="209">
    <w:name w:val="apple-style-span"/>
    <w:basedOn w:val="57"/>
    <w:qFormat/>
    <w:uiPriority w:val="0"/>
  </w:style>
  <w:style w:type="character" w:customStyle="1" w:styleId="210">
    <w:name w:val="TAL Char"/>
    <w:qFormat/>
    <w:uiPriority w:val="0"/>
    <w:rPr>
      <w:rFonts w:ascii="Arial" w:hAnsi="Arial"/>
      <w:sz w:val="18"/>
      <w:lang w:val="en-GB" w:eastAsia="en-US"/>
    </w:rPr>
  </w:style>
  <w:style w:type="character" w:customStyle="1" w:styleId="211">
    <w:name w:val="스타일 스타일 스타일 스타일 양쪽 첫 줄:  2 글자 + 첫 줄:  2 글자 + 첫 줄:  2 글자 + 첫 줄:  2... Char"/>
    <w:link w:val="212"/>
    <w:qFormat/>
    <w:uiPriority w:val="0"/>
    <w:rPr>
      <w:rFonts w:ascii="Times New Roman" w:hAnsi="Times New Roman" w:eastAsia="Malgun Gothic" w:cs="Batang"/>
      <w:lang w:val="en-GB"/>
    </w:rPr>
  </w:style>
  <w:style w:type="paragraph" w:customStyle="1" w:styleId="212">
    <w:name w:val="스타일 스타일 스타일 스타일 양쪽 첫 줄:  2 글자 + 첫 줄:  2 글자 + 첫 줄:  2 글자 + 첫 줄:  2..."/>
    <w:basedOn w:val="1"/>
    <w:link w:val="211"/>
    <w:qFormat/>
    <w:uiPriority w:val="0"/>
    <w:pPr>
      <w:spacing w:after="180" w:line="336" w:lineRule="auto"/>
      <w:ind w:firstLine="200" w:firstLineChars="200"/>
      <w:jc w:val="both"/>
    </w:pPr>
    <w:rPr>
      <w:rFonts w:eastAsia="Malgun Gothic" w:cs="Batang"/>
      <w:sz w:val="20"/>
    </w:rPr>
  </w:style>
  <w:style w:type="character" w:customStyle="1" w:styleId="213">
    <w:name w:val="bullet Char"/>
    <w:link w:val="214"/>
    <w:qFormat/>
    <w:locked/>
    <w:uiPriority w:val="0"/>
    <w:rPr>
      <w:rFonts w:ascii="Times New Roman" w:hAnsi="Times New Roman" w:eastAsia="Times New Roman"/>
      <w:kern w:val="2"/>
      <w:szCs w:val="24"/>
      <w:lang w:val="en-GB" w:eastAsia="en-US"/>
    </w:rPr>
  </w:style>
  <w:style w:type="paragraph" w:customStyle="1" w:styleId="214">
    <w:name w:val="bullet"/>
    <w:basedOn w:val="108"/>
    <w:link w:val="213"/>
    <w:qFormat/>
    <w:uiPriority w:val="0"/>
    <w:pPr>
      <w:widowControl w:val="0"/>
      <w:tabs>
        <w:tab w:val="left" w:pos="720"/>
      </w:tabs>
      <w:spacing w:after="60"/>
      <w:ind w:left="0" w:leftChars="0" w:hanging="360"/>
      <w:contextualSpacing/>
      <w:jc w:val="both"/>
    </w:pPr>
    <w:rPr>
      <w:rFonts w:eastAsia="Times New Roman"/>
      <w:kern w:val="2"/>
      <w:sz w:val="20"/>
      <w:szCs w:val="24"/>
      <w:lang w:eastAsia="en-US"/>
    </w:rPr>
  </w:style>
  <w:style w:type="character" w:customStyle="1" w:styleId="215">
    <w:name w:val="列出段落 字符"/>
    <w:qFormat/>
    <w:locked/>
    <w:uiPriority w:val="34"/>
    <w:rPr>
      <w:rFonts w:ascii="Arial" w:hAnsi="Arial" w:eastAsia="Times New Roman"/>
    </w:rPr>
  </w:style>
  <w:style w:type="paragraph" w:customStyle="1" w:styleId="216">
    <w:name w:val="Default"/>
    <w:qFormat/>
    <w:uiPriority w:val="0"/>
    <w:pPr>
      <w:autoSpaceDE w:val="0"/>
      <w:autoSpaceDN w:val="0"/>
      <w:adjustRightInd w:val="0"/>
    </w:pPr>
    <w:rPr>
      <w:rFonts w:ascii="Times New Roman" w:hAnsi="Times New Roman" w:eastAsia="宋体" w:cs="Times New Roman"/>
      <w:color w:val="000000"/>
      <w:sz w:val="24"/>
      <w:szCs w:val="24"/>
      <w:lang w:val="en-US" w:eastAsia="en-US" w:bidi="ar-SA"/>
    </w:rPr>
  </w:style>
  <w:style w:type="paragraph" w:customStyle="1" w:styleId="217">
    <w:name w:val="Steps-9th set"/>
    <w:basedOn w:val="1"/>
    <w:qFormat/>
    <w:uiPriority w:val="0"/>
    <w:pPr>
      <w:widowControl w:val="0"/>
      <w:tabs>
        <w:tab w:val="left" w:pos="851"/>
        <w:tab w:val="left" w:pos="936"/>
      </w:tabs>
      <w:spacing w:before="120" w:after="120"/>
      <w:ind w:left="851" w:hanging="851"/>
    </w:pPr>
    <w:rPr>
      <w:rFonts w:ascii="Arial" w:hAnsi="Arial" w:eastAsia="Times New Roman"/>
      <w:szCs w:val="24"/>
      <w:lang w:val="en-US" w:eastAsia="en-US"/>
    </w:rPr>
  </w:style>
  <w:style w:type="paragraph" w:customStyle="1" w:styleId="218">
    <w:name w:val="Proposal"/>
    <w:basedOn w:val="27"/>
    <w:qFormat/>
    <w:uiPriority w:val="0"/>
    <w:pPr>
      <w:numPr>
        <w:ilvl w:val="0"/>
        <w:numId w:val="11"/>
      </w:numPr>
      <w:tabs>
        <w:tab w:val="left" w:pos="360"/>
        <w:tab w:val="left" w:pos="936"/>
        <w:tab w:val="left" w:pos="1701"/>
      </w:tabs>
      <w:spacing w:line="259" w:lineRule="auto"/>
      <w:ind w:left="936" w:hanging="936"/>
      <w:jc w:val="both"/>
    </w:pPr>
    <w:rPr>
      <w:rFonts w:ascii="Arial" w:hAnsi="Arial" w:eastAsia="Calibri" w:cs="Arial"/>
      <w:b/>
      <w:bCs/>
      <w:sz w:val="22"/>
      <w:szCs w:val="22"/>
      <w:lang w:eastAsia="zh-CN"/>
    </w:rPr>
  </w:style>
  <w:style w:type="character" w:customStyle="1" w:styleId="219">
    <w:name w:val="未解決のメンション1"/>
    <w:semiHidden/>
    <w:unhideWhenUsed/>
    <w:qFormat/>
    <w:uiPriority w:val="99"/>
    <w:rPr>
      <w:color w:val="605E5C"/>
      <w:shd w:val="clear" w:color="auto" w:fill="E1DFDD"/>
    </w:rPr>
  </w:style>
  <w:style w:type="paragraph" w:customStyle="1" w:styleId="220">
    <w:name w:val="references"/>
    <w:qFormat/>
    <w:uiPriority w:val="0"/>
    <w:pPr>
      <w:numPr>
        <w:ilvl w:val="0"/>
        <w:numId w:val="12"/>
      </w:numPr>
      <w:spacing w:after="50" w:line="180" w:lineRule="exact"/>
      <w:jc w:val="both"/>
    </w:pPr>
    <w:rPr>
      <w:rFonts w:ascii="Times New Roman" w:hAnsi="Times New Roman" w:eastAsia="MS Mincho" w:cs="Times New Roman"/>
      <w:szCs w:val="16"/>
      <w:lang w:val="en-US" w:eastAsia="en-US" w:bidi="ar-SA"/>
    </w:rPr>
  </w:style>
  <w:style w:type="paragraph" w:customStyle="1" w:styleId="221">
    <w:name w:val="CR Cover Page"/>
    <w:qFormat/>
    <w:uiPriority w:val="0"/>
    <w:pPr>
      <w:spacing w:after="120"/>
    </w:pPr>
    <w:rPr>
      <w:rFonts w:ascii="Arial" w:hAnsi="Arial" w:cs="Times New Roman" w:eastAsiaTheme="minorEastAsia"/>
      <w:lang w:val="en-GB" w:eastAsia="en-US" w:bidi="ar-SA"/>
    </w:rPr>
  </w:style>
  <w:style w:type="character" w:customStyle="1" w:styleId="222">
    <w:name w:val="B1 Zchn"/>
    <w:qFormat/>
    <w:locked/>
    <w:uiPriority w:val="0"/>
    <w:rPr>
      <w:rFonts w:ascii="Times New Roman" w:hAnsi="Times New Roman"/>
      <w:lang w:val="en-GB" w:eastAsia="en-US"/>
    </w:rPr>
  </w:style>
  <w:style w:type="character" w:customStyle="1" w:styleId="223">
    <w:name w:val="B1 Char1"/>
    <w:basedOn w:val="57"/>
    <w:qFormat/>
    <w:locked/>
    <w:uiPriority w:val="0"/>
    <w:rPr>
      <w:rFonts w:asciiTheme="minorHAnsi" w:hAnsiTheme="minorHAnsi" w:eastAsiaTheme="minorEastAsia" w:cstheme="minorBidi"/>
      <w:kern w:val="2"/>
      <w:sz w:val="21"/>
      <w:szCs w:val="22"/>
    </w:rPr>
  </w:style>
  <w:style w:type="character" w:customStyle="1" w:styleId="224">
    <w:name w:val="0 Main text Char"/>
    <w:basedOn w:val="57"/>
    <w:link w:val="225"/>
    <w:qFormat/>
    <w:locked/>
    <w:uiPriority w:val="0"/>
    <w:rPr>
      <w:rFonts w:eastAsia="Malgun Gothic" w:cs="Batang" w:asciiTheme="minorHAnsi" w:hAnsiTheme="minorHAnsi"/>
      <w:kern w:val="2"/>
      <w:sz w:val="21"/>
      <w:szCs w:val="22"/>
      <w:lang w:val="en-GB"/>
    </w:rPr>
  </w:style>
  <w:style w:type="paragraph" w:customStyle="1" w:styleId="225">
    <w:name w:val="0 Main text"/>
    <w:basedOn w:val="1"/>
    <w:link w:val="224"/>
    <w:qFormat/>
    <w:uiPriority w:val="0"/>
    <w:pPr>
      <w:widowControl w:val="0"/>
      <w:spacing w:before="100" w:beforeAutospacing="1" w:after="100" w:afterAutospacing="1"/>
      <w:ind w:firstLine="360"/>
      <w:jc w:val="both"/>
    </w:pPr>
    <w:rPr>
      <w:rFonts w:eastAsia="Malgun Gothic" w:cs="Batang" w:asciiTheme="minorHAnsi" w:hAnsiTheme="minorHAnsi"/>
      <w:kern w:val="2"/>
      <w:sz w:val="21"/>
      <w:szCs w:val="22"/>
    </w:rPr>
  </w:style>
  <w:style w:type="character" w:customStyle="1" w:styleId="226">
    <w:name w:val="B2 Char"/>
    <w:link w:val="83"/>
    <w:qFormat/>
    <w:locked/>
    <w:uiPriority w:val="0"/>
    <w:rPr>
      <w:rFonts w:ascii="Times New Roman" w:hAnsi="Times New Roman" w:eastAsia="MS Gothic"/>
      <w:sz w:val="24"/>
      <w:lang w:val="en-GB"/>
    </w:rPr>
  </w:style>
  <w:style w:type="character" w:customStyle="1" w:styleId="227">
    <w:name w:val="B3 Char"/>
    <w:link w:val="84"/>
    <w:qFormat/>
    <w:locked/>
    <w:uiPriority w:val="0"/>
    <w:rPr>
      <w:rFonts w:ascii="Times New Roman" w:hAnsi="Times New Roman" w:eastAsia="MS Gothic"/>
      <w:sz w:val="24"/>
      <w:lang w:val="en-GB"/>
    </w:rPr>
  </w:style>
  <w:style w:type="paragraph" w:customStyle="1" w:styleId="228">
    <w:name w:val="Observation"/>
    <w:basedOn w:val="1"/>
    <w:qFormat/>
    <w:uiPriority w:val="0"/>
    <w:pPr>
      <w:widowControl w:val="0"/>
      <w:numPr>
        <w:ilvl w:val="0"/>
        <w:numId w:val="13"/>
      </w:numPr>
      <w:tabs>
        <w:tab w:val="left" w:pos="1701"/>
      </w:tabs>
      <w:spacing w:after="120"/>
      <w:jc w:val="both"/>
    </w:pPr>
    <w:rPr>
      <w:rFonts w:ascii="Arial" w:hAnsi="Arial" w:eastAsiaTheme="minorEastAsia" w:cstheme="minorBidi"/>
      <w:b/>
      <w:bCs/>
      <w:kern w:val="2"/>
      <w:sz w:val="21"/>
      <w:szCs w:val="22"/>
      <w:lang w:val="en-US"/>
    </w:rPr>
  </w:style>
  <w:style w:type="character" w:customStyle="1" w:styleId="229">
    <w:name w:val="3GPP H1 Char"/>
    <w:link w:val="230"/>
    <w:qFormat/>
    <w:locked/>
    <w:uiPriority w:val="0"/>
    <w:rPr>
      <w:rFonts w:ascii="Arial" w:hAnsi="Arial" w:cs="Arial"/>
      <w:sz w:val="36"/>
      <w:lang w:val="en-GB" w:eastAsia="en-US"/>
    </w:rPr>
  </w:style>
  <w:style w:type="paragraph" w:customStyle="1" w:styleId="230">
    <w:name w:val="3GPP H1"/>
    <w:basedOn w:val="2"/>
    <w:next w:val="161"/>
    <w:link w:val="229"/>
    <w:qFormat/>
    <w:uiPriority w:val="0"/>
    <w:pPr>
      <w:keepLines/>
      <w:pBdr>
        <w:top w:val="single" w:color="auto" w:sz="12" w:space="3"/>
      </w:pBdr>
      <w:tabs>
        <w:tab w:val="left" w:pos="425"/>
        <w:tab w:val="clear" w:pos="0"/>
      </w:tabs>
      <w:overflowPunct w:val="0"/>
      <w:autoSpaceDE w:val="0"/>
      <w:autoSpaceDN w:val="0"/>
      <w:adjustRightInd w:val="0"/>
      <w:spacing w:after="120"/>
      <w:ind w:left="1872" w:hanging="432"/>
    </w:pPr>
    <w:rPr>
      <w:rFonts w:eastAsia="MS Mincho" w:cs="Arial"/>
      <w:kern w:val="0"/>
      <w:sz w:val="36"/>
      <w:lang w:eastAsia="en-US"/>
    </w:rPr>
  </w:style>
  <w:style w:type="paragraph" w:customStyle="1" w:styleId="231">
    <w:name w:val="x_msonormal"/>
    <w:basedOn w:val="1"/>
    <w:qFormat/>
    <w:uiPriority w:val="99"/>
    <w:pPr>
      <w:jc w:val="both"/>
    </w:pPr>
    <w:rPr>
      <w:rFonts w:ascii="Calibri" w:hAnsi="Calibri" w:cs="Calibri" w:eastAsiaTheme="minorHAnsi"/>
      <w:sz w:val="21"/>
      <w:szCs w:val="21"/>
      <w:lang w:val="en-US" w:eastAsia="zh-CN"/>
    </w:rPr>
  </w:style>
  <w:style w:type="table" w:customStyle="1" w:styleId="232">
    <w:name w:val="网格型3"/>
    <w:basedOn w:val="55"/>
    <w:qFormat/>
    <w:uiPriority w:val="39"/>
    <w:pPr>
      <w:spacing w:after="160" w:line="259" w:lineRule="auto"/>
    </w:pPr>
    <w:rPr>
      <w:rFonts w:ascii="Times New Roman" w:hAnsi="Times New Roman" w:eastAsia="Batang"/>
      <w:lang w:val="sv-SE" w:eastAsia="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3">
    <w:name w:val="リスト段落 (文字)1"/>
    <w:qFormat/>
    <w:locked/>
    <w:uiPriority w:val="34"/>
    <w:rPr>
      <w:rFonts w:eastAsia="宋体"/>
      <w:lang w:val="en-GB" w:eastAsia="en-US"/>
    </w:rPr>
  </w:style>
  <w:style w:type="character" w:customStyle="1" w:styleId="234">
    <w:name w:val="ui-provider"/>
    <w:basedOn w:val="57"/>
    <w:qFormat/>
    <w:uiPriority w:val="0"/>
  </w:style>
  <w:style w:type="character" w:customStyle="1" w:styleId="235">
    <w:name w:val="MTEquationSection"/>
    <w:qFormat/>
    <w:uiPriority w:val="0"/>
    <w:rPr>
      <w:rFonts w:ascii="Arial" w:hAnsi="Arial"/>
      <w:color w:val="FF0000"/>
      <w:sz w:val="24"/>
    </w:rPr>
  </w:style>
  <w:style w:type="paragraph" w:customStyle="1" w:styleId="236">
    <w:name w:val="Bulleted o 1"/>
    <w:basedOn w:val="1"/>
    <w:qFormat/>
    <w:uiPriority w:val="0"/>
    <w:pPr>
      <w:numPr>
        <w:ilvl w:val="0"/>
        <w:numId w:val="14"/>
      </w:numPr>
      <w:overflowPunct w:val="0"/>
      <w:autoSpaceDE w:val="0"/>
      <w:autoSpaceDN w:val="0"/>
      <w:adjustRightInd w:val="0"/>
      <w:spacing w:after="180"/>
      <w:textAlignment w:val="baseline"/>
    </w:pPr>
    <w:rPr>
      <w:rFonts w:eastAsia="宋体"/>
      <w:sz w:val="20"/>
      <w:lang w:val="en-US" w:eastAsia="en-US"/>
    </w:rPr>
  </w:style>
  <w:style w:type="paragraph" w:customStyle="1" w:styleId="237">
    <w:name w:val="Equation"/>
    <w:basedOn w:val="1"/>
    <w:next w:val="1"/>
    <w:qFormat/>
    <w:uiPriority w:val="0"/>
    <w:pPr>
      <w:tabs>
        <w:tab w:val="right" w:pos="10206"/>
      </w:tabs>
      <w:overflowPunct w:val="0"/>
      <w:autoSpaceDE w:val="0"/>
      <w:autoSpaceDN w:val="0"/>
      <w:adjustRightInd w:val="0"/>
      <w:spacing w:after="220"/>
      <w:ind w:left="1298"/>
      <w:textAlignment w:val="baseline"/>
    </w:pPr>
    <w:rPr>
      <w:rFonts w:ascii="Arial" w:hAnsi="Arial" w:eastAsia="宋体"/>
      <w:sz w:val="22"/>
      <w:lang w:val="en-US" w:eastAsia="zh-CN"/>
    </w:rPr>
  </w:style>
  <w:style w:type="paragraph" w:customStyle="1" w:styleId="238">
    <w:name w:val="00 BodyText"/>
    <w:basedOn w:val="1"/>
    <w:qFormat/>
    <w:uiPriority w:val="0"/>
    <w:pPr>
      <w:overflowPunct w:val="0"/>
      <w:autoSpaceDE w:val="0"/>
      <w:autoSpaceDN w:val="0"/>
      <w:adjustRightInd w:val="0"/>
      <w:spacing w:after="220"/>
      <w:textAlignment w:val="baseline"/>
    </w:pPr>
    <w:rPr>
      <w:rFonts w:ascii="Arial" w:hAnsi="Arial" w:eastAsia="宋体"/>
      <w:sz w:val="22"/>
      <w:lang w:val="en-US" w:eastAsia="en-US"/>
    </w:rPr>
  </w:style>
  <w:style w:type="paragraph" w:customStyle="1" w:styleId="239">
    <w:name w:val="11 BodyText"/>
    <w:basedOn w:val="1"/>
    <w:qFormat/>
    <w:uiPriority w:val="0"/>
    <w:pPr>
      <w:overflowPunct w:val="0"/>
      <w:autoSpaceDE w:val="0"/>
      <w:autoSpaceDN w:val="0"/>
      <w:adjustRightInd w:val="0"/>
      <w:spacing w:after="220"/>
      <w:ind w:left="1298"/>
      <w:textAlignment w:val="baseline"/>
    </w:pPr>
    <w:rPr>
      <w:rFonts w:ascii="Arial" w:hAnsi="Arial" w:eastAsia="宋体"/>
      <w:sz w:val="22"/>
      <w:lang w:val="en-US" w:eastAsia="en-US"/>
    </w:rPr>
  </w:style>
  <w:style w:type="paragraph" w:customStyle="1" w:styleId="240">
    <w:name w:val="table"/>
    <w:basedOn w:val="80"/>
    <w:next w:val="80"/>
    <w:qFormat/>
    <w:uiPriority w:val="0"/>
    <w:pPr>
      <w:overflowPunct w:val="0"/>
      <w:autoSpaceDE w:val="0"/>
      <w:autoSpaceDN w:val="0"/>
      <w:adjustRightInd w:val="0"/>
      <w:spacing w:after="0"/>
      <w:jc w:val="center"/>
      <w:textAlignment w:val="baseline"/>
    </w:pPr>
    <w:rPr>
      <w:rFonts w:eastAsia="宋体"/>
      <w:sz w:val="20"/>
      <w:lang w:eastAsia="zh-CN"/>
    </w:rPr>
  </w:style>
  <w:style w:type="paragraph" w:customStyle="1" w:styleId="241">
    <w:name w:val="body Char Char Char"/>
    <w:basedOn w:val="1"/>
    <w:qFormat/>
    <w:uiPriority w:val="0"/>
    <w:pPr>
      <w:tabs>
        <w:tab w:val="left" w:pos="2160"/>
      </w:tabs>
      <w:overflowPunct w:val="0"/>
      <w:autoSpaceDE w:val="0"/>
      <w:autoSpaceDN w:val="0"/>
      <w:adjustRightInd w:val="0"/>
      <w:spacing w:before="120" w:after="120" w:line="280" w:lineRule="atLeast"/>
      <w:jc w:val="both"/>
      <w:textAlignment w:val="baseline"/>
    </w:pPr>
    <w:rPr>
      <w:rFonts w:ascii="New York" w:hAnsi="New York" w:eastAsia="宋体"/>
      <w:lang w:val="en-US" w:eastAsia="en-US"/>
    </w:rPr>
  </w:style>
  <w:style w:type="character" w:customStyle="1" w:styleId="242">
    <w:name w:val="Body Text 2 Char"/>
    <w:basedOn w:val="57"/>
    <w:link w:val="49"/>
    <w:qFormat/>
    <w:uiPriority w:val="0"/>
    <w:rPr>
      <w:rFonts w:ascii="Arial" w:hAnsi="Arial" w:eastAsia="宋体"/>
      <w:sz w:val="22"/>
      <w:lang w:eastAsia="en-US"/>
    </w:rPr>
  </w:style>
  <w:style w:type="character" w:customStyle="1" w:styleId="243">
    <w:name w:val="Heading 1 Char"/>
    <w:qFormat/>
    <w:uiPriority w:val="0"/>
    <w:rPr>
      <w:rFonts w:ascii="Arial" w:hAnsi="Arial"/>
      <w:sz w:val="36"/>
      <w:lang w:val="en-GB" w:eastAsia="en-US" w:bidi="ar-SA"/>
    </w:rPr>
  </w:style>
  <w:style w:type="paragraph" w:customStyle="1" w:styleId="244">
    <w:name w:val="body"/>
    <w:basedOn w:val="1"/>
    <w:link w:val="254"/>
    <w:qFormat/>
    <w:uiPriority w:val="0"/>
    <w:pPr>
      <w:tabs>
        <w:tab w:val="left" w:pos="2160"/>
      </w:tabs>
      <w:overflowPunct w:val="0"/>
      <w:autoSpaceDE w:val="0"/>
      <w:autoSpaceDN w:val="0"/>
      <w:adjustRightInd w:val="0"/>
      <w:spacing w:before="120" w:after="120" w:line="280" w:lineRule="atLeast"/>
      <w:jc w:val="both"/>
      <w:textAlignment w:val="baseline"/>
    </w:pPr>
    <w:rPr>
      <w:rFonts w:ascii="New York" w:hAnsi="New York" w:eastAsia="宋体"/>
      <w:lang w:val="en-US" w:eastAsia="en-US"/>
    </w:rPr>
  </w:style>
  <w:style w:type="character" w:customStyle="1" w:styleId="245">
    <w:name w:val="Char Char3"/>
    <w:qFormat/>
    <w:uiPriority w:val="0"/>
    <w:rPr>
      <w:rFonts w:ascii="Arial" w:hAnsi="Arial"/>
      <w:sz w:val="36"/>
      <w:lang w:val="en-GB" w:eastAsia="en-US" w:bidi="ar-SA"/>
    </w:rPr>
  </w:style>
  <w:style w:type="character" w:customStyle="1" w:styleId="246">
    <w:name w:val="Char Char2"/>
    <w:qFormat/>
    <w:uiPriority w:val="0"/>
    <w:rPr>
      <w:rFonts w:ascii="Arial" w:hAnsi="Arial"/>
      <w:sz w:val="32"/>
      <w:lang w:val="en-GB" w:eastAsia="en-US" w:bidi="ar-SA"/>
    </w:rPr>
  </w:style>
  <w:style w:type="character" w:customStyle="1" w:styleId="247">
    <w:name w:val="Char Char1"/>
    <w:qFormat/>
    <w:uiPriority w:val="0"/>
    <w:rPr>
      <w:rFonts w:ascii="Arial" w:hAnsi="Arial"/>
      <w:sz w:val="28"/>
      <w:lang w:val="en-GB" w:eastAsia="en-US" w:bidi="ar-SA"/>
    </w:rPr>
  </w:style>
  <w:style w:type="character" w:customStyle="1" w:styleId="248">
    <w:name w:val="h4 Char Char"/>
    <w:qFormat/>
    <w:uiPriority w:val="0"/>
    <w:rPr>
      <w:rFonts w:ascii="Arial" w:hAnsi="Arial"/>
      <w:sz w:val="24"/>
      <w:lang w:val="en-GB" w:eastAsia="en-US" w:bidi="ar-SA"/>
    </w:rPr>
  </w:style>
  <w:style w:type="character" w:customStyle="1" w:styleId="249">
    <w:name w:val="Char Char"/>
    <w:qFormat/>
    <w:uiPriority w:val="0"/>
    <w:rPr>
      <w:rFonts w:ascii="Arial" w:hAnsi="Arial"/>
      <w:sz w:val="22"/>
      <w:lang w:val="en-GB" w:eastAsia="en-US" w:bidi="ar-SA"/>
    </w:rPr>
  </w:style>
  <w:style w:type="character" w:customStyle="1" w:styleId="250">
    <w:name w:val="Subtitle Char"/>
    <w:basedOn w:val="57"/>
    <w:link w:val="43"/>
    <w:qFormat/>
    <w:uiPriority w:val="0"/>
    <w:rPr>
      <w:rFonts w:ascii="Cambria" w:hAnsi="Cambria" w:eastAsia="宋体"/>
      <w:sz w:val="24"/>
      <w:szCs w:val="24"/>
      <w:lang w:eastAsia="en-US"/>
    </w:rPr>
  </w:style>
  <w:style w:type="paragraph" w:customStyle="1" w:styleId="251">
    <w:name w:val="Table_text"/>
    <w:basedOn w:val="1"/>
    <w:qFormat/>
    <w:uiPriority w:val="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宋体"/>
      <w:sz w:val="22"/>
      <w:lang w:val="fr-FR" w:eastAsia="en-US"/>
    </w:rPr>
  </w:style>
  <w:style w:type="paragraph" w:customStyle="1" w:styleId="252">
    <w:name w:val="Table_head"/>
    <w:basedOn w:val="1"/>
    <w:next w:val="1"/>
    <w:qFormat/>
    <w:uiPriority w:val="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宋体"/>
      <w:b/>
      <w:sz w:val="22"/>
      <w:lang w:val="fr-FR" w:eastAsia="en-US"/>
    </w:rPr>
  </w:style>
  <w:style w:type="paragraph" w:customStyle="1" w:styleId="253">
    <w:name w:val="References"/>
    <w:basedOn w:val="1"/>
    <w:qFormat/>
    <w:uiPriority w:val="0"/>
    <w:pPr>
      <w:numPr>
        <w:ilvl w:val="0"/>
        <w:numId w:val="15"/>
      </w:numPr>
      <w:autoSpaceDE w:val="0"/>
      <w:autoSpaceDN w:val="0"/>
      <w:snapToGrid w:val="0"/>
      <w:spacing w:after="60"/>
      <w:jc w:val="both"/>
    </w:pPr>
    <w:rPr>
      <w:rFonts w:eastAsia="宋体"/>
      <w:sz w:val="20"/>
      <w:szCs w:val="16"/>
      <w:lang w:val="en-US" w:eastAsia="en-US"/>
    </w:rPr>
  </w:style>
  <w:style w:type="character" w:customStyle="1" w:styleId="254">
    <w:name w:val="body Char"/>
    <w:link w:val="244"/>
    <w:qFormat/>
    <w:uiPriority w:val="0"/>
    <w:rPr>
      <w:rFonts w:ascii="New York" w:hAnsi="New York" w:eastAsia="宋体"/>
      <w:sz w:val="24"/>
      <w:lang w:eastAsia="en-US"/>
    </w:rPr>
  </w:style>
  <w:style w:type="paragraph" w:customStyle="1" w:styleId="255">
    <w:name w:val="Tdoc_Header_2"/>
    <w:basedOn w:val="1"/>
    <w:qFormat/>
    <w:uiPriority w:val="0"/>
    <w:pPr>
      <w:widowControl w:val="0"/>
      <w:tabs>
        <w:tab w:val="left" w:pos="1440"/>
        <w:tab w:val="left" w:pos="1701"/>
        <w:tab w:val="right" w:pos="9072"/>
        <w:tab w:val="right" w:pos="10206"/>
      </w:tabs>
      <w:ind w:left="1440" w:hanging="1440"/>
      <w:jc w:val="both"/>
    </w:pPr>
    <w:rPr>
      <w:rFonts w:ascii="Arial" w:hAnsi="Arial" w:eastAsia="Batang"/>
      <w:b/>
      <w:sz w:val="18"/>
      <w:lang w:eastAsia="en-US"/>
    </w:rPr>
  </w:style>
  <w:style w:type="paragraph" w:customStyle="1" w:styleId="256">
    <w:name w:val="text intend 3"/>
    <w:basedOn w:val="80"/>
    <w:qFormat/>
    <w:uiPriority w:val="0"/>
    <w:pPr>
      <w:numPr>
        <w:ilvl w:val="0"/>
        <w:numId w:val="16"/>
      </w:numPr>
      <w:overflowPunct w:val="0"/>
      <w:autoSpaceDE w:val="0"/>
      <w:autoSpaceDN w:val="0"/>
      <w:adjustRightInd w:val="0"/>
      <w:spacing w:after="120"/>
      <w:textAlignment w:val="baseline"/>
    </w:pPr>
    <w:rPr>
      <w:rFonts w:eastAsia="MS Mincho"/>
      <w:lang w:eastAsia="en-GB"/>
    </w:rPr>
  </w:style>
  <w:style w:type="paragraph" w:customStyle="1" w:styleId="257">
    <w:name w:val="MTDisplayEquation"/>
    <w:basedOn w:val="1"/>
    <w:next w:val="1"/>
    <w:link w:val="258"/>
    <w:qFormat/>
    <w:uiPriority w:val="0"/>
    <w:pPr>
      <w:tabs>
        <w:tab w:val="center" w:pos="4680"/>
        <w:tab w:val="right" w:pos="9360"/>
      </w:tabs>
      <w:spacing w:after="160" w:line="259" w:lineRule="auto"/>
    </w:pPr>
    <w:rPr>
      <w:rFonts w:asciiTheme="minorHAnsi" w:hAnsiTheme="minorHAnsi" w:eastAsiaTheme="minorEastAsia" w:cstheme="minorBidi"/>
      <w:sz w:val="22"/>
      <w:szCs w:val="22"/>
      <w:lang w:val="en-US" w:eastAsia="zh-CN"/>
    </w:rPr>
  </w:style>
  <w:style w:type="character" w:customStyle="1" w:styleId="258">
    <w:name w:val="MTDisplayEquation Char"/>
    <w:basedOn w:val="57"/>
    <w:link w:val="257"/>
    <w:qFormat/>
    <w:uiPriority w:val="0"/>
    <w:rPr>
      <w:rFonts w:asciiTheme="minorHAnsi" w:hAnsiTheme="minorHAnsi" w:eastAsiaTheme="minorEastAsia" w:cstheme="minorBidi"/>
      <w:sz w:val="22"/>
      <w:szCs w:val="22"/>
      <w:lang w:eastAsia="zh-CN"/>
    </w:rPr>
  </w:style>
  <w:style w:type="character" w:customStyle="1" w:styleId="259">
    <w:name w:val="EQ Char"/>
    <w:basedOn w:val="57"/>
    <w:link w:val="74"/>
    <w:qFormat/>
    <w:locked/>
    <w:uiPriority w:val="0"/>
    <w:rPr>
      <w:rFonts w:ascii="Times New Roman" w:hAnsi="Times New Roman" w:eastAsia="MS Gothic"/>
      <w:sz w:val="24"/>
      <w:lang w:val="en-GB"/>
    </w:rPr>
  </w:style>
  <w:style w:type="character" w:customStyle="1" w:styleId="260">
    <w:name w:val="未处理的提及1"/>
    <w:basedOn w:val="57"/>
    <w:semiHidden/>
    <w:unhideWhenUsed/>
    <w:qFormat/>
    <w:uiPriority w:val="99"/>
    <w:rPr>
      <w:color w:val="605E5C"/>
      <w:shd w:val="clear" w:color="auto" w:fill="E1DFDD"/>
    </w:rPr>
  </w:style>
  <w:style w:type="paragraph" w:customStyle="1" w:styleId="261">
    <w:name w:val="xmsonormal"/>
    <w:basedOn w:val="1"/>
    <w:qFormat/>
    <w:uiPriority w:val="0"/>
    <w:rPr>
      <w:rFonts w:ascii="宋体" w:hAnsi="宋体" w:eastAsia="宋体" w:cs="宋体"/>
      <w:szCs w:val="22"/>
      <w:lang w:val="en-US" w:eastAsia="zh-CN"/>
    </w:rPr>
  </w:style>
  <w:style w:type="paragraph" w:customStyle="1" w:styleId="262">
    <w:name w:val="bullet1"/>
    <w:basedOn w:val="1"/>
    <w:link w:val="263"/>
    <w:qFormat/>
    <w:uiPriority w:val="99"/>
    <w:pPr>
      <w:spacing w:line="252" w:lineRule="auto"/>
      <w:ind w:left="502" w:hanging="360"/>
      <w:jc w:val="both"/>
    </w:pPr>
    <w:rPr>
      <w:rFonts w:ascii="Times" w:hAnsi="Times" w:cs="Times" w:eastAsiaTheme="minorHAnsi"/>
      <w:sz w:val="22"/>
      <w:szCs w:val="22"/>
      <w:lang w:val="en-US" w:eastAsia="en-US"/>
    </w:rPr>
  </w:style>
  <w:style w:type="character" w:customStyle="1" w:styleId="263">
    <w:name w:val="bullet1 Char"/>
    <w:link w:val="262"/>
    <w:qFormat/>
    <w:uiPriority w:val="99"/>
    <w:rPr>
      <w:rFonts w:cs="Times" w:eastAsiaTheme="minorHAnsi"/>
      <w:sz w:val="22"/>
      <w:szCs w:val="22"/>
      <w:lang w:eastAsia="en-US"/>
    </w:rPr>
  </w:style>
  <w:style w:type="character" w:customStyle="1" w:styleId="264">
    <w:name w:val="@他1"/>
    <w:basedOn w:val="57"/>
    <w:unhideWhenUsed/>
    <w:qFormat/>
    <w:uiPriority w:val="99"/>
    <w:rPr>
      <w:color w:val="2B579A"/>
      <w:shd w:val="clear" w:color="auto" w:fill="E1DFDD"/>
    </w:rPr>
  </w:style>
  <w:style w:type="character" w:customStyle="1" w:styleId="265">
    <w:name w:val="Intense Emphasis1"/>
    <w:basedOn w:val="57"/>
    <w:qFormat/>
    <w:uiPriority w:val="21"/>
    <w:rPr>
      <w:i/>
      <w:iCs/>
      <w:color w:val="5B9BD5" w:themeColor="accent1"/>
      <w14:textFill>
        <w14:solidFill>
          <w14:schemeClr w14:val="accent1"/>
        </w14:solidFill>
      </w14:textFill>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3.xml"/><Relationship Id="rId98" Type="http://schemas.openxmlformats.org/officeDocument/2006/relationships/customXml" Target="../customXml/item2.xml"/><Relationship Id="rId97" Type="http://schemas.openxmlformats.org/officeDocument/2006/relationships/numbering" Target="numbering.xml"/><Relationship Id="rId96" Type="http://schemas.openxmlformats.org/officeDocument/2006/relationships/customXml" Target="../customXml/item1.xml"/><Relationship Id="rId95" Type="http://schemas.openxmlformats.org/officeDocument/2006/relationships/image" Target="media/image35.png"/><Relationship Id="rId94" Type="http://schemas.openxmlformats.org/officeDocument/2006/relationships/image" Target="media/image34.png"/><Relationship Id="rId93" Type="http://schemas.openxmlformats.org/officeDocument/2006/relationships/image" Target="media/image33.png"/><Relationship Id="rId92" Type="http://schemas.openxmlformats.org/officeDocument/2006/relationships/oleObject" Target="embeddings/oleObject51.bin"/><Relationship Id="rId91" Type="http://schemas.openxmlformats.org/officeDocument/2006/relationships/image" Target="media/image32.png"/><Relationship Id="rId90" Type="http://schemas.openxmlformats.org/officeDocument/2006/relationships/oleObject" Target="embeddings/oleObject50.bin"/><Relationship Id="rId9" Type="http://schemas.openxmlformats.org/officeDocument/2006/relationships/image" Target="media/image3.png"/><Relationship Id="rId89" Type="http://schemas.openxmlformats.org/officeDocument/2006/relationships/oleObject" Target="embeddings/oleObject49.bin"/><Relationship Id="rId88" Type="http://schemas.openxmlformats.org/officeDocument/2006/relationships/oleObject" Target="embeddings/oleObject48.bin"/><Relationship Id="rId87" Type="http://schemas.openxmlformats.org/officeDocument/2006/relationships/oleObject" Target="embeddings/oleObject47.bin"/><Relationship Id="rId86" Type="http://schemas.openxmlformats.org/officeDocument/2006/relationships/oleObject" Target="embeddings/oleObject46.bin"/><Relationship Id="rId85" Type="http://schemas.openxmlformats.org/officeDocument/2006/relationships/oleObject" Target="embeddings/oleObject45.bin"/><Relationship Id="rId84" Type="http://schemas.openxmlformats.org/officeDocument/2006/relationships/oleObject" Target="embeddings/oleObject44.bin"/><Relationship Id="rId83" Type="http://schemas.openxmlformats.org/officeDocument/2006/relationships/oleObject" Target="embeddings/oleObject43.bin"/><Relationship Id="rId82" Type="http://schemas.openxmlformats.org/officeDocument/2006/relationships/oleObject" Target="embeddings/oleObject42.bin"/><Relationship Id="rId81" Type="http://schemas.openxmlformats.org/officeDocument/2006/relationships/oleObject" Target="embeddings/oleObject41.bin"/><Relationship Id="rId80" Type="http://schemas.openxmlformats.org/officeDocument/2006/relationships/oleObject" Target="embeddings/oleObject40.bin"/><Relationship Id="rId8" Type="http://schemas.openxmlformats.org/officeDocument/2006/relationships/image" Target="media/image2.png"/><Relationship Id="rId79" Type="http://schemas.openxmlformats.org/officeDocument/2006/relationships/oleObject" Target="embeddings/oleObject39.bin"/><Relationship Id="rId78" Type="http://schemas.openxmlformats.org/officeDocument/2006/relationships/oleObject" Target="embeddings/oleObject38.bin"/><Relationship Id="rId77" Type="http://schemas.openxmlformats.org/officeDocument/2006/relationships/oleObject" Target="embeddings/oleObject37.bin"/><Relationship Id="rId76" Type="http://schemas.openxmlformats.org/officeDocument/2006/relationships/oleObject" Target="embeddings/oleObject36.bin"/><Relationship Id="rId75" Type="http://schemas.openxmlformats.org/officeDocument/2006/relationships/oleObject" Target="embeddings/oleObject35.bin"/><Relationship Id="rId74" Type="http://schemas.openxmlformats.org/officeDocument/2006/relationships/oleObject" Target="embeddings/oleObject34.bin"/><Relationship Id="rId73" Type="http://schemas.openxmlformats.org/officeDocument/2006/relationships/oleObject" Target="embeddings/oleObject33.bin"/><Relationship Id="rId72" Type="http://schemas.openxmlformats.org/officeDocument/2006/relationships/oleObject" Target="embeddings/oleObject32.bin"/><Relationship Id="rId71" Type="http://schemas.openxmlformats.org/officeDocument/2006/relationships/oleObject" Target="embeddings/oleObject31.bin"/><Relationship Id="rId70" Type="http://schemas.openxmlformats.org/officeDocument/2006/relationships/oleObject" Target="embeddings/oleObject30.bin"/><Relationship Id="rId7" Type="http://schemas.openxmlformats.org/officeDocument/2006/relationships/image" Target="media/image1.png"/><Relationship Id="rId69" Type="http://schemas.openxmlformats.org/officeDocument/2006/relationships/oleObject" Target="embeddings/oleObject29.bin"/><Relationship Id="rId68" Type="http://schemas.openxmlformats.org/officeDocument/2006/relationships/oleObject" Target="embeddings/oleObject28.bin"/><Relationship Id="rId67" Type="http://schemas.openxmlformats.org/officeDocument/2006/relationships/oleObject" Target="embeddings/oleObject27.bin"/><Relationship Id="rId66" Type="http://schemas.openxmlformats.org/officeDocument/2006/relationships/oleObject" Target="embeddings/oleObject26.bin"/><Relationship Id="rId65" Type="http://schemas.openxmlformats.org/officeDocument/2006/relationships/oleObject" Target="embeddings/oleObject25.bin"/><Relationship Id="rId64" Type="http://schemas.openxmlformats.org/officeDocument/2006/relationships/oleObject" Target="embeddings/oleObject24.bin"/><Relationship Id="rId63" Type="http://schemas.openxmlformats.org/officeDocument/2006/relationships/oleObject" Target="embeddings/oleObject23.bin"/><Relationship Id="rId62" Type="http://schemas.openxmlformats.org/officeDocument/2006/relationships/oleObject" Target="embeddings/oleObject22.bin"/><Relationship Id="rId61" Type="http://schemas.openxmlformats.org/officeDocument/2006/relationships/oleObject" Target="embeddings/oleObject21.bin"/><Relationship Id="rId60" Type="http://schemas.openxmlformats.org/officeDocument/2006/relationships/image" Target="media/image31.png"/><Relationship Id="rId6" Type="http://schemas.openxmlformats.org/officeDocument/2006/relationships/theme" Target="theme/theme1.xml"/><Relationship Id="rId59" Type="http://schemas.openxmlformats.org/officeDocument/2006/relationships/image" Target="media/image30.png"/><Relationship Id="rId58" Type="http://schemas.openxmlformats.org/officeDocument/2006/relationships/oleObject" Target="embeddings/oleObject20.bin"/><Relationship Id="rId57" Type="http://schemas.openxmlformats.org/officeDocument/2006/relationships/oleObject" Target="embeddings/oleObject19.bin"/><Relationship Id="rId56" Type="http://schemas.openxmlformats.org/officeDocument/2006/relationships/oleObject" Target="embeddings/oleObject18.bin"/><Relationship Id="rId55" Type="http://schemas.openxmlformats.org/officeDocument/2006/relationships/oleObject" Target="embeddings/oleObject17.bin"/><Relationship Id="rId54" Type="http://schemas.openxmlformats.org/officeDocument/2006/relationships/oleObject" Target="embeddings/oleObject16.bin"/><Relationship Id="rId53" Type="http://schemas.openxmlformats.org/officeDocument/2006/relationships/oleObject" Target="embeddings/oleObject15.bin"/><Relationship Id="rId52" Type="http://schemas.openxmlformats.org/officeDocument/2006/relationships/oleObject" Target="embeddings/oleObject14.bin"/><Relationship Id="rId51" Type="http://schemas.openxmlformats.org/officeDocument/2006/relationships/oleObject" Target="embeddings/oleObject13.bin"/><Relationship Id="rId50" Type="http://schemas.openxmlformats.org/officeDocument/2006/relationships/oleObject" Target="embeddings/oleObject12.bin"/><Relationship Id="rId5" Type="http://schemas.openxmlformats.org/officeDocument/2006/relationships/footer" Target="footer3.xml"/><Relationship Id="rId49" Type="http://schemas.openxmlformats.org/officeDocument/2006/relationships/oleObject" Target="embeddings/oleObject11.bin"/><Relationship Id="rId48" Type="http://schemas.openxmlformats.org/officeDocument/2006/relationships/image" Target="media/image29.wmf"/><Relationship Id="rId47" Type="http://schemas.openxmlformats.org/officeDocument/2006/relationships/oleObject" Target="embeddings/oleObject10.bin"/><Relationship Id="rId46" Type="http://schemas.openxmlformats.org/officeDocument/2006/relationships/image" Target="media/image28.wmf"/><Relationship Id="rId45" Type="http://schemas.openxmlformats.org/officeDocument/2006/relationships/oleObject" Target="embeddings/oleObject9.bin"/><Relationship Id="rId44" Type="http://schemas.openxmlformats.org/officeDocument/2006/relationships/image" Target="media/image27.wmf"/><Relationship Id="rId43" Type="http://schemas.openxmlformats.org/officeDocument/2006/relationships/oleObject" Target="embeddings/oleObject8.bin"/><Relationship Id="rId42" Type="http://schemas.openxmlformats.org/officeDocument/2006/relationships/image" Target="media/image26.wmf"/><Relationship Id="rId41" Type="http://schemas.openxmlformats.org/officeDocument/2006/relationships/oleObject" Target="embeddings/oleObject7.bin"/><Relationship Id="rId40" Type="http://schemas.openxmlformats.org/officeDocument/2006/relationships/image" Target="media/image25.wmf"/><Relationship Id="rId4" Type="http://schemas.openxmlformats.org/officeDocument/2006/relationships/footer" Target="footer2.xml"/><Relationship Id="rId39" Type="http://schemas.openxmlformats.org/officeDocument/2006/relationships/oleObject" Target="embeddings/oleObject6.bin"/><Relationship Id="rId38" Type="http://schemas.openxmlformats.org/officeDocument/2006/relationships/image" Target="media/image24.wmf"/><Relationship Id="rId37" Type="http://schemas.openxmlformats.org/officeDocument/2006/relationships/oleObject" Target="embeddings/oleObject5.bin"/><Relationship Id="rId36" Type="http://schemas.openxmlformats.org/officeDocument/2006/relationships/image" Target="media/image23.wmf"/><Relationship Id="rId35" Type="http://schemas.openxmlformats.org/officeDocument/2006/relationships/oleObject" Target="embeddings/oleObject4.bin"/><Relationship Id="rId34" Type="http://schemas.openxmlformats.org/officeDocument/2006/relationships/image" Target="media/image22.wmf"/><Relationship Id="rId33" Type="http://schemas.openxmlformats.org/officeDocument/2006/relationships/oleObject" Target="embeddings/oleObject3.bin"/><Relationship Id="rId32" Type="http://schemas.openxmlformats.org/officeDocument/2006/relationships/image" Target="media/image21.wmf"/><Relationship Id="rId31" Type="http://schemas.openxmlformats.org/officeDocument/2006/relationships/oleObject" Target="embeddings/oleObject2.bin"/><Relationship Id="rId30" Type="http://schemas.openxmlformats.org/officeDocument/2006/relationships/image" Target="media/image20.wmf"/><Relationship Id="rId3" Type="http://schemas.openxmlformats.org/officeDocument/2006/relationships/footer" Target="footer1.xml"/><Relationship Id="rId29" Type="http://schemas.openxmlformats.org/officeDocument/2006/relationships/oleObject" Target="embeddings/oleObject1.bin"/><Relationship Id="rId28" Type="http://schemas.openxmlformats.org/officeDocument/2006/relationships/image" Target="media/image19.png"/><Relationship Id="rId27" Type="http://schemas.openxmlformats.org/officeDocument/2006/relationships/image" Target="media/image18.wmf"/><Relationship Id="rId26" Type="http://schemas.openxmlformats.org/officeDocument/2006/relationships/chart" Target="charts/chart2.xml"/><Relationship Id="rId25" Type="http://schemas.openxmlformats.org/officeDocument/2006/relationships/chart" Target="charts/chart1.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emf"/><Relationship Id="rId14" Type="http://schemas.openxmlformats.org/officeDocument/2006/relationships/image" Target="media/image7.emf"/><Relationship Id="rId13" Type="http://schemas.openxmlformats.org/officeDocument/2006/relationships/image" Target="cid:image002.png@01DB0FF6.816FF090" TargetMode="External"/><Relationship Id="rId12" Type="http://schemas.openxmlformats.org/officeDocument/2006/relationships/image" Target="media/image6.png"/><Relationship Id="rId11" Type="http://schemas.openxmlformats.org/officeDocument/2006/relationships/image" Target="media/image5.png"/><Relationship Id="rId101" Type="http://schemas.openxmlformats.org/officeDocument/2006/relationships/fontTable" Target="fontTable.xml"/><Relationship Id="rId100" Type="http://schemas.openxmlformats.org/officeDocument/2006/relationships/customXml" Target="../customXml/item4.xml"/><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dLbls>
            <c:delete val="1"/>
          </c:dLbls>
          <c:xVal>
            <c:numRef>
              <c:f>Results_msnRT!$D$21:$D$24</c:f>
              <c:numCache>
                <c:formatCode>0.0%</c:formatCode>
                <c:ptCount val="4"/>
                <c:pt idx="0">
                  <c:v>0.0796054669741673</c:v>
                </c:pt>
                <c:pt idx="1">
                  <c:v>0.104345295644381</c:v>
                </c:pt>
                <c:pt idx="2">
                  <c:v>0.195304183969569</c:v>
                </c:pt>
                <c:pt idx="3">
                  <c:v>0.245829999576592</c:v>
                </c:pt>
              </c:numCache>
            </c:numRef>
          </c:xVal>
          <c:yVal>
            <c:numRef>
              <c:f>Results_msnRT!$J$2:$J$5</c:f>
              <c:numCache>
                <c:formatCode>0.0</c:formatCode>
                <c:ptCount val="4"/>
                <c:pt idx="0">
                  <c:v>5.00928694652099</c:v>
                </c:pt>
                <c:pt idx="1">
                  <c:v>5.00928694652099</c:v>
                </c:pt>
                <c:pt idx="2">
                  <c:v>5.00928694652099</c:v>
                </c:pt>
                <c:pt idx="3">
                  <c:v>5.00928694652099</c:v>
                </c:pt>
              </c:numCache>
            </c:numRef>
          </c:yVal>
          <c:smooth val="0"/>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dLbls>
            <c:delete val="1"/>
          </c:dLbls>
          <c:xVal>
            <c:numRef>
              <c:f>Results_msnRT!$G$21:$G$24</c:f>
              <c:numCache>
                <c:formatCode>0.0%</c:formatCode>
                <c:ptCount val="4"/>
                <c:pt idx="0">
                  <c:v>0.0885259632782079</c:v>
                </c:pt>
                <c:pt idx="1">
                  <c:v>0.101205585295956</c:v>
                </c:pt>
                <c:pt idx="2">
                  <c:v>0.186284790293107</c:v>
                </c:pt>
                <c:pt idx="3">
                  <c:v>0.347243949649618</c:v>
                </c:pt>
              </c:numCache>
            </c:numRef>
          </c:xVal>
          <c:yVal>
            <c:numRef>
              <c:f>Results_msnRT!$J$7:$J$10</c:f>
              <c:numCache>
                <c:formatCode>0.0</c:formatCode>
                <c:ptCount val="4"/>
                <c:pt idx="0">
                  <c:v>5.30767682576193</c:v>
                </c:pt>
                <c:pt idx="1">
                  <c:v>6.54519838987924</c:v>
                </c:pt>
                <c:pt idx="2">
                  <c:v>9.99249568717654</c:v>
                </c:pt>
                <c:pt idx="3">
                  <c:v>13.6681138585394</c:v>
                </c:pt>
              </c:numCache>
            </c:numRef>
          </c:yVal>
          <c:smooth val="0"/>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Results_msnRT!$J$21:$J$24</c:f>
              <c:numCache>
                <c:formatCode>0.0%</c:formatCode>
                <c:ptCount val="4"/>
                <c:pt idx="0">
                  <c:v>0.0782419057778388</c:v>
                </c:pt>
                <c:pt idx="1">
                  <c:v>0.0993297205462134</c:v>
                </c:pt>
                <c:pt idx="2">
                  <c:v>0.175224532313161</c:v>
                </c:pt>
                <c:pt idx="3">
                  <c:v>0.305125005572834</c:v>
                </c:pt>
              </c:numCache>
            </c:numRef>
          </c:xVal>
          <c:yVal>
            <c:numRef>
              <c:f>Results_msnRT!$J$11:$J$14</c:f>
              <c:numCache>
                <c:formatCode>0.0</c:formatCode>
                <c:ptCount val="4"/>
                <c:pt idx="0">
                  <c:v>5.00928694652099</c:v>
                </c:pt>
                <c:pt idx="1">
                  <c:v>5.00928694652099</c:v>
                </c:pt>
                <c:pt idx="2">
                  <c:v>5.00928694652099</c:v>
                </c:pt>
                <c:pt idx="3">
                  <c:v>5.00928694652099</c:v>
                </c:pt>
              </c:numCache>
            </c:numRef>
          </c:yVal>
          <c:smooth val="0"/>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14168000"/>
        <c:crosses val="autoZero"/>
        <c:crossBetween val="midCat"/>
      </c:valAx>
    </c:plotArea>
    <c:legend>
      <c:legendPos val="l"/>
      <c:layout>
        <c:manualLayout>
          <c:xMode val="edge"/>
          <c:yMode val="edge"/>
          <c:x val="0.20016339869281"/>
          <c:y val="0.0266262029746282"/>
          <c:w val="0.467280376717616"/>
          <c:h val="0.206006853310003"/>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p>
      </c:txPr>
    </c:legend>
    <c:plotVisOnly val="1"/>
    <c:dispBlanksAs val="gap"/>
    <c:showDLblsOverMax val="0"/>
  </c:chart>
  <c:spPr>
    <a:ln w="6350"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dLbls>
            <c:delete val="1"/>
          </c:dLbls>
          <c:xVal>
            <c:numRef>
              <c:f>Results_msnRT!$D$21:$D$24</c:f>
              <c:numCache>
                <c:formatCode>0.0%</c:formatCode>
                <c:ptCount val="4"/>
                <c:pt idx="0">
                  <c:v>0.0796054669741673</c:v>
                </c:pt>
                <c:pt idx="1">
                  <c:v>0.104345295644381</c:v>
                </c:pt>
                <c:pt idx="2">
                  <c:v>0.195304183969569</c:v>
                </c:pt>
                <c:pt idx="3">
                  <c:v>0.245829999576592</c:v>
                </c:pt>
              </c:numCache>
            </c:numRef>
          </c:xVal>
          <c:yVal>
            <c:numRef>
              <c:f>Results_msnRT!$E$21:$E$24</c:f>
              <c:numCache>
                <c:formatCode>0.0</c:formatCode>
                <c:ptCount val="4"/>
                <c:pt idx="0">
                  <c:v>7.95691278493558</c:v>
                </c:pt>
                <c:pt idx="1">
                  <c:v>9.16333002973241</c:v>
                </c:pt>
                <c:pt idx="2">
                  <c:v>10.1655104063429</c:v>
                </c:pt>
                <c:pt idx="3">
                  <c:v>10.6495787908821</c:v>
                </c:pt>
              </c:numCache>
            </c:numRef>
          </c:yVal>
          <c:smooth val="0"/>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dLbls>
            <c:delete val="1"/>
          </c:dLbls>
          <c:xVal>
            <c:numRef>
              <c:f>Results_msnRT!$G$21:$G$24</c:f>
              <c:numCache>
                <c:formatCode>0.0%</c:formatCode>
                <c:ptCount val="4"/>
                <c:pt idx="0">
                  <c:v>0.0885259632782079</c:v>
                </c:pt>
                <c:pt idx="1">
                  <c:v>0.101205585295956</c:v>
                </c:pt>
                <c:pt idx="2">
                  <c:v>0.186284790293107</c:v>
                </c:pt>
                <c:pt idx="3">
                  <c:v>0.347243949649618</c:v>
                </c:pt>
              </c:numCache>
            </c:numRef>
          </c:xVal>
          <c:yVal>
            <c:numRef>
              <c:f>Results_msnRT!$H$21:$H$24</c:f>
              <c:numCache>
                <c:formatCode>0.0</c:formatCode>
                <c:ptCount val="4"/>
                <c:pt idx="0">
                  <c:v>8.77177898909812</c:v>
                </c:pt>
                <c:pt idx="1">
                  <c:v>10.9179633300297</c:v>
                </c:pt>
                <c:pt idx="2">
                  <c:v>14.8435332011893</c:v>
                </c:pt>
                <c:pt idx="3">
                  <c:v>22.3468037661051</c:v>
                </c:pt>
              </c:numCache>
            </c:numRef>
          </c:yVal>
          <c:smooth val="0"/>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Results_msnRT!$J$21:$J$24</c:f>
              <c:numCache>
                <c:formatCode>0.0%</c:formatCode>
                <c:ptCount val="4"/>
                <c:pt idx="0">
                  <c:v>0.0782419057778388</c:v>
                </c:pt>
                <c:pt idx="1">
                  <c:v>0.0993297205462134</c:v>
                </c:pt>
                <c:pt idx="2">
                  <c:v>0.175224532313161</c:v>
                </c:pt>
                <c:pt idx="3">
                  <c:v>0.305125005572834</c:v>
                </c:pt>
              </c:numCache>
            </c:numRef>
          </c:xVal>
          <c:yVal>
            <c:numRef>
              <c:f>Results_msnRT!$K$21:$K$24</c:f>
              <c:numCache>
                <c:formatCode>0.0</c:formatCode>
                <c:ptCount val="4"/>
                <c:pt idx="0">
                  <c:v>8.35800297324083</c:v>
                </c:pt>
                <c:pt idx="1">
                  <c:v>9.28099603567889</c:v>
                </c:pt>
                <c:pt idx="2">
                  <c:v>10.1565659068385</c:v>
                </c:pt>
                <c:pt idx="3">
                  <c:v>13.1426412289395</c:v>
                </c:pt>
              </c:numCache>
            </c:numRef>
          </c:yVal>
          <c:smooth val="0"/>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08551456"/>
        <c:crosses val="autoZero"/>
        <c:crossBetween val="midCat"/>
      </c:valAx>
    </c:plotArea>
    <c:legend>
      <c:legendPos val="l"/>
      <c:layout>
        <c:manualLayout>
          <c:xMode val="edge"/>
          <c:yMode val="edge"/>
          <c:x val="0.198438706191138"/>
          <c:y val="0.0413517060367454"/>
          <c:w val="0.467280376717616"/>
          <c:h val="0.206006853310003"/>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p>
      </c:txPr>
    </c:legend>
    <c:plotVisOnly val="1"/>
    <c:dispBlanksAs val="gap"/>
    <c:showDLblsOverMax val="0"/>
  </c:chart>
  <c:spPr>
    <a:ln w="6350" cap="flat" cmpd="sng" algn="ctr">
      <a:no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5890F1-0F49-4586-89ED-14E6FA92696E}">
  <ds:schemaRefs/>
</ds:datastoreItem>
</file>

<file path=customXml/itemProps3.xml><?xml version="1.0" encoding="utf-8"?>
<ds:datastoreItem xmlns:ds="http://schemas.openxmlformats.org/officeDocument/2006/customXml" ds:itemID="{2AF1E149-6F12-4D7D-A3A7-2764EE4E9F6B}">
  <ds:schemaRefs/>
</ds:datastoreItem>
</file>

<file path=customXml/itemProps4.xml><?xml version="1.0" encoding="utf-8"?>
<ds:datastoreItem xmlns:ds="http://schemas.openxmlformats.org/officeDocument/2006/customXml" ds:itemID="{8F066B6B-A3BC-4852-A548-1EFB79FDCEA7}">
  <ds:schemaRefs/>
</ds:datastoreItem>
</file>

<file path=docProps/app.xml><?xml version="1.0" encoding="utf-8"?>
<Properties xmlns="http://schemas.openxmlformats.org/officeDocument/2006/extended-properties" xmlns:vt="http://schemas.openxmlformats.org/officeDocument/2006/docPropsVTypes">
  <Template>Normal.dotm</Template>
  <Pages>69</Pages>
  <Words>34641</Words>
  <Characters>161091</Characters>
  <Lines>1354</Lines>
  <Paragraphs>385</Paragraphs>
  <TotalTime>0</TotalTime>
  <ScaleCrop>false</ScaleCrop>
  <LinksUpToDate>false</LinksUpToDate>
  <CharactersWithSpaces>190566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2024-10-14T10:12:00Z</dcterms:created>
  <dc:creator>Haruhi Echigo (越後 春陽)</dc:creator>
  <cp:lastModifiedBy>Gao Qiubin</cp:lastModifiedBy>
  <dcterms:modified xsi:type="dcterms:W3CDTF">2024-10-14T11:06:33Z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1728374237</vt:lpwstr>
  </property>
  <property fmtid="{D5CDD505-2E9C-101B-9397-08002B2CF9AE}" pid="16" name="ClassificationContentMarkingFooterShapeIds">
    <vt:lpwstr>bea1636,2978309c,2f510007</vt:lpwstr>
  </property>
  <property fmtid="{D5CDD505-2E9C-101B-9397-08002B2CF9AE}" pid="17" name="ClassificationContentMarkingFooterFontProps">
    <vt:lpwstr>#ed7d31,8,Helvetica 75 Bold</vt:lpwstr>
  </property>
  <property fmtid="{D5CDD505-2E9C-101B-9397-08002B2CF9AE}" pid="18" name="ClassificationContentMarkingFooterText">
    <vt:lpwstr>Orange Restricted</vt:lpwstr>
  </property>
  <property fmtid="{D5CDD505-2E9C-101B-9397-08002B2CF9AE}" pid="19" name="CWM4c06548089f911ef8000675e0000665e">
    <vt:lpwstr>CWMa7BPmERzoA5bN6qjF4b9ZpFbPPBEU1KtWu/j/y34Xjtv/V5fV9s9kuN/nkN0S1IzMdLp2wnb1QfcgnkoqeToNg==</vt:lpwstr>
  </property>
  <property fmtid="{D5CDD505-2E9C-101B-9397-08002B2CF9AE}" pid="20" name="KSOProductBuildVer">
    <vt:lpwstr>2052-12.1.0.18276</vt:lpwstr>
  </property>
  <property fmtid="{D5CDD505-2E9C-101B-9397-08002B2CF9AE}" pid="21" name="ICV">
    <vt:lpwstr>6BF4C3A47A38483796C7DAC363D55804_13</vt:lpwstr>
  </property>
</Properties>
</file>