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宋体"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w:t>
      </w:r>
      <w:proofErr w:type="spellStart"/>
      <w:r w:rsidR="00FD4C48" w:rsidRPr="00EF4C7E">
        <w:rPr>
          <w:rFonts w:eastAsia="MS Mincho" w:cs="Batang"/>
          <w:sz w:val="22"/>
          <w:szCs w:val="22"/>
        </w:rPr>
        <w:t>HiSilicon</w:t>
      </w:r>
      <w:proofErr w:type="spellEnd"/>
      <w:r w:rsidR="00FD4C48" w:rsidRPr="00EF4C7E">
        <w:rPr>
          <w:rFonts w:eastAsia="MS Mincho" w:cs="Batang"/>
          <w:sz w:val="22"/>
          <w:szCs w:val="22"/>
        </w:rPr>
        <w:t xml:space="preserve">,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w:t>
                  </w:r>
                  <w:proofErr w:type="spellStart"/>
                  <w:r w:rsidRPr="00461871">
                    <w:rPr>
                      <w:sz w:val="22"/>
                      <w:lang w:val="en-US"/>
                    </w:rPr>
                    <w:t>BeamIndex</w:t>
                  </w:r>
                  <w:proofErr w:type="spellEnd"/>
                  <w:r w:rsidRPr="00461871">
                    <w:rPr>
                      <w:sz w:val="22"/>
                      <w:lang w:val="en-US"/>
                    </w:rPr>
                    <w:t xml:space="preserve">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宋体"/>
                      <w:i/>
                      <w:sz w:val="20"/>
                      <w:lang w:eastAsia="en-US"/>
                    </w:rPr>
                    <w:t>spatialRelationInfoPos</w:t>
                  </w:r>
                  <w:proofErr w:type="spellEnd"/>
                  <w:r w:rsidRPr="00461871">
                    <w:rPr>
                      <w:rFonts w:eastAsia="宋体"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宋体"/>
                      <w:color w:val="FF0000"/>
                      <w:sz w:val="20"/>
                      <w:lang w:val="en-US" w:eastAsia="zh-CN"/>
                    </w:rPr>
                  </w:pPr>
                  <w:r w:rsidRPr="00461871">
                    <w:rPr>
                      <w:rFonts w:eastAsia="宋体"/>
                      <w:color w:val="FF0000"/>
                      <w:sz w:val="20"/>
                      <w:lang w:val="en-US" w:eastAsia="zh-CN"/>
                    </w:rPr>
                    <w:t xml:space="preserve">Subject to UE capability, the UE may be provided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宋体"/>
                      <w:color w:val="FF0000"/>
                      <w:sz w:val="20"/>
                      <w:lang w:eastAsia="en-US"/>
                    </w:rPr>
                  </w:pPr>
                  <w:r w:rsidRPr="00461871">
                    <w:rPr>
                      <w:rFonts w:eastAsia="宋体"/>
                      <w:color w:val="FF0000"/>
                      <w:sz w:val="20"/>
                      <w:szCs w:val="22"/>
                      <w:lang w:val="en-US" w:eastAsia="en-US"/>
                    </w:rPr>
                    <w:t>-</w:t>
                  </w:r>
                  <w:r w:rsidRPr="00461871">
                    <w:rPr>
                      <w:rFonts w:eastAsia="宋体"/>
                      <w:color w:val="FF0000"/>
                      <w:sz w:val="20"/>
                      <w:szCs w:val="22"/>
                      <w:lang w:val="en-US" w:eastAsia="en-US"/>
                    </w:rPr>
                    <w:tab/>
                  </w:r>
                  <w:r w:rsidRPr="00461871">
                    <w:rPr>
                      <w:rFonts w:eastAsia="宋体"/>
                      <w:color w:val="FF0000"/>
                      <w:sz w:val="20"/>
                      <w:lang w:val="en-US" w:eastAsia="zh-CN"/>
                    </w:rPr>
                    <w:t xml:space="preserve">If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1, the UE is expected to use the same spatial domain transmission filter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an 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76BBC9EE" w14:textId="77777777" w:rsidR="00466491" w:rsidRPr="00461871" w:rsidRDefault="00466491" w:rsidP="00EF1E41">
                  <w:pPr>
                    <w:ind w:left="568" w:hanging="284"/>
                    <w:rPr>
                      <w:rFonts w:eastAsia="宋体"/>
                      <w:color w:val="FF0000"/>
                      <w:sz w:val="20"/>
                      <w:lang w:val="en-US" w:eastAsia="zh-CN"/>
                    </w:rPr>
                  </w:pPr>
                  <w:r w:rsidRPr="00461871">
                    <w:rPr>
                      <w:rFonts w:eastAsia="宋体"/>
                      <w:color w:val="FF0000"/>
                      <w:sz w:val="20"/>
                      <w:lang w:eastAsia="en-US"/>
                    </w:rPr>
                    <w:t>-</w:t>
                  </w:r>
                  <w:r w:rsidRPr="00461871">
                    <w:rPr>
                      <w:rFonts w:eastAsia="宋体"/>
                      <w:color w:val="FF0000"/>
                      <w:sz w:val="20"/>
                      <w:lang w:eastAsia="en-US"/>
                    </w:rPr>
                    <w:tab/>
                  </w:r>
                  <w:r w:rsidRPr="00461871">
                    <w:rPr>
                      <w:rFonts w:eastAsia="宋体"/>
                      <w:color w:val="FF0000"/>
                      <w:sz w:val="20"/>
                      <w:lang w:eastAsia="zh-CN"/>
                    </w:rPr>
                    <w:t>I</w:t>
                  </w:r>
                  <w:r w:rsidRPr="00461871">
                    <w:rPr>
                      <w:rFonts w:eastAsia="宋体"/>
                      <w:color w:val="FF0000"/>
                      <w:sz w:val="20"/>
                      <w:lang w:eastAsia="en-US"/>
                    </w:rPr>
                    <w:t>f</w:t>
                  </w:r>
                  <w:r w:rsidRPr="00461871">
                    <w:rPr>
                      <w:rFonts w:eastAsia="宋体"/>
                      <w:i/>
                      <w:color w:val="FF0000"/>
                      <w:sz w:val="20"/>
                      <w:lang w:val="en-US" w:eastAsia="zh-CN"/>
                    </w:rPr>
                    <w:t xml:space="preserve">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0, the UE is expected to use different spatial domain transmission filters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 xml:space="preserve">an </w:t>
                  </w:r>
                  <w:r w:rsidRPr="00461871">
                    <w:rPr>
                      <w:rFonts w:eastAsia="宋体"/>
                      <w:color w:val="FF0000"/>
                      <w:sz w:val="20"/>
                      <w:lang w:val="en-US" w:eastAsia="zh-CN"/>
                    </w:rPr>
                    <w:lastRenderedPageBreak/>
                    <w:t>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宋体"/>
                      <w:sz w:val="22"/>
                      <w:lang w:val="en-US" w:eastAsia="zh-CN"/>
                    </w:rPr>
                  </w:pPr>
                  <w:r>
                    <w:rPr>
                      <w:rFonts w:eastAsia="宋体"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宋体"/>
                      <w:sz w:val="22"/>
                      <w:lang w:val="en-US" w:eastAsia="zh-CN"/>
                    </w:rPr>
                  </w:pPr>
                  <w:r>
                    <w:rPr>
                      <w:rFonts w:eastAsia="宋体"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宋体"/>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宋体"/>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宋体"/>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宋体"/>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EF1E41">
                  <w:pPr>
                    <w:spacing w:afterLines="50" w:after="120"/>
                    <w:jc w:val="both"/>
                    <w:rPr>
                      <w:rFonts w:eastAsia="宋体"/>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宋体"/>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宋体"/>
                <w:color w:val="FF0000"/>
                <w:sz w:val="20"/>
                <w:lang w:eastAsia="zh-CN"/>
              </w:rPr>
            </w:pPr>
            <w:r>
              <w:rPr>
                <w:rFonts w:eastAsia="宋体"/>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宋体" w:hAnsi="Arial"/>
                <w:lang w:val="en-US" w:eastAsia="en-US"/>
              </w:rPr>
            </w:pPr>
            <w:r>
              <w:rPr>
                <w:rFonts w:ascii="Arial" w:eastAsia="宋体" w:hAnsi="Arial"/>
                <w:lang w:val="en-US" w:eastAsia="en-US"/>
              </w:rPr>
              <w:t>6.2.1.4</w:t>
            </w:r>
            <w:r>
              <w:rPr>
                <w:rFonts w:ascii="Arial" w:eastAsia="宋体" w:hAnsi="Arial"/>
                <w:lang w:val="en-US" w:eastAsia="en-US"/>
              </w:rPr>
              <w:tab/>
              <w:t>UE sounding procedure for positioning purposes</w:t>
            </w:r>
          </w:p>
          <w:p w14:paraId="4377D1CE" w14:textId="77777777" w:rsidR="00FF3D3B" w:rsidRDefault="00FF3D3B" w:rsidP="00EF1E41">
            <w:pPr>
              <w:rPr>
                <w:rFonts w:eastAsia="宋体"/>
                <w:sz w:val="20"/>
                <w:lang w:eastAsia="en-US"/>
              </w:rPr>
            </w:pPr>
            <w:r>
              <w:rPr>
                <w:rFonts w:eastAsia="宋体"/>
                <w:sz w:val="20"/>
                <w:lang w:eastAsia="en-US"/>
              </w:rPr>
              <w:t xml:space="preserve">When the SRS is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and if the higher layer parameter </w:t>
            </w:r>
            <w:proofErr w:type="spellStart"/>
            <w:r>
              <w:rPr>
                <w:rFonts w:eastAsia="宋体"/>
                <w:i/>
                <w:sz w:val="20"/>
                <w:lang w:eastAsia="en-US"/>
              </w:rPr>
              <w:t>spatialRelationInfoPos</w:t>
            </w:r>
            <w:proofErr w:type="spellEnd"/>
            <w:r>
              <w:rPr>
                <w:rFonts w:eastAsia="宋体"/>
                <w:i/>
                <w:sz w:val="20"/>
                <w:lang w:eastAsia="en-US"/>
              </w:rPr>
              <w:t xml:space="preserve"> </w:t>
            </w:r>
            <w:r>
              <w:rPr>
                <w:rFonts w:eastAsia="宋体"/>
                <w:sz w:val="20"/>
                <w:lang w:eastAsia="en-US"/>
              </w:rPr>
              <w:t>is configured</w:t>
            </w:r>
            <w:r>
              <w:rPr>
                <w:rFonts w:eastAsia="宋体"/>
                <w:i/>
                <w:sz w:val="20"/>
                <w:lang w:eastAsia="en-US"/>
              </w:rPr>
              <w:t xml:space="preserve">, </w:t>
            </w:r>
            <w:r>
              <w:rPr>
                <w:rFonts w:eastAsia="宋体"/>
                <w:sz w:val="20"/>
                <w:lang w:eastAsia="en-US"/>
              </w:rPr>
              <w:t xml:space="preserve">it contains the ID of the configuration fields of a reference RS according to Clause 6.3.2 of [TS 38.331]. The reference RS can be an SRS configured by the higher layer parameter </w:t>
            </w:r>
            <w:r>
              <w:rPr>
                <w:rFonts w:eastAsia="宋体"/>
                <w:i/>
                <w:iCs/>
                <w:sz w:val="20"/>
                <w:lang w:eastAsia="en-US"/>
              </w:rPr>
              <w:t>SRS-Resource</w:t>
            </w:r>
            <w:r>
              <w:rPr>
                <w:rFonts w:eastAsia="宋体"/>
                <w:sz w:val="20"/>
                <w:lang w:eastAsia="en-US"/>
              </w:rPr>
              <w:t xml:space="preserve"> or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CSI-RS, SS/PBCH block, or a DL PRS configured on a serving cell or a SS/PBCH block or a DL PRS configured on a non-serving cell. If the UE is configured for transmission of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in RRC_INACTIVE mode, the configured </w:t>
            </w:r>
            <w:proofErr w:type="spellStart"/>
            <w:r>
              <w:rPr>
                <w:rFonts w:eastAsia="宋体"/>
                <w:i/>
                <w:sz w:val="20"/>
                <w:lang w:eastAsia="en-US"/>
              </w:rPr>
              <w:t>spatialRelationInfoPos</w:t>
            </w:r>
            <w:proofErr w:type="spellEnd"/>
            <w:r>
              <w:rPr>
                <w:rFonts w:eastAsia="宋体"/>
                <w:sz w:val="20"/>
                <w:lang w:eastAsia="en-US"/>
              </w:rPr>
              <w:t xml:space="preserve"> is also applicable.</w:t>
            </w:r>
          </w:p>
          <w:p w14:paraId="66B89A49" w14:textId="77777777" w:rsidR="00FF3D3B" w:rsidRDefault="00FF3D3B" w:rsidP="00EF1E41">
            <w:pPr>
              <w:rPr>
                <w:rFonts w:eastAsia="宋体"/>
                <w:sz w:val="20"/>
                <w:lang w:val="en-US" w:eastAsia="en-US"/>
              </w:rPr>
            </w:pPr>
            <w:r>
              <w:rPr>
                <w:rFonts w:eastAsia="宋体"/>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宋体"/>
                <w:sz w:val="20"/>
                <w:lang w:val="en-US" w:eastAsia="en-US"/>
              </w:rPr>
            </w:pPr>
            <w:r>
              <w:rPr>
                <w:rFonts w:eastAsia="宋体"/>
                <w:sz w:val="20"/>
                <w:lang w:val="en-US" w:eastAsia="en-US"/>
              </w:rPr>
              <w:t xml:space="preserve">If the UE is not configured with the higher layer parameter </w:t>
            </w:r>
            <w:proofErr w:type="spellStart"/>
            <w:r>
              <w:rPr>
                <w:rFonts w:eastAsia="宋体"/>
                <w:i/>
                <w:sz w:val="20"/>
                <w:lang w:eastAsia="en-US"/>
              </w:rPr>
              <w:t>spatialRelationInfoPos</w:t>
            </w:r>
            <w:proofErr w:type="spellEnd"/>
            <w:r>
              <w:rPr>
                <w:rFonts w:eastAsia="宋体"/>
                <w:sz w:val="20"/>
                <w:lang w:val="en-US" w:eastAsia="en-US"/>
              </w:rPr>
              <w:t xml:space="preserve"> the UE may use a fixed spatial domain transmission filter for transmissions of the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宋体"/>
                <w:sz w:val="20"/>
                <w:lang w:val="en-US" w:eastAsia="en-US"/>
              </w:rPr>
            </w:pPr>
            <w:r>
              <w:rPr>
                <w:rFonts w:eastAsia="宋体"/>
                <w:sz w:val="20"/>
                <w:szCs w:val="16"/>
                <w:lang w:val="en-US" w:eastAsia="zh-CN"/>
              </w:rPr>
              <w:t>I</w:t>
            </w:r>
            <w:r>
              <w:rPr>
                <w:rFonts w:eastAsia="宋体"/>
                <w:sz w:val="20"/>
                <w:szCs w:val="16"/>
                <w:lang w:val="en-US" w:eastAsia="en-US"/>
              </w:rPr>
              <w:t>n RRC_CONNECTED mode, t</w:t>
            </w:r>
            <w:r>
              <w:rPr>
                <w:rFonts w:eastAsia="宋体"/>
                <w:sz w:val="20"/>
                <w:lang w:val="en-US" w:eastAsia="en-US"/>
              </w:rPr>
              <w:t xml:space="preserve">he UE is only expected to transmit an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within the active UL BWP of the UE.</w:t>
            </w:r>
          </w:p>
          <w:p w14:paraId="4D7F0128" w14:textId="77777777" w:rsidR="00FF3D3B" w:rsidRDefault="00FF3D3B" w:rsidP="00EF1E41">
            <w:pPr>
              <w:rPr>
                <w:rFonts w:eastAsia="宋体"/>
                <w:sz w:val="20"/>
                <w:lang w:val="en-US" w:eastAsia="en-US"/>
              </w:rPr>
            </w:pPr>
            <w:r>
              <w:rPr>
                <w:rFonts w:eastAsia="宋体"/>
                <w:sz w:val="20"/>
                <w:lang w:val="en-US" w:eastAsia="en-US"/>
              </w:rPr>
              <w:t xml:space="preserve">When the configuration of SRS is done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val="en-US" w:eastAsia="en-US"/>
              </w:rPr>
              <w:t xml:space="preserve">, the UE can only be provided with a single RS source in </w:t>
            </w:r>
            <w:proofErr w:type="spellStart"/>
            <w:r>
              <w:rPr>
                <w:rFonts w:eastAsia="宋体"/>
                <w:i/>
                <w:sz w:val="20"/>
                <w:lang w:eastAsia="en-US"/>
              </w:rPr>
              <w:t>spatialRelationInfoPos</w:t>
            </w:r>
            <w:proofErr w:type="spellEnd"/>
            <w:r>
              <w:rPr>
                <w:rFonts w:eastAsia="宋体"/>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EF1E41">
            <w:pPr>
              <w:rPr>
                <w:rFonts w:eastAsia="宋体"/>
                <w:sz w:val="20"/>
                <w:lang w:val="en-US" w:eastAsia="en-US"/>
              </w:rPr>
            </w:pPr>
            <w:r>
              <w:rPr>
                <w:rFonts w:eastAsia="宋体"/>
                <w:sz w:val="20"/>
                <w:lang w:val="en-US" w:eastAsia="en-US"/>
              </w:rPr>
              <w:t xml:space="preserve">For operation on the same carrier, if an SRS configured by the higher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宋体"/>
                <w:sz w:val="20"/>
                <w:lang w:eastAsia="en-US"/>
              </w:rPr>
            </w:pPr>
            <w:r>
              <w:rPr>
                <w:rFonts w:eastAsia="宋体"/>
                <w:sz w:val="20"/>
                <w:lang w:eastAsia="en-US"/>
              </w:rPr>
              <w:t xml:space="preserve">Unless specified otherwise, the UE does not expect to be configured with </w:t>
            </w:r>
            <w:r>
              <w:rPr>
                <w:rFonts w:eastAsia="宋体"/>
                <w:i/>
                <w:sz w:val="20"/>
                <w:lang w:eastAsia="en-US"/>
              </w:rPr>
              <w:t>SRS-</w:t>
            </w:r>
            <w:proofErr w:type="spellStart"/>
            <w:r>
              <w:rPr>
                <w:rFonts w:eastAsia="宋体"/>
                <w:i/>
                <w:sz w:val="20"/>
                <w:lang w:eastAsia="en-US"/>
              </w:rPr>
              <w:t>PosResource</w:t>
            </w:r>
            <w:proofErr w:type="spellEnd"/>
            <w:r>
              <w:rPr>
                <w:rFonts w:eastAsia="宋体"/>
                <w:sz w:val="20"/>
                <w:lang w:eastAsia="en-US"/>
              </w:rPr>
              <w:t xml:space="preserve"> on a carrier of </w:t>
            </w:r>
            <w:r>
              <w:rPr>
                <w:rFonts w:eastAsia="宋体"/>
                <w:color w:val="000000"/>
                <w:sz w:val="20"/>
                <w:lang w:eastAsia="en-US"/>
              </w:rPr>
              <w:t xml:space="preserve">a serving cell with slot formats comprised of DL and UL symbols, </w:t>
            </w:r>
            <w:r>
              <w:rPr>
                <w:rFonts w:eastAsia="宋体"/>
                <w:sz w:val="20"/>
                <w:lang w:eastAsia="en-US"/>
              </w:rPr>
              <w:t>not configured for PUSCH/PUCCH transmission.</w:t>
            </w:r>
          </w:p>
          <w:p w14:paraId="135389E4" w14:textId="77777777" w:rsidR="00FF3D3B" w:rsidRDefault="00FF3D3B" w:rsidP="00EF1E41">
            <w:pPr>
              <w:rPr>
                <w:rFonts w:eastAsia="宋体"/>
                <w:sz w:val="20"/>
                <w:lang w:eastAsia="en-US"/>
              </w:rPr>
            </w:pPr>
            <w:r>
              <w:rPr>
                <w:rFonts w:eastAsia="宋体"/>
                <w:sz w:val="20"/>
                <w:lang w:eastAsia="en-US"/>
              </w:rPr>
              <w:t xml:space="preserve">Timing Error Group (TEG) at UE side is defined: </w:t>
            </w:r>
          </w:p>
          <w:p w14:paraId="06DD9CDD" w14:textId="77777777" w:rsidR="00FF3D3B" w:rsidRDefault="00FF3D3B" w:rsidP="00EF1E41">
            <w:pPr>
              <w:ind w:left="568" w:hanging="284"/>
              <w:rPr>
                <w:rFonts w:eastAsia="宋体"/>
                <w:sz w:val="20"/>
                <w:szCs w:val="22"/>
                <w:lang w:val="en-US" w:eastAsia="en-US"/>
              </w:rPr>
            </w:pPr>
            <w:r>
              <w:rPr>
                <w:rFonts w:eastAsia="宋体"/>
                <w:sz w:val="20"/>
                <w:szCs w:val="22"/>
                <w:lang w:val="en-US" w:eastAsia="en-US"/>
              </w:rPr>
              <w:t>-</w:t>
            </w:r>
            <w:r>
              <w:rPr>
                <w:rFonts w:eastAsia="宋体"/>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宋体"/>
                <w:color w:val="FF0000"/>
                <w:sz w:val="20"/>
                <w:lang w:val="en-US" w:eastAsia="zh-CN"/>
              </w:rPr>
              <w:t xml:space="preserve"> </w:t>
            </w:r>
            <w:r>
              <w:rPr>
                <w:rFonts w:eastAsia="宋体"/>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w:t>
      </w:r>
      <w:proofErr w:type="spellStart"/>
      <w:r w:rsidR="00EF4C7E" w:rsidRPr="00EF4C7E">
        <w:rPr>
          <w:rFonts w:eastAsia="MS Mincho" w:cs="Batang"/>
          <w:sz w:val="22"/>
          <w:szCs w:val="22"/>
        </w:rPr>
        <w:t>HiSilicon</w:t>
      </w:r>
      <w:proofErr w:type="spellEnd"/>
      <w:r w:rsidR="00EF4C7E" w:rsidRPr="00EF4C7E">
        <w:rPr>
          <w:rFonts w:eastAsia="MS Mincho" w:cs="Batang"/>
          <w:sz w:val="22"/>
          <w:szCs w:val="22"/>
        </w:rPr>
        <w:t xml:space="preserve">,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77777777" w:rsidR="00C32C02" w:rsidRPr="00F43A5D" w:rsidRDefault="00C32C02" w:rsidP="00EF1E41">
            <w:pPr>
              <w:spacing w:afterLines="50" w:after="120"/>
              <w:jc w:val="both"/>
              <w:rPr>
                <w:rFonts w:eastAsia="Malgun Gothic"/>
                <w:sz w:val="22"/>
                <w:lang w:val="en-US" w:eastAsia="ko-KR"/>
              </w:rPr>
            </w:pPr>
          </w:p>
        </w:tc>
        <w:tc>
          <w:tcPr>
            <w:tcW w:w="1024" w:type="dxa"/>
          </w:tcPr>
          <w:p w14:paraId="2D94B697" w14:textId="77777777" w:rsidR="00C32C02" w:rsidRPr="00F43A5D" w:rsidRDefault="00C32C02" w:rsidP="00EF1E41">
            <w:pPr>
              <w:spacing w:afterLines="50" w:after="120"/>
              <w:jc w:val="both"/>
              <w:rPr>
                <w:rFonts w:eastAsia="Malgun Gothic"/>
                <w:sz w:val="22"/>
                <w:lang w:val="en-US" w:eastAsia="ko-KR"/>
              </w:rPr>
            </w:pPr>
          </w:p>
        </w:tc>
        <w:tc>
          <w:tcPr>
            <w:tcW w:w="6912" w:type="dxa"/>
          </w:tcPr>
          <w:p w14:paraId="3D2D99BE" w14:textId="77777777" w:rsidR="00C32C02" w:rsidRPr="00F43A5D" w:rsidRDefault="00C32C02" w:rsidP="00EF1E41">
            <w:pPr>
              <w:spacing w:afterLines="50" w:after="120"/>
              <w:jc w:val="both"/>
              <w:rPr>
                <w:sz w:val="22"/>
                <w:lang w:val="en-US"/>
              </w:rPr>
            </w:pP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lastRenderedPageBreak/>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outlineLvl w:val="2"/>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t>
            </w:r>
            <w:r w:rsidRPr="000B59B6">
              <w:rPr>
                <w:sz w:val="20"/>
                <w:lang w:val="en-US" w:eastAsia="zh-CN"/>
              </w:rPr>
              <w:lastRenderedPageBreak/>
              <w:t xml:space="preserve">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outlineLvl w:val="2"/>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outlineLvl w:val="4"/>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outlineLvl w:val="4"/>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lastRenderedPageBreak/>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w:t>
            </w:r>
            <w:r w:rsidRPr="003B3D63">
              <w:rPr>
                <w:sz w:val="20"/>
              </w:rPr>
              <w:lastRenderedPageBreak/>
              <w:t xml:space="preserve">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w:t>
                  </w:r>
                  <w:r w:rsidRPr="003B3D63">
                    <w:rPr>
                      <w:sz w:val="20"/>
                    </w:rPr>
                    <w:lastRenderedPageBreak/>
                    <w:t xml:space="preserve">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lastRenderedPageBreak/>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case in </w:t>
                  </w:r>
                  <w:r w:rsidRPr="003B3D63">
                    <w:rPr>
                      <w:rFonts w:eastAsia="Malgun Gothic"/>
                      <w:sz w:val="20"/>
                      <w:lang w:eastAsia="ko-KR"/>
                    </w:rPr>
                    <w:lastRenderedPageBreak/>
                    <w:t xml:space="preserve">reality.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lastRenderedPageBreak/>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 xml:space="preserve">We are not clear how the proposal addresses the issue raised in the contribution. It seems to be more straightforward to change UE implementation if it </w:t>
                  </w:r>
                  <w:r w:rsidRPr="003B3D63">
                    <w:rPr>
                      <w:rFonts w:eastAsiaTheme="minorEastAsia" w:hint="eastAsia"/>
                      <w:sz w:val="20"/>
                      <w:lang w:eastAsia="zh-CN"/>
                    </w:rPr>
                    <w:lastRenderedPageBreak/>
                    <w:t>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lastRenderedPageBreak/>
                    <w:t xml:space="preserve">Regarding the misbehaving UEs, this was discussed and will be handled by introducing </w:t>
                  </w:r>
                  <w:r w:rsidRPr="003B3D63">
                    <w:rPr>
                      <w:sz w:val="20"/>
                    </w:rPr>
                    <w:lastRenderedPageBreak/>
                    <w:t xml:space="preserve">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outlineLvl w:val="0"/>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lastRenderedPageBreak/>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lastRenderedPageBreak/>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case in reality.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actual targeted BLER can be variable (e.g. different between transmissions and retransmissions of a TB, among UEs with low/high </w:t>
                  </w:r>
                  <w:r w:rsidRPr="00572579">
                    <w:rPr>
                      <w:rFonts w:eastAsia="Malgun Gothic"/>
                      <w:sz w:val="22"/>
                      <w:szCs w:val="22"/>
                      <w:lang w:val="en-US" w:eastAsia="ko-KR"/>
                    </w:rPr>
                    <w:lastRenderedPageBreak/>
                    <w:t>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lastRenderedPageBreak/>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case in reality.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w:t>
                  </w:r>
                  <w:proofErr w:type="spellStart"/>
                  <w:r w:rsidRPr="00572579">
                    <w:rPr>
                      <w:rFonts w:eastAsia="Malgun Gothic"/>
                      <w:sz w:val="22"/>
                      <w:szCs w:val="22"/>
                      <w:lang w:val="en-US" w:eastAsia="ko-KR"/>
                    </w:rPr>
                    <w:t>samsung</w:t>
                  </w:r>
                  <w:proofErr w:type="spellEnd"/>
                  <w:r w:rsidRPr="00572579">
                    <w:rPr>
                      <w:rFonts w:eastAsia="Malgun Gothic"/>
                      <w:sz w:val="22"/>
                      <w:szCs w:val="22"/>
                      <w:lang w:val="en-US" w:eastAsia="ko-KR"/>
                    </w:rPr>
                    <w:t xml:space="preserve">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w:t>
                  </w:r>
                  <w:proofErr w:type="spellStart"/>
                  <w:r w:rsidRPr="00572579">
                    <w:rPr>
                      <w:rFonts w:eastAsia="Malgun Gothic"/>
                      <w:sz w:val="22"/>
                      <w:szCs w:val="22"/>
                      <w:lang w:val="en-US" w:eastAsia="ko-KR"/>
                    </w:rPr>
                    <w:t>huawei</w:t>
                  </w:r>
                  <w:proofErr w:type="spellEnd"/>
                  <w:r w:rsidRPr="00572579">
                    <w:rPr>
                      <w:rFonts w:eastAsia="Malgun Gothic"/>
                      <w:sz w:val="22"/>
                      <w:szCs w:val="22"/>
                      <w:lang w:val="en-US" w:eastAsia="ko-KR"/>
                    </w:rPr>
                    <w:t xml:space="preserve">,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lastRenderedPageBreak/>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outlineLvl w:val="2"/>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outlineLvl w:val="2"/>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 xml:space="preserve">Agree with Vivo. Based on the discussions and the clarifications from the proponent, the mentioned issue does not relate to whether the target BLER </w:t>
                  </w:r>
                  <w:r w:rsidRPr="00572579">
                    <w:rPr>
                      <w:rFonts w:eastAsia="Malgun Gothic"/>
                      <w:sz w:val="22"/>
                      <w:szCs w:val="22"/>
                      <w:lang w:eastAsia="ko-KR"/>
                    </w:rPr>
                    <w:lastRenderedPageBreak/>
                    <w:t>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lastRenderedPageBreak/>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w:t>
                  </w:r>
                  <w:proofErr w:type="spellStart"/>
                  <w:r w:rsidRPr="00572579">
                    <w:rPr>
                      <w:rFonts w:eastAsia="Malgun Gothic"/>
                      <w:sz w:val="22"/>
                      <w:szCs w:val="22"/>
                      <w:lang w:val="en-US" w:eastAsia="ko-KR"/>
                    </w:rPr>
                    <w:t>samsung</w:t>
                  </w:r>
                  <w:proofErr w:type="spellEnd"/>
                  <w:r w:rsidRPr="00572579">
                    <w:rPr>
                      <w:rFonts w:eastAsia="Malgun Gothic"/>
                      <w:sz w:val="22"/>
                      <w:szCs w:val="22"/>
                      <w:lang w:val="en-US" w:eastAsia="ko-KR"/>
                    </w:rPr>
                    <w:t xml:space="preserve">,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w:t>
                  </w:r>
                  <w:proofErr w:type="spellStart"/>
                  <w:r w:rsidRPr="00572579">
                    <w:rPr>
                      <w:sz w:val="22"/>
                      <w:szCs w:val="22"/>
                    </w:rPr>
                    <w:t>mediatek</w:t>
                  </w:r>
                  <w:proofErr w:type="spellEnd"/>
                  <w:r w:rsidRPr="00572579">
                    <w:rPr>
                      <w:sz w:val="22"/>
                      <w:szCs w:val="22"/>
                    </w:rPr>
                    <w:t>, @</w:t>
                  </w:r>
                  <w:proofErr w:type="spellStart"/>
                  <w:r w:rsidRPr="00572579">
                    <w:rPr>
                      <w:sz w:val="22"/>
                      <w:szCs w:val="22"/>
                    </w:rPr>
                    <w:t>samsung</w:t>
                  </w:r>
                  <w:proofErr w:type="spellEnd"/>
                  <w:r w:rsidRPr="00572579">
                    <w:rPr>
                      <w:sz w:val="22"/>
                      <w:szCs w:val="22"/>
                    </w:rPr>
                    <w:t xml:space="preserve">: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77777777" w:rsidR="00E34E4F" w:rsidRDefault="00E34E4F" w:rsidP="00EF1E41">
            <w:pPr>
              <w:spacing w:afterLines="50" w:after="120"/>
              <w:jc w:val="both"/>
              <w:rPr>
                <w:sz w:val="22"/>
                <w:lang w:val="en-US"/>
              </w:rPr>
            </w:pP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77777777" w:rsidR="00E34E4F" w:rsidRPr="00F740AD" w:rsidRDefault="00E34E4F" w:rsidP="00EF1E41">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w:t>
            </w:r>
            <w:proofErr w:type="spellStart"/>
            <w:r w:rsidRPr="004F3B26">
              <w:rPr>
                <w:sz w:val="20"/>
              </w:rPr>
              <w:t>gNodeB</w:t>
            </w:r>
            <w:proofErr w:type="spellEnd"/>
            <w:r w:rsidRPr="004F3B26">
              <w:rPr>
                <w:sz w:val="20"/>
              </w:rPr>
              <w:t xml:space="preserve">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w:t>
            </w:r>
            <w:proofErr w:type="spellStart"/>
            <w:r w:rsidRPr="004F3B26">
              <w:rPr>
                <w:sz w:val="20"/>
              </w:rPr>
              <w:t>gNodeB</w:t>
            </w:r>
            <w:proofErr w:type="spellEnd"/>
            <w:r w:rsidRPr="004F3B26">
              <w:rPr>
                <w:sz w:val="20"/>
              </w:rPr>
              <w:t xml:space="preserve">, the LPCs performance impact gets negligible, i.e., “GPC@UE + </w:t>
            </w:r>
            <w:proofErr w:type="spellStart"/>
            <w:r w:rsidRPr="004F3B26">
              <w:rPr>
                <w:sz w:val="20"/>
              </w:rPr>
              <w:t>backoff</w:t>
            </w:r>
            <w:proofErr w:type="spellEnd"/>
            <w:r w:rsidRPr="004F3B26">
              <w:rPr>
                <w:sz w:val="20"/>
              </w:rPr>
              <w:t xml:space="preserve">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drawing>
                <wp:inline distT="0" distB="0" distL="0" distR="0" wp14:anchorId="0720AA84" wp14:editId="4AA764F7">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drawing>
                <wp:inline distT="0" distB="0" distL="0" distR="0" wp14:anchorId="52A44A08" wp14:editId="64D496BB">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lastRenderedPageBreak/>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in order to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DB6966"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DB6966"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l</m:t>
                  </m:r>
                </m:sub>
              </m:sSub>
            </m:oMath>
            <w:r w:rsidR="004F3B26" w:rsidRPr="004F3B26">
              <w:rPr>
                <w:b/>
                <w:bCs/>
                <w:sz w:val="20"/>
              </w:rPr>
              <w:t xml:space="preserve"> is the precoder coefficient associated to antenna port </w:t>
            </w:r>
            <m:oMath>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m:t>
              </m:r>
              <m:r>
                <m:rPr>
                  <m:sty m:val="bi"/>
                </m:rPr>
                <w:rPr>
                  <w:rFonts w:ascii="Cambria Math" w:hAnsi="Cambria Math"/>
                  <w:sz w:val="20"/>
                </w:rPr>
                <m:t>l</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r>
                <m:rPr>
                  <m:sty m:val="bi"/>
                </m:rPr>
                <w:rPr>
                  <w:rFonts w:ascii="Cambria Math" w:hAnsi="Cambria Math"/>
                  <w:sz w:val="20"/>
                </w:rPr>
                <m:t>ν</m:t>
              </m:r>
              <m:r>
                <m:rPr>
                  <m:sty m:val="bi"/>
                </m:rPr>
                <w:rPr>
                  <w:rFonts w:ascii="Cambria Math" w:hAnsi="Cambria Math"/>
                  <w:sz w:val="20"/>
                </w:rPr>
                <m:t>}</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w:t>
                  </w:r>
                  <w:proofErr w:type="spellStart"/>
                  <w:r w:rsidRPr="000F1252">
                    <w:rPr>
                      <w:sz w:val="22"/>
                      <w:szCs w:val="22"/>
                      <w:lang w:val="en-US"/>
                    </w:rPr>
                    <w:t>backoff</w:t>
                  </w:r>
                  <w:proofErr w:type="spellEnd"/>
                  <w:r w:rsidRPr="000F1252">
                    <w:rPr>
                      <w:sz w:val="22"/>
                      <w:szCs w:val="22"/>
                      <w:lang w:val="en-US"/>
                    </w:rPr>
                    <w:t xml:space="preserve">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lastRenderedPageBreak/>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w:t>
                  </w:r>
                  <w:proofErr w:type="spellStart"/>
                  <w:r w:rsidRPr="000F1252">
                    <w:rPr>
                      <w:sz w:val="22"/>
                      <w:szCs w:val="22"/>
                      <w:lang w:val="en-US"/>
                    </w:rPr>
                    <w:t>backoff</w:t>
                  </w:r>
                  <w:proofErr w:type="spellEnd"/>
                  <w:r w:rsidRPr="000F1252">
                    <w:rPr>
                      <w:sz w:val="22"/>
                      <w:szCs w:val="22"/>
                      <w:lang w:val="en-US"/>
                    </w:rPr>
                    <w:t xml:space="preserve">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w:t>
                  </w:r>
                  <w:proofErr w:type="spellStart"/>
                  <w:r w:rsidRPr="000F1252">
                    <w:rPr>
                      <w:rFonts w:eastAsiaTheme="minorEastAsia"/>
                      <w:sz w:val="22"/>
                      <w:szCs w:val="22"/>
                      <w:lang w:val="en-US" w:eastAsia="zh-CN"/>
                    </w:rPr>
                    <w:t>backoff</w:t>
                  </w:r>
                  <w:proofErr w:type="spellEnd"/>
                  <w:r w:rsidRPr="000F1252">
                    <w:rPr>
                      <w:rFonts w:eastAsiaTheme="minorEastAsia"/>
                      <w:sz w:val="22"/>
                      <w:szCs w:val="22"/>
                      <w:lang w:val="en-US" w:eastAsia="zh-CN"/>
                    </w:rPr>
                    <w:t xml:space="preserve"> can be added to a CSI-RS resource by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report, and improve link adaptation </w:t>
                  </w:r>
                  <w:proofErr w:type="spellStart"/>
                  <w:r w:rsidRPr="000F1252">
                    <w:rPr>
                      <w:rFonts w:eastAsiaTheme="minorEastAsia" w:hint="eastAsia"/>
                      <w:sz w:val="22"/>
                      <w:szCs w:val="22"/>
                      <w:lang w:eastAsia="zh-CN"/>
                    </w:rPr>
                    <w:t>convergency</w:t>
                  </w:r>
                  <w:proofErr w:type="spellEnd"/>
                  <w:r w:rsidRPr="000F1252">
                    <w:rPr>
                      <w:rFonts w:eastAsiaTheme="minorEastAsia" w:hint="eastAsia"/>
                      <w:sz w:val="22"/>
                      <w:szCs w:val="22"/>
                      <w:lang w:eastAsia="zh-CN"/>
                    </w:rPr>
                    <w:t xml:space="preserve">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w:t>
                  </w:r>
                  <w:r w:rsidRPr="000F1252">
                    <w:rPr>
                      <w:rFonts w:eastAsia="Calibri"/>
                      <w:sz w:val="22"/>
                      <w:szCs w:val="22"/>
                    </w:rPr>
                    <w:lastRenderedPageBreak/>
                    <w:t xml:space="preserve">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lastRenderedPageBreak/>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lastRenderedPageBreak/>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in order to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DB6966"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DB6966"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m:t>
        </m:r>
        <m:r>
          <m:rPr>
            <m:sty m:val="bi"/>
          </m:rPr>
          <w:rPr>
            <w:rFonts w:ascii="Cambria Math" w:hAnsi="Cambria Math" w:cstheme="majorHAnsi"/>
            <w:sz w:val="22"/>
            <w:szCs w:val="22"/>
          </w:rPr>
          <m:t>l</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r>
          <m:rPr>
            <m:sty m:val="bi"/>
          </m:rPr>
          <w:rPr>
            <w:rFonts w:ascii="Cambria Math" w:hAnsi="Cambria Math" w:cstheme="majorHAnsi"/>
            <w:sz w:val="22"/>
            <w:szCs w:val="22"/>
          </w:rPr>
          <m:t>ν</m:t>
        </m:r>
        <m:r>
          <m:rPr>
            <m:sty m:val="bi"/>
          </m:rPr>
          <w:rPr>
            <w:rFonts w:ascii="Cambria Math" w:hAnsi="Cambria Math" w:cstheme="majorHAnsi"/>
            <w:sz w:val="22"/>
            <w:szCs w:val="22"/>
          </w:rPr>
          <m:t>}</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lastRenderedPageBreak/>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lastRenderedPageBreak/>
              <w:tab/>
            </w:r>
          </w:p>
          <w:p w14:paraId="235F7B9D" w14:textId="77777777" w:rsidR="00B619E8" w:rsidRPr="00B619E8" w:rsidRDefault="00B619E8" w:rsidP="00B619E8">
            <w:pPr>
              <w:rPr>
                <w:sz w:val="20"/>
              </w:rPr>
            </w:pPr>
            <w:r w:rsidRPr="00B619E8">
              <w:rPr>
                <w:sz w:val="20"/>
              </w:rPr>
              <w:t xml:space="preserve">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w:t>
            </w:r>
            <w:proofErr w:type="gramStart"/>
            <w:r w:rsidRPr="00B619E8">
              <w:rPr>
                <w:sz w:val="20"/>
              </w:rPr>
              <w:t>Similarly</w:t>
            </w:r>
            <w:proofErr w:type="gramEnd"/>
            <w:r w:rsidRPr="00B619E8">
              <w:rPr>
                <w:sz w:val="20"/>
              </w:rPr>
              <w:t xml:space="preserve">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outlineLvl w:val="2"/>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lastRenderedPageBreak/>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29"/>
              <w:gridCol w:w="1013"/>
              <w:gridCol w:w="7160"/>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17257" w:rsidP="00017257">
                  <w:pPr>
                    <w:spacing w:afterLines="50" w:after="120"/>
                    <w:jc w:val="both"/>
                    <w:rPr>
                      <w:rFonts w:eastAsiaTheme="minorEastAsia"/>
                      <w:sz w:val="22"/>
                      <w:szCs w:val="22"/>
                      <w:lang w:val="en-US" w:eastAsia="zh-CN"/>
                    </w:rPr>
                  </w:pPr>
                  <w:r w:rsidRPr="00017257">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5pt;height:134.75pt;mso-width-percent:0;mso-height-percent:0;mso-width-percent:0;mso-height-percent:0" o:ole="">
                        <v:imagedata r:id="rId16" o:title=""/>
                      </v:shape>
                      <o:OLEObject Type="Embed" ProgID="PBrush" ShapeID="_x0000_i1025" DrawAspect="Content" ObjectID="_1793437063"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lastRenderedPageBreak/>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outlineLvl w:val="2"/>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 xml:space="preserve">NZP-CSI-RS counting, consider </w:t>
                  </w:r>
                  <w:proofErr w:type="gramStart"/>
                  <w:r w:rsidRPr="00017257">
                    <w:rPr>
                      <w:b/>
                      <w:sz w:val="22"/>
                      <w:szCs w:val="22"/>
                    </w:rPr>
                    <w:t>a</w:t>
                  </w:r>
                  <w:proofErr w:type="gramEnd"/>
                  <w:r w:rsidRPr="00017257">
                    <w:rPr>
                      <w:b/>
                      <w:sz w:val="22"/>
                      <w:szCs w:val="22"/>
                    </w:rPr>
                    <w:t xml:space="preserve">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宋体"/>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lastRenderedPageBreak/>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宋体"/>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 xml:space="preserve">Nokia, Apple, Ericsson, MediaTek, NTT DOCOMO, </w:t>
      </w:r>
      <w:proofErr w:type="spellStart"/>
      <w:r w:rsidR="002506DE" w:rsidRPr="002506DE">
        <w:rPr>
          <w:rFonts w:eastAsia="MS Mincho" w:cs="Batang"/>
          <w:sz w:val="22"/>
          <w:szCs w:val="22"/>
        </w:rPr>
        <w:t>Spreadtrum</w:t>
      </w:r>
      <w:proofErr w:type="spellEnd"/>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144FDE" w14:paraId="6111FBD9" w14:textId="77777777" w:rsidTr="00EF1E41">
        <w:tc>
          <w:tcPr>
            <w:tcW w:w="1693"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44AD3F0" w14:textId="77777777" w:rsidR="00144FDE" w:rsidRDefault="00144FDE"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EF1E41">
        <w:tc>
          <w:tcPr>
            <w:tcW w:w="1693"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24"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6912"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ListParagraph"/>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ListParagraph"/>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bookmarkStart w:id="12" w:name="_GoBack"/>
            <w:bookmarkEnd w:id="12"/>
          </w:p>
        </w:tc>
      </w:tr>
      <w:tr w:rsidR="00144FDE" w14:paraId="2EBDA9C0" w14:textId="77777777" w:rsidTr="00EF1E41">
        <w:tc>
          <w:tcPr>
            <w:tcW w:w="1693" w:type="dxa"/>
          </w:tcPr>
          <w:p w14:paraId="52BA03FB" w14:textId="77777777" w:rsidR="00144FDE" w:rsidRPr="00661912" w:rsidRDefault="00144FDE" w:rsidP="00EF1E41">
            <w:pPr>
              <w:spacing w:afterLines="50" w:after="120"/>
              <w:jc w:val="both"/>
              <w:rPr>
                <w:rFonts w:eastAsiaTheme="minorEastAsia"/>
                <w:sz w:val="22"/>
                <w:lang w:val="en-US" w:eastAsia="zh-CN"/>
              </w:rPr>
            </w:pPr>
          </w:p>
        </w:tc>
        <w:tc>
          <w:tcPr>
            <w:tcW w:w="1024"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6912" w:type="dxa"/>
          </w:tcPr>
          <w:p w14:paraId="01C2F1AA" w14:textId="77777777" w:rsidR="00144FDE" w:rsidRPr="00F740AD" w:rsidRDefault="00144FDE" w:rsidP="00EF1E41">
            <w:pPr>
              <w:spacing w:afterLines="50" w:after="120"/>
              <w:jc w:val="both"/>
              <w:rPr>
                <w:sz w:val="22"/>
                <w:lang w:val="en-US"/>
              </w:rPr>
            </w:pPr>
          </w:p>
        </w:tc>
      </w:tr>
      <w:tr w:rsidR="00144FDE" w14:paraId="30DF6503" w14:textId="77777777" w:rsidTr="00EF1E41">
        <w:tc>
          <w:tcPr>
            <w:tcW w:w="1693" w:type="dxa"/>
          </w:tcPr>
          <w:p w14:paraId="3D25FDEC" w14:textId="77777777" w:rsidR="00144FDE" w:rsidRDefault="00144FDE" w:rsidP="00EF1E41">
            <w:pPr>
              <w:spacing w:afterLines="50" w:after="120"/>
              <w:jc w:val="both"/>
              <w:rPr>
                <w:sz w:val="22"/>
                <w:lang w:val="en-US"/>
              </w:rPr>
            </w:pPr>
          </w:p>
        </w:tc>
        <w:tc>
          <w:tcPr>
            <w:tcW w:w="1024" w:type="dxa"/>
          </w:tcPr>
          <w:p w14:paraId="758B290A" w14:textId="77777777" w:rsidR="00144FDE" w:rsidRPr="00F740AD" w:rsidRDefault="00144FDE" w:rsidP="00EF1E41">
            <w:pPr>
              <w:spacing w:afterLines="50" w:after="120"/>
              <w:jc w:val="both"/>
              <w:rPr>
                <w:sz w:val="22"/>
                <w:lang w:val="en-US"/>
              </w:rPr>
            </w:pPr>
          </w:p>
        </w:tc>
        <w:tc>
          <w:tcPr>
            <w:tcW w:w="6912" w:type="dxa"/>
          </w:tcPr>
          <w:p w14:paraId="76B24A75" w14:textId="77777777" w:rsidR="00144FDE" w:rsidRPr="00F740AD" w:rsidRDefault="00144FDE" w:rsidP="00EF1E41">
            <w:pPr>
              <w:spacing w:afterLines="50" w:after="120"/>
              <w:jc w:val="both"/>
              <w:rPr>
                <w:sz w:val="22"/>
                <w:lang w:val="en-US"/>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 xml:space="preserve">00MHz frequency resources in FR1, the maximum SRS bandwidth </w:t>
            </w:r>
            <w:r w:rsidRPr="00060082">
              <w:rPr>
                <w:rFonts w:hint="eastAsia"/>
                <w:iCs/>
                <w:sz w:val="20"/>
              </w:rPr>
              <w:lastRenderedPageBreak/>
              <w:t>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等线"/>
          <w:szCs w:val="24"/>
          <w:highlight w:val="green"/>
          <w:lang w:eastAsia="zh-CN"/>
        </w:rPr>
      </w:pPr>
      <w:r w:rsidRPr="00424577">
        <w:rPr>
          <w:rFonts w:eastAsia="等线"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等线"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等线"/>
          <w:i/>
          <w:iCs/>
          <w:szCs w:val="24"/>
          <w:lang w:eastAsia="zh-CN"/>
        </w:rPr>
        <w:t>D</w:t>
      </w:r>
      <w:r w:rsidRPr="00424577">
        <w:rPr>
          <w:rFonts w:eastAsia="等线" w:hint="eastAsia"/>
          <w:i/>
          <w:iCs/>
          <w:szCs w:val="24"/>
          <w:lang w:eastAsia="zh-CN"/>
        </w:rPr>
        <w:t xml:space="preserve">etails about UE </w:t>
      </w:r>
      <w:r w:rsidRPr="00424577">
        <w:rPr>
          <w:rFonts w:eastAsia="等线"/>
          <w:i/>
          <w:iCs/>
          <w:szCs w:val="24"/>
          <w:lang w:eastAsia="zh-CN"/>
        </w:rPr>
        <w:t>capability</w:t>
      </w:r>
      <w:r w:rsidRPr="00424577">
        <w:rPr>
          <w:rFonts w:eastAsia="等线"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等线"/>
          <w:i/>
          <w:iCs/>
          <w:szCs w:val="24"/>
          <w:lang w:eastAsia="zh-CN"/>
        </w:rPr>
        <w:t>T</w:t>
      </w:r>
      <w:r w:rsidRPr="00424577">
        <w:rPr>
          <w:rFonts w:eastAsia="等线" w:hint="eastAsia"/>
          <w:i/>
          <w:iCs/>
          <w:szCs w:val="24"/>
          <w:lang w:eastAsia="zh-CN"/>
        </w:rPr>
        <w:t xml:space="preserve">he structure of UE </w:t>
      </w:r>
      <w:r w:rsidRPr="00424577">
        <w:rPr>
          <w:rFonts w:eastAsia="等线"/>
          <w:i/>
          <w:iCs/>
          <w:szCs w:val="24"/>
          <w:lang w:eastAsia="zh-CN"/>
        </w:rPr>
        <w:t>capability</w:t>
      </w:r>
      <w:r w:rsidRPr="00424577">
        <w:rPr>
          <w:rFonts w:eastAsia="等线"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等线" w:hint="eastAsia"/>
          <w:szCs w:val="24"/>
          <w:lang w:eastAsia="zh-CN"/>
        </w:rPr>
        <w:t xml:space="preserve">Note: except for UE </w:t>
      </w:r>
      <w:r w:rsidRPr="00424577">
        <w:rPr>
          <w:rFonts w:eastAsia="等线"/>
          <w:szCs w:val="24"/>
          <w:lang w:eastAsia="zh-CN"/>
        </w:rPr>
        <w:t>capability</w:t>
      </w:r>
      <w:r w:rsidRPr="00424577">
        <w:rPr>
          <w:rFonts w:eastAsia="等线" w:hint="eastAsia"/>
          <w:szCs w:val="24"/>
          <w:lang w:eastAsia="zh-CN"/>
        </w:rPr>
        <w:t>, the spec impact is only 38.214</w:t>
      </w:r>
    </w:p>
    <w:p w14:paraId="7D591D6D" w14:textId="77777777" w:rsidR="00424577" w:rsidRPr="00EA2A67" w:rsidRDefault="00424577" w:rsidP="00424577">
      <w:pPr>
        <w:rPr>
          <w:rFonts w:eastAsia="等线"/>
          <w:lang w:eastAsia="zh-CN"/>
        </w:rPr>
      </w:pPr>
    </w:p>
    <w:p w14:paraId="5ECAC9BE" w14:textId="77777777" w:rsidR="00424577" w:rsidRPr="00E37B3F" w:rsidRDefault="00424577" w:rsidP="00424577">
      <w:pPr>
        <w:tabs>
          <w:tab w:val="left" w:pos="6781"/>
        </w:tabs>
        <w:rPr>
          <w:rFonts w:eastAsia="等线"/>
          <w:lang w:eastAsia="zh-CN"/>
        </w:rPr>
      </w:pPr>
      <w:r>
        <w:rPr>
          <w:rFonts w:eastAsia="等线"/>
          <w:lang w:eastAsia="zh-CN"/>
        </w:rPr>
        <w:tab/>
      </w:r>
    </w:p>
    <w:p w14:paraId="24AA74A3" w14:textId="77777777" w:rsidR="00424577" w:rsidRPr="00167235" w:rsidRDefault="00424577" w:rsidP="00424577">
      <w:pPr>
        <w:rPr>
          <w:rFonts w:eastAsia="等线"/>
          <w:highlight w:val="green"/>
          <w:lang w:eastAsia="zh-CN"/>
        </w:rPr>
      </w:pPr>
      <w:r w:rsidRPr="00167235">
        <w:rPr>
          <w:rFonts w:eastAsia="等线"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等线"/>
          <w:lang w:eastAsia="zh-CN"/>
        </w:rPr>
      </w:pPr>
      <w:r w:rsidRPr="00167235">
        <w:rPr>
          <w:rFonts w:eastAsia="等线"/>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等线"/>
          <w:lang w:eastAsia="zh-CN"/>
        </w:rPr>
      </w:pPr>
      <w:r w:rsidRPr="00167235">
        <w:rPr>
          <w:rFonts w:eastAsia="等线"/>
          <w:lang w:eastAsia="zh-CN"/>
        </w:rPr>
        <w:lastRenderedPageBreak/>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等线"/>
          <w:lang w:eastAsia="zh-CN"/>
        </w:rPr>
      </w:pPr>
      <w:r w:rsidRPr="00167235">
        <w:rPr>
          <w:rFonts w:eastAsia="等线"/>
          <w:lang w:eastAsia="zh-CN"/>
        </w:rPr>
        <w:t xml:space="preserve">The reporting granularity of the UE capabilities is changed to ‘per FSPC’. </w:t>
      </w:r>
    </w:p>
    <w:p w14:paraId="2C2302D2" w14:textId="77777777" w:rsidR="00424577" w:rsidRPr="00167235" w:rsidRDefault="00424577" w:rsidP="00424577">
      <w:pPr>
        <w:pStyle w:val="ListParagraph"/>
        <w:numPr>
          <w:ilvl w:val="1"/>
          <w:numId w:val="20"/>
        </w:numPr>
        <w:spacing w:afterLines="50" w:after="120"/>
        <w:ind w:leftChars="0"/>
        <w:jc w:val="both"/>
        <w:rPr>
          <w:rFonts w:eastAsia="等线"/>
          <w:lang w:eastAsia="zh-CN"/>
        </w:rPr>
      </w:pPr>
      <w:r w:rsidRPr="00167235">
        <w:rPr>
          <w:rFonts w:eastAsia="等线"/>
          <w:lang w:eastAsia="zh-CN"/>
        </w:rPr>
        <w:t>Introduce new RRC parameters, harq-ProcessNumberSizeDCI-0-1-Ext-r19, harq-ProcessNumberSizeDCI-1-1-Ext-r19, harq-ProcessNumberSizeDCI-0-2-Ext-r19, harq-ProcessNumberSizeDCI-1-2-Ext-r19</w:t>
      </w:r>
      <w:r w:rsidRPr="00167235">
        <w:rPr>
          <w:rFonts w:eastAsia="等线" w:hint="eastAsia"/>
          <w:lang w:eastAsia="zh-CN"/>
        </w:rPr>
        <w:t xml:space="preserve">, </w:t>
      </w:r>
      <w:r w:rsidRPr="00167235">
        <w:rPr>
          <w:rFonts w:eastAsia="等线"/>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等线"/>
          <w:lang w:eastAsia="zh-CN"/>
        </w:rPr>
      </w:pPr>
      <w:r w:rsidRPr="00167235">
        <w:rPr>
          <w:rFonts w:eastAsia="等线" w:hint="eastAsia"/>
          <w:lang w:eastAsia="zh-CN"/>
        </w:rPr>
        <w:t xml:space="preserve">For FR1, the above downlink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等线"/>
          <w:lang w:eastAsia="zh-CN"/>
        </w:rPr>
      </w:pPr>
      <w:r w:rsidRPr="00167235">
        <w:rPr>
          <w:rFonts w:eastAsia="等线" w:hint="eastAsia"/>
          <w:lang w:eastAsia="zh-CN"/>
        </w:rPr>
        <w:t xml:space="preserve">For FR1, the above uplink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 xml:space="preserve">(Note: D2. could work also in the other direction, i.e. if there is a RAN WI for which is turns out that only a </w:t>
      </w:r>
      <w:r>
        <w:rPr>
          <w:sz w:val="22"/>
          <w:szCs w:val="18"/>
        </w:rPr>
        <w:lastRenderedPageBreak/>
        <w:t>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w:t>
      </w:r>
      <w:r>
        <w:rPr>
          <w:sz w:val="22"/>
          <w:szCs w:val="18"/>
        </w:rPr>
        <w:lastRenderedPageBreak/>
        <w:t xml:space="preserve">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proofErr w:type="gramStart"/>
      <w:r>
        <w:rPr>
          <w:sz w:val="22"/>
          <w:szCs w:val="18"/>
        </w:rPr>
        <w:t>cat.B</w:t>
      </w:r>
      <w:proofErr w:type="spellEnd"/>
      <w:proofErr w:type="gram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5960A" w14:textId="77777777" w:rsidR="00DB6966" w:rsidRDefault="00DB6966">
      <w:r>
        <w:separator/>
      </w:r>
    </w:p>
  </w:endnote>
  <w:endnote w:type="continuationSeparator" w:id="0">
    <w:p w14:paraId="6EB92274" w14:textId="77777777" w:rsidR="00DB6966" w:rsidRDefault="00DB6966">
      <w:r>
        <w:continuationSeparator/>
      </w:r>
    </w:p>
  </w:endnote>
  <w:endnote w:type="continuationNotice" w:id="1">
    <w:p w14:paraId="7184808A" w14:textId="77777777" w:rsidR="00DB6966" w:rsidRDefault="00DB6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游ゴ シ ッ ク">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75630" w14:textId="77777777" w:rsidR="00DB6966" w:rsidRDefault="00DB6966">
      <w:r>
        <w:separator/>
      </w:r>
    </w:p>
  </w:footnote>
  <w:footnote w:type="continuationSeparator" w:id="0">
    <w:p w14:paraId="24FE3264" w14:textId="77777777" w:rsidR="00DB6966" w:rsidRDefault="00DB6966">
      <w:r>
        <w:continuationSeparator/>
      </w:r>
    </w:p>
  </w:footnote>
  <w:footnote w:type="continuationNotice" w:id="1">
    <w:p w14:paraId="19A72C7A" w14:textId="77777777" w:rsidR="00DB6966" w:rsidRDefault="00DB69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宋体"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abstractNumId w:val="5"/>
  </w:num>
  <w:num w:numId="2">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52"/>
  </w:num>
  <w:num w:numId="6">
    <w:abstractNumId w:val="57"/>
  </w:num>
  <w:num w:numId="7">
    <w:abstractNumId w:val="17"/>
  </w:num>
  <w:num w:numId="8">
    <w:abstractNumId w:val="50"/>
  </w:num>
  <w:num w:numId="9">
    <w:abstractNumId w:val="35"/>
  </w:num>
  <w:num w:numId="10">
    <w:abstractNumId w:val="34"/>
  </w:num>
  <w:num w:numId="11">
    <w:abstractNumId w:val="29"/>
  </w:num>
  <w:num w:numId="12">
    <w:abstractNumId w:val="40"/>
  </w:num>
  <w:num w:numId="13">
    <w:abstractNumId w:val="39"/>
  </w:num>
  <w:num w:numId="14">
    <w:abstractNumId w:val="21"/>
  </w:num>
  <w:num w:numId="15">
    <w:abstractNumId w:val="30"/>
  </w:num>
  <w:num w:numId="16">
    <w:abstractNumId w:val="37"/>
  </w:num>
  <w:num w:numId="17">
    <w:abstractNumId w:val="45"/>
  </w:num>
  <w:num w:numId="18">
    <w:abstractNumId w:val="58"/>
  </w:num>
  <w:num w:numId="19">
    <w:abstractNumId w:val="48"/>
  </w:num>
  <w:num w:numId="20">
    <w:abstractNumId w:val="56"/>
  </w:num>
  <w:num w:numId="21">
    <w:abstractNumId w:val="41"/>
  </w:num>
  <w:num w:numId="22">
    <w:abstractNumId w:val="22"/>
  </w:num>
  <w:num w:numId="23">
    <w:abstractNumId w:val="10"/>
  </w:num>
  <w:num w:numId="24">
    <w:abstractNumId w:val="53"/>
  </w:num>
  <w:num w:numId="25">
    <w:abstractNumId w:val="55"/>
  </w:num>
  <w:num w:numId="26">
    <w:abstractNumId w:val="47"/>
  </w:num>
  <w:num w:numId="27">
    <w:abstractNumId w:val="14"/>
  </w:num>
  <w:num w:numId="28">
    <w:abstractNumId w:val="39"/>
    <w:lvlOverride w:ilvl="0">
      <w:startOverride w:val="1"/>
    </w:lvlOverride>
  </w:num>
  <w:num w:numId="29">
    <w:abstractNumId w:val="28"/>
  </w:num>
  <w:num w:numId="30">
    <w:abstractNumId w:val="27"/>
  </w:num>
  <w:num w:numId="31">
    <w:abstractNumId w:val="43"/>
  </w:num>
  <w:num w:numId="32">
    <w:abstractNumId w:val="11"/>
  </w:num>
  <w:num w:numId="33">
    <w:abstractNumId w:val="23"/>
  </w:num>
  <w:num w:numId="34">
    <w:abstractNumId w:val="0"/>
  </w:num>
  <w:num w:numId="35">
    <w:abstractNumId w:val="2"/>
  </w:num>
  <w:num w:numId="36">
    <w:abstractNumId w:val="33"/>
  </w:num>
  <w:num w:numId="37">
    <w:abstractNumId w:val="3"/>
  </w:num>
  <w:num w:numId="38">
    <w:abstractNumId w:val="19"/>
  </w:num>
  <w:num w:numId="39">
    <w:abstractNumId w:val="26"/>
  </w:num>
  <w:num w:numId="40">
    <w:abstractNumId w:val="8"/>
  </w:num>
  <w:num w:numId="41">
    <w:abstractNumId w:val="20"/>
  </w:num>
  <w:num w:numId="42">
    <w:abstractNumId w:val="9"/>
  </w:num>
  <w:num w:numId="43">
    <w:abstractNumId w:val="54"/>
  </w:num>
  <w:num w:numId="44">
    <w:abstractNumId w:val="7"/>
  </w:num>
  <w:num w:numId="45">
    <w:abstractNumId w:val="18"/>
  </w:num>
  <w:num w:numId="46">
    <w:abstractNumId w:val="16"/>
  </w:num>
  <w:num w:numId="47">
    <w:abstractNumId w:val="49"/>
  </w:num>
  <w:num w:numId="48">
    <w:abstractNumId w:val="13"/>
  </w:num>
  <w:num w:numId="49">
    <w:abstractNumId w:val="4"/>
  </w:num>
  <w:num w:numId="50">
    <w:abstractNumId w:val="24"/>
  </w:num>
  <w:num w:numId="51">
    <w:abstractNumId w:val="12"/>
  </w:num>
  <w:num w:numId="52">
    <w:abstractNumId w:val="32"/>
  </w:num>
  <w:num w:numId="53">
    <w:abstractNumId w:val="36"/>
  </w:num>
  <w:num w:numId="54">
    <w:abstractNumId w:val="38"/>
  </w:num>
  <w:num w:numId="55">
    <w:abstractNumId w:val="1"/>
  </w:num>
  <w:num w:numId="56">
    <w:abstractNumId w:val="46"/>
  </w:num>
  <w:num w:numId="57">
    <w:abstractNumId w:val="44"/>
  </w:num>
  <w:num w:numId="58">
    <w:abstractNumId w:val="51"/>
  </w:num>
  <w:num w:numId="59">
    <w:abstractNumId w:val="15"/>
  </w:num>
  <w:num w:numId="60">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A95"/>
    <w:rsid w:val="00962EED"/>
    <w:rsid w:val="00962F3C"/>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宋体"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宋体"/>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宋体"/>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宋体"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宋体"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宋体"/>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宋体"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宋体"/>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宋体"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宋体"/>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宋体"/>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宋体"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宋体"/>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BodyText2Char">
    <w:name w:val="Body Text 2 Char"/>
    <w:basedOn w:val="DefaultParagraphFont"/>
    <w:link w:val="BodyText2"/>
    <w:qFormat/>
    <w:rPr>
      <w:rFonts w:ascii="Arial" w:eastAsia="宋体"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宋体"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宋体"/>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宋体"/>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宋体"/>
      <w:sz w:val="20"/>
      <w:szCs w:val="16"/>
      <w:lang w:val="en-US" w:eastAsia="en-US"/>
    </w:rPr>
  </w:style>
  <w:style w:type="character" w:customStyle="1" w:styleId="bodyChar">
    <w:name w:val="body Char"/>
    <w:link w:val="body"/>
    <w:qFormat/>
    <w:rPr>
      <w:rFonts w:ascii="New York" w:eastAsia="宋体"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宋体" w:eastAsia="宋体" w:hAnsi="宋体" w:cs="宋体"/>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宋体" w:hAnsi="Batang" w:cs="宋体"/>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宋体" w:hAnsi="Batang" w:cs="宋体"/>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3.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14218</Words>
  <Characters>81045</Characters>
  <Application>Microsoft Office Word</Application>
  <DocSecurity>0</DocSecurity>
  <Lines>675</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ZTE-Bo</cp:lastModifiedBy>
  <cp:revision>2</cp:revision>
  <dcterms:created xsi:type="dcterms:W3CDTF">2024-11-18T04:11:00Z</dcterms:created>
  <dcterms:modified xsi:type="dcterms:W3CDTF">2024-11-18T04:11:00Z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