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6EAA3C1E"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 xml:space="preserve">upport/can live </w:t>
            </w:r>
            <w:proofErr w:type="gramStart"/>
            <w:r>
              <w:rPr>
                <w:rFonts w:ascii="Times New Roman" w:hAnsi="Times New Roman" w:cs="Times New Roman" w:hint="eastAsia"/>
                <w:b/>
                <w:iCs/>
                <w:sz w:val="20"/>
                <w:szCs w:val="20"/>
              </w:rPr>
              <w:t>with  or</w:t>
            </w:r>
            <w:proofErr w:type="gramEnd"/>
            <w:r>
              <w:rPr>
                <w:rFonts w:ascii="Times New Roman" w:hAnsi="Times New Roman" w:cs="Times New Roman" w:hint="eastAsia"/>
                <w:b/>
                <w:iCs/>
                <w:sz w:val="20"/>
                <w:szCs w:val="20"/>
              </w:rPr>
              <w:t xml:space="preserve">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3A9D5F4A" w:rsidR="006E1454"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sidRPr="00052753">
              <w:rPr>
                <w:rFonts w:ascii="Times New Roman" w:eastAsia="Malgun Gothic" w:hAnsi="Times New Roman" w:cs="Times New Roman" w:hint="eastAsia"/>
                <w:bCs/>
                <w:iCs/>
                <w:sz w:val="20"/>
                <w:szCs w:val="20"/>
                <w:lang w:eastAsia="ko-KR"/>
              </w:rPr>
              <w:t>LGE</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91C657B" w14:textId="77777777" w:rsidR="006E1454"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Regarding the timing error for FR2 case, in our understanding, RAN4 is still discussing whether or not to allow the case where the timing error is beyond CP length/2. That</w:t>
            </w:r>
            <w:r>
              <w:rPr>
                <w:rFonts w:ascii="Times New Roman" w:eastAsia="Malgun Gothic" w:hAnsi="Times New Roman" w:cs="Times New Roman"/>
                <w:bCs/>
                <w:iCs/>
                <w:sz w:val="20"/>
                <w:szCs w:val="20"/>
                <w:lang w:eastAsia="ko-KR"/>
              </w:rPr>
              <w:t>’</w:t>
            </w:r>
            <w:r>
              <w:rPr>
                <w:rFonts w:ascii="Times New Roman" w:eastAsia="Malgun Gothic" w:hAnsi="Times New Roman" w:cs="Times New Roman" w:hint="eastAsia"/>
                <w:bCs/>
                <w:iCs/>
                <w:sz w:val="20"/>
                <w:szCs w:val="20"/>
                <w:lang w:eastAsia="ko-KR"/>
              </w:rPr>
              <w:t xml:space="preserve">s why there are square brackets. </w:t>
            </w:r>
          </w:p>
          <w:p w14:paraId="6356E3F7" w14:textId="77777777" w:rsid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this situation, we are not so sure we can make the proper conclusion based on the unfinished RAN4 specification. </w:t>
            </w:r>
          </w:p>
          <w:p w14:paraId="42E031A2" w14:textId="1E37E52C" w:rsidR="00052753" w:rsidRPr="00052753" w:rsidRDefault="00052753" w:rsidP="009F194C">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In our understanding, if RAN4 allows that case, the CP problem will not be limited to this issue </w:t>
            </w:r>
            <w:r w:rsidR="00534F89">
              <w:rPr>
                <w:rFonts w:ascii="Times New Roman" w:eastAsia="Malgun Gothic" w:hAnsi="Times New Roman" w:cs="Times New Roman" w:hint="eastAsia"/>
                <w:bCs/>
                <w:iCs/>
                <w:sz w:val="20"/>
                <w:szCs w:val="20"/>
                <w:lang w:eastAsia="ko-KR"/>
              </w:rPr>
              <w:t>only</w:t>
            </w:r>
            <w:r>
              <w:rPr>
                <w:rFonts w:ascii="Times New Roman" w:eastAsia="Malgun Gothic" w:hAnsi="Times New Roman" w:cs="Times New Roman" w:hint="eastAsia"/>
                <w:bCs/>
                <w:iCs/>
                <w:sz w:val="20"/>
                <w:szCs w:val="20"/>
                <w:lang w:eastAsia="ko-KR"/>
              </w:rPr>
              <w:t xml:space="preserve">. </w:t>
            </w:r>
            <w:r w:rsidR="00534F89">
              <w:rPr>
                <w:rFonts w:ascii="Times New Roman" w:eastAsia="Malgun Gothic" w:hAnsi="Times New Roman" w:cs="Times New Roman" w:hint="eastAsia"/>
                <w:bCs/>
                <w:iCs/>
                <w:sz w:val="20"/>
                <w:szCs w:val="20"/>
                <w:lang w:eastAsia="ko-KR"/>
              </w:rPr>
              <w:t xml:space="preserve">If RAN4 has some solution to resolve this CP problem, we can reuse it for this issue as well. </w:t>
            </w:r>
          </w:p>
        </w:tc>
      </w:tr>
      <w:tr w:rsidR="00A73928" w:rsidRPr="008F1B0B" w14:paraId="673D8AA6" w14:textId="77777777" w:rsidTr="009F194C">
        <w:tc>
          <w:tcPr>
            <w:tcW w:w="2122" w:type="dxa"/>
          </w:tcPr>
          <w:p w14:paraId="4D218FA2" w14:textId="18695AD7" w:rsidR="00A73928" w:rsidRPr="00052753"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sidRPr="00FC4BD8">
              <w:rPr>
                <w:rFonts w:ascii="Times New Roman" w:eastAsia="Malgun Gothic" w:hAnsi="Times New Roman" w:cs="Times New Roman"/>
                <w:iCs/>
                <w:sz w:val="20"/>
                <w:szCs w:val="20"/>
                <w:lang w:eastAsia="ko-KR"/>
              </w:rPr>
              <w:t>Samsung</w:t>
            </w:r>
          </w:p>
        </w:tc>
        <w:tc>
          <w:tcPr>
            <w:tcW w:w="2126" w:type="dxa"/>
          </w:tcPr>
          <w:p w14:paraId="1B9006CE" w14:textId="77777777" w:rsidR="00A73928" w:rsidRPr="008F1B0B" w:rsidRDefault="00A73928" w:rsidP="00A73928">
            <w:pPr>
              <w:adjustRightInd w:val="0"/>
              <w:snapToGrid w:val="0"/>
              <w:spacing w:after="0" w:line="240" w:lineRule="auto"/>
              <w:rPr>
                <w:rFonts w:ascii="Times New Roman" w:hAnsi="Times New Roman" w:cs="Times New Roman"/>
                <w:b/>
                <w:iCs/>
                <w:sz w:val="20"/>
                <w:szCs w:val="20"/>
              </w:rPr>
            </w:pPr>
          </w:p>
        </w:tc>
        <w:tc>
          <w:tcPr>
            <w:tcW w:w="5714" w:type="dxa"/>
          </w:tcPr>
          <w:p w14:paraId="1CCEA7A0" w14:textId="77777777" w:rsidR="00A73928" w:rsidRDefault="00A73928" w:rsidP="00A73928">
            <w:pPr>
              <w:adjustRightInd w:val="0"/>
              <w:snapToGrid w:val="0"/>
              <w:spacing w:after="0" w:line="240" w:lineRule="auto"/>
              <w:rPr>
                <w:rFonts w:ascii="Times New Roman" w:eastAsia="Malgun Gothic" w:hAnsi="Times New Roman" w:cs="Times New Roman"/>
                <w:iCs/>
                <w:sz w:val="20"/>
                <w:szCs w:val="20"/>
                <w:lang w:eastAsia="ko-KR"/>
              </w:rPr>
            </w:pPr>
            <w:r w:rsidRPr="00FC4BD8">
              <w:rPr>
                <w:rFonts w:ascii="Times New Roman" w:eastAsia="Malgun Gothic" w:hAnsi="Times New Roman" w:cs="Times New Roman" w:hint="eastAsia"/>
                <w:iCs/>
                <w:sz w:val="20"/>
                <w:szCs w:val="20"/>
                <w:lang w:eastAsia="ko-KR"/>
              </w:rPr>
              <w:t>S</w:t>
            </w:r>
            <w:r w:rsidRPr="00FC4BD8">
              <w:rPr>
                <w:rFonts w:ascii="Times New Roman" w:eastAsia="Malgun Gothic" w:hAnsi="Times New Roman" w:cs="Times New Roman"/>
                <w:iCs/>
                <w:sz w:val="20"/>
                <w:szCs w:val="20"/>
                <w:lang w:eastAsia="ko-KR"/>
              </w:rPr>
              <w:t>imilar view with DCM</w:t>
            </w:r>
            <w:r>
              <w:rPr>
                <w:rFonts w:ascii="Times New Roman" w:eastAsia="Malgun Gothic" w:hAnsi="Times New Roman" w:cs="Times New Roman"/>
                <w:iCs/>
                <w:sz w:val="20"/>
                <w:szCs w:val="20"/>
                <w:lang w:eastAsia="ko-KR"/>
              </w:rPr>
              <w:t xml:space="preserve">. </w:t>
            </w:r>
          </w:p>
          <w:p w14:paraId="7F61D537" w14:textId="3F015D79" w:rsidR="00A73928" w:rsidRDefault="00A73928" w:rsidP="00A73928">
            <w:pPr>
              <w:adjustRightInd w:val="0"/>
              <w:snapToGrid w:val="0"/>
              <w:spacing w:after="0" w:line="240" w:lineRule="auto"/>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iCs/>
                <w:sz w:val="20"/>
                <w:szCs w:val="20"/>
                <w:lang w:eastAsia="ko-KR"/>
              </w:rPr>
              <w:t>F</w:t>
            </w:r>
            <w:r>
              <w:rPr>
                <w:rFonts w:ascii="Times New Roman" w:eastAsia="Malgun Gothic" w:hAnsi="Times New Roman" w:cs="Times New Roman"/>
                <w:iCs/>
                <w:sz w:val="20"/>
                <w:szCs w:val="20"/>
                <w:lang w:eastAsia="ko-KR"/>
              </w:rPr>
              <w:t>urthermore, if it is real problem, would similar situation be happened in FR2 TN as well?</w:t>
            </w:r>
          </w:p>
        </w:tc>
      </w:tr>
      <w:tr w:rsidR="001C7992" w:rsidRPr="008F1B0B" w14:paraId="4BC5B07F" w14:textId="77777777" w:rsidTr="009F194C">
        <w:tc>
          <w:tcPr>
            <w:tcW w:w="2122" w:type="dxa"/>
          </w:tcPr>
          <w:p w14:paraId="241D75CE" w14:textId="21AE1840"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N</w:t>
            </w:r>
            <w:r>
              <w:rPr>
                <w:rFonts w:ascii="Times New Roman" w:hAnsi="Times New Roman" w:cs="Times New Roman"/>
                <w:iCs/>
                <w:sz w:val="20"/>
                <w:szCs w:val="20"/>
              </w:rPr>
              <w:t>EC</w:t>
            </w:r>
          </w:p>
        </w:tc>
        <w:tc>
          <w:tcPr>
            <w:tcW w:w="2126" w:type="dxa"/>
          </w:tcPr>
          <w:p w14:paraId="193D2C1E" w14:textId="768AA4A1" w:rsidR="001C7992" w:rsidRPr="005529A0" w:rsidRDefault="001C7992" w:rsidP="00A73928">
            <w:pPr>
              <w:adjustRightInd w:val="0"/>
              <w:snapToGrid w:val="0"/>
              <w:spacing w:after="0" w:line="240" w:lineRule="auto"/>
              <w:rPr>
                <w:rFonts w:ascii="Times New Roman" w:hAnsi="Times New Roman" w:cs="Times New Roman"/>
                <w:bCs/>
                <w:iCs/>
                <w:sz w:val="20"/>
                <w:szCs w:val="20"/>
              </w:rPr>
            </w:pPr>
            <w:r w:rsidRPr="005529A0">
              <w:rPr>
                <w:rFonts w:ascii="Times New Roman" w:hAnsi="Times New Roman" w:cs="Times New Roman" w:hint="eastAsia"/>
                <w:bCs/>
                <w:iCs/>
                <w:sz w:val="20"/>
                <w:szCs w:val="20"/>
              </w:rPr>
              <w:t>N</w:t>
            </w:r>
            <w:r w:rsidRPr="005529A0">
              <w:rPr>
                <w:rFonts w:ascii="Times New Roman" w:hAnsi="Times New Roman" w:cs="Times New Roman"/>
                <w:bCs/>
                <w:iCs/>
                <w:sz w:val="20"/>
                <w:szCs w:val="20"/>
              </w:rPr>
              <w:t>either</w:t>
            </w:r>
          </w:p>
        </w:tc>
        <w:tc>
          <w:tcPr>
            <w:tcW w:w="5714" w:type="dxa"/>
          </w:tcPr>
          <w:p w14:paraId="5AD22AED" w14:textId="07FB61ED" w:rsidR="001C7992" w:rsidRPr="001C7992" w:rsidRDefault="001C7992"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hint="eastAsia"/>
                <w:iCs/>
                <w:sz w:val="20"/>
                <w:szCs w:val="20"/>
              </w:rPr>
              <w:t>B</w:t>
            </w:r>
            <w:r>
              <w:rPr>
                <w:rFonts w:ascii="Times New Roman" w:hAnsi="Times New Roman" w:cs="Times New Roman"/>
                <w:iCs/>
                <w:sz w:val="20"/>
                <w:szCs w:val="20"/>
              </w:rPr>
              <w:t>ased on current specification,</w:t>
            </w:r>
            <w:r w:rsidR="005A30BA">
              <w:rPr>
                <w:rFonts w:ascii="Times New Roman" w:hAnsi="Times New Roman" w:cs="Times New Roman"/>
                <w:iCs/>
                <w:sz w:val="20"/>
                <w:szCs w:val="20"/>
              </w:rPr>
              <w:t xml:space="preserve"> the</w:t>
            </w:r>
            <w:r w:rsidR="00B65805" w:rsidRPr="00B65805">
              <w:rPr>
                <w:rFonts w:ascii="Times New Roman" w:hAnsi="Times New Roman" w:cs="Times New Roman"/>
                <w:iCs/>
                <w:sz w:val="20"/>
                <w:szCs w:val="20"/>
                <w:lang w:val="en-GB"/>
              </w:rPr>
              <w:t xml:space="preserve"> </w:t>
            </w:r>
            <w:r w:rsidR="00B65805" w:rsidRPr="00B65805">
              <w:rPr>
                <w:rFonts w:ascii="Times New Roman" w:hAnsi="Times New Roman" w:cs="Times New Roman"/>
                <w:i/>
                <w:iCs/>
                <w:sz w:val="20"/>
                <w:szCs w:val="20"/>
                <w:lang w:val="en-GB"/>
              </w:rPr>
              <w:t>ta-</w:t>
            </w:r>
            <w:proofErr w:type="spellStart"/>
            <w:r w:rsidR="00B65805" w:rsidRPr="00B65805">
              <w:rPr>
                <w:rFonts w:ascii="Times New Roman" w:hAnsi="Times New Roman" w:cs="Times New Roman"/>
                <w:i/>
                <w:iCs/>
                <w:sz w:val="20"/>
                <w:szCs w:val="20"/>
                <w:lang w:val="en-GB"/>
              </w:rPr>
              <w:t>CommonDrift</w:t>
            </w:r>
            <w:proofErr w:type="spellEnd"/>
            <w:r w:rsidR="00B65805" w:rsidRPr="00B65805">
              <w:rPr>
                <w:rFonts w:ascii="Times New Roman" w:hAnsi="Times New Roman" w:cs="Times New Roman"/>
                <w:iCs/>
                <w:sz w:val="20"/>
                <w:szCs w:val="20"/>
                <w:lang w:val="en-GB"/>
              </w:rPr>
              <w:t xml:space="preserve"> belongs to an </w:t>
            </w:r>
            <w:r w:rsidR="00B65805" w:rsidRPr="00B65805">
              <w:rPr>
                <w:rFonts w:ascii="Times New Roman" w:hAnsi="Times New Roman" w:cs="Times New Roman"/>
                <w:iCs/>
                <w:sz w:val="20"/>
                <w:szCs w:val="20"/>
                <w:lang w:val="en-GB"/>
              </w:rPr>
              <w:lastRenderedPageBreak/>
              <w:t xml:space="preserve">integer of </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w:t>
            </w:r>
            <w:r w:rsidR="00B65805" w:rsidRPr="00B65805">
              <w:rPr>
                <w:rFonts w:ascii="Times New Roman" w:hAnsi="Times New Roman" w:cs="Times New Roman" w:hint="eastAsia"/>
                <w:iCs/>
                <w:sz w:val="20"/>
                <w:szCs w:val="20"/>
                <w:lang w:val="en-GB"/>
              </w:rPr>
              <w:t>257303)</w:t>
            </w:r>
            <w:r w:rsidR="00B65805" w:rsidRPr="00B65805">
              <w:rPr>
                <w:rFonts w:ascii="Times New Roman" w:hAnsi="Times New Roman" w:cs="Times New Roman"/>
                <w:iCs/>
                <w:sz w:val="20"/>
                <w:szCs w:val="20"/>
                <w:lang w:val="en-GB"/>
              </w:rPr>
              <w:t>, with a granularity of 0.2 × 10</w:t>
            </w:r>
            <w:r w:rsidR="00B65805" w:rsidRPr="00B65805">
              <w:rPr>
                <w:rFonts w:ascii="Times New Roman" w:hAnsi="Times New Roman" w:cs="Times New Roman"/>
                <w:iCs/>
                <w:sz w:val="20"/>
                <w:szCs w:val="20"/>
                <w:vertAlign w:val="superscript"/>
                <w:lang w:val="en-GB"/>
              </w:rPr>
              <w:t>-3</w:t>
            </w:r>
            <w:r w:rsidR="00B65805" w:rsidRPr="00B65805">
              <w:rPr>
                <w:rFonts w:ascii="Times New Roman" w:hAnsi="Times New Roman" w:cs="Times New Roman"/>
                <w:iCs/>
                <w:sz w:val="20"/>
                <w:szCs w:val="20"/>
                <w:lang w:val="en-GB"/>
              </w:rPr>
              <w:t xml:space="preserve"> </w:t>
            </w:r>
            <w:proofErr w:type="spellStart"/>
            <w:r w:rsidR="00B65805" w:rsidRPr="00B65805">
              <w:rPr>
                <w:rFonts w:ascii="Times New Roman" w:hAnsi="Times New Roman" w:cs="Times New Roman"/>
                <w:iCs/>
                <w:sz w:val="20"/>
                <w:szCs w:val="20"/>
                <w:lang w:val="en-GB"/>
              </w:rPr>
              <w:t>μs⁄s</w:t>
            </w:r>
            <w:proofErr w:type="spellEnd"/>
            <w:r w:rsidR="005529A0">
              <w:rPr>
                <w:rFonts w:ascii="Times New Roman" w:hAnsi="Times New Roman" w:cs="Times New Roman"/>
                <w:iCs/>
                <w:sz w:val="20"/>
                <w:szCs w:val="20"/>
                <w:lang w:val="en-GB"/>
              </w:rPr>
              <w:t>. Thus,</w:t>
            </w:r>
            <w:r>
              <w:rPr>
                <w:rFonts w:ascii="Times New Roman" w:hAnsi="Times New Roman" w:cs="Times New Roman"/>
                <w:iCs/>
                <w:sz w:val="20"/>
                <w:szCs w:val="20"/>
              </w:rPr>
              <w:t xml:space="preserve"> </w:t>
            </w:r>
            <w:r w:rsidR="00F65CBA">
              <w:rPr>
                <w:rFonts w:ascii="Times New Roman" w:hAnsi="Times New Roman" w:cs="Times New Roman"/>
                <w:iCs/>
                <w:sz w:val="20"/>
                <w:szCs w:val="20"/>
              </w:rPr>
              <w:t xml:space="preserve">an </w:t>
            </w:r>
            <w:r>
              <w:rPr>
                <w:rFonts w:ascii="Times New Roman" w:hAnsi="Times New Roman" w:cs="Times New Roman"/>
                <w:iCs/>
                <w:sz w:val="20"/>
                <w:szCs w:val="20"/>
              </w:rPr>
              <w:t xml:space="preserve">UE can </w:t>
            </w:r>
            <w:r w:rsidR="005529A0">
              <w:rPr>
                <w:rFonts w:ascii="Times New Roman" w:hAnsi="Times New Roman" w:cs="Times New Roman"/>
                <w:iCs/>
                <w:sz w:val="20"/>
                <w:szCs w:val="20"/>
              </w:rPr>
              <w:t xml:space="preserve">already </w:t>
            </w:r>
            <w:r w:rsidR="00551235">
              <w:rPr>
                <w:rFonts w:ascii="Times New Roman" w:hAnsi="Times New Roman" w:cs="Times New Roman"/>
                <w:iCs/>
                <w:sz w:val="20"/>
                <w:szCs w:val="20"/>
              </w:rPr>
              <w:t xml:space="preserve">determine a negative </w:t>
            </w:r>
            <m:oMath>
              <m:sSubSup>
                <m:sSubSupPr>
                  <m:ctrlPr>
                    <w:rPr>
                      <w:rFonts w:ascii="Cambria Math" w:eastAsia="宋体" w:hAnsi="Cambria Math" w:cs="Times New Roman"/>
                      <w:sz w:val="22"/>
                      <w:szCs w:val="22"/>
                    </w:rPr>
                  </m:ctrlPr>
                </m:sSubSupPr>
                <m:e>
                  <m:r>
                    <w:rPr>
                      <w:rFonts w:ascii="Cambria Math" w:eastAsia="宋体" w:hAnsi="Cambria Math" w:cs="Times New Roman"/>
                      <w:sz w:val="22"/>
                      <w:szCs w:val="22"/>
                    </w:rPr>
                    <m:t>N</m:t>
                  </m:r>
                </m:e>
                <m:sub>
                  <m:r>
                    <m:rPr>
                      <m:nor/>
                    </m:rPr>
                    <w:rPr>
                      <w:rFonts w:ascii="Times New Roman" w:eastAsia="宋体" w:hAnsi="Times New Roman" w:cs="Times New Roman"/>
                      <w:sz w:val="22"/>
                      <w:szCs w:val="22"/>
                    </w:rPr>
                    <m:t>TA,adj</m:t>
                  </m:r>
                </m:sub>
                <m:sup>
                  <m:r>
                    <m:rPr>
                      <m:nor/>
                    </m:rPr>
                    <w:rPr>
                      <w:rFonts w:ascii="Times New Roman" w:eastAsia="宋体" w:hAnsi="Times New Roman" w:cs="Times New Roman"/>
                      <w:sz w:val="22"/>
                      <w:szCs w:val="22"/>
                    </w:rPr>
                    <m:t>common</m:t>
                  </m:r>
                </m:sup>
              </m:sSubSup>
            </m:oMath>
            <w:r w:rsidR="00551235">
              <w:rPr>
                <w:rFonts w:ascii="Times New Roman" w:hAnsi="Times New Roman" w:cs="Times New Roman" w:hint="eastAsia"/>
                <w:sz w:val="22"/>
                <w:szCs w:val="22"/>
              </w:rPr>
              <w:t xml:space="preserve"> </w:t>
            </w:r>
            <w:r w:rsidR="00551235">
              <w:rPr>
                <w:rFonts w:ascii="Times New Roman" w:hAnsi="Times New Roman" w:cs="Times New Roman"/>
                <w:sz w:val="22"/>
                <w:szCs w:val="22"/>
              </w:rPr>
              <w:t xml:space="preserve">when the network configure a negative </w:t>
            </w:r>
            <w:r w:rsidR="005A30BA" w:rsidRPr="0022106E">
              <w:rPr>
                <w:rFonts w:ascii="Times New Roman" w:eastAsia="Times New Roman" w:hAnsi="Times New Roman" w:cs="Times New Roman"/>
                <w:i/>
                <w:iCs/>
                <w:sz w:val="22"/>
                <w:szCs w:val="22"/>
                <w:lang w:eastAsia="en-GB"/>
              </w:rPr>
              <w:t>ta-</w:t>
            </w:r>
            <w:proofErr w:type="spellStart"/>
            <w:r w:rsidR="005A30BA" w:rsidRPr="0022106E">
              <w:rPr>
                <w:rFonts w:ascii="Times New Roman" w:eastAsia="Times New Roman" w:hAnsi="Times New Roman" w:cs="Times New Roman"/>
                <w:i/>
                <w:iCs/>
                <w:sz w:val="22"/>
                <w:szCs w:val="22"/>
                <w:lang w:eastAsia="en-GB"/>
              </w:rPr>
              <w:t>CommonDrift</w:t>
            </w:r>
            <w:proofErr w:type="spellEnd"/>
            <w:r w:rsidR="00F65CBA">
              <w:rPr>
                <w:rFonts w:ascii="Times New Roman" w:eastAsia="Times New Roman" w:hAnsi="Times New Roman" w:cs="Times New Roman"/>
                <w:i/>
                <w:iCs/>
                <w:sz w:val="22"/>
                <w:szCs w:val="22"/>
                <w:lang w:eastAsia="en-GB"/>
              </w:rPr>
              <w:t>.</w:t>
            </w:r>
          </w:p>
        </w:tc>
      </w:tr>
      <w:tr w:rsidR="0027432C" w:rsidRPr="008F1B0B" w14:paraId="6F7444EA" w14:textId="77777777" w:rsidTr="009F194C">
        <w:tc>
          <w:tcPr>
            <w:tcW w:w="2122" w:type="dxa"/>
          </w:tcPr>
          <w:p w14:paraId="238508AA" w14:textId="3A7A9964" w:rsidR="0027432C" w:rsidRDefault="0027432C"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Ericsson</w:t>
            </w:r>
          </w:p>
        </w:tc>
        <w:tc>
          <w:tcPr>
            <w:tcW w:w="2126" w:type="dxa"/>
          </w:tcPr>
          <w:p w14:paraId="41AA29D7" w14:textId="15E00CD4" w:rsidR="0027432C" w:rsidRPr="005529A0" w:rsidRDefault="0027432C"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3813ECE8" w14:textId="056960D0" w:rsidR="0027432C" w:rsidRDefault="00C421DB" w:rsidP="00A73928">
            <w:pPr>
              <w:adjustRightInd w:val="0"/>
              <w:snapToGrid w:val="0"/>
              <w:spacing w:after="0" w:line="240" w:lineRule="auto"/>
              <w:rPr>
                <w:rFonts w:ascii="Times New Roman" w:hAnsi="Times New Roman" w:cs="Times New Roman"/>
                <w:iCs/>
                <w:sz w:val="20"/>
                <w:szCs w:val="20"/>
              </w:rPr>
            </w:pPr>
            <w:r>
              <w:rPr>
                <w:rFonts w:ascii="Times New Roman" w:eastAsia="Malgun Gothic" w:hAnsi="Times New Roman" w:cs="Times New Roman"/>
                <w:iCs/>
                <w:sz w:val="20"/>
                <w:szCs w:val="20"/>
                <w:lang w:eastAsia="ko-KR"/>
              </w:rPr>
              <w:t xml:space="preserve">We do not agree that the potential issue of </w:t>
            </w:r>
            <w:proofErr w:type="spellStart"/>
            <w:r>
              <w:rPr>
                <w:rFonts w:ascii="Times New Roman" w:eastAsia="Malgun Gothic" w:hAnsi="Times New Roman" w:cs="Times New Roman"/>
                <w:iCs/>
                <w:sz w:val="20"/>
                <w:szCs w:val="20"/>
                <w:lang w:eastAsia="ko-KR"/>
              </w:rPr>
              <w:t>T</w:t>
            </w:r>
            <w:r w:rsidRPr="00C421DB">
              <w:rPr>
                <w:rFonts w:ascii="Times New Roman" w:eastAsia="Malgun Gothic" w:hAnsi="Times New Roman" w:cs="Times New Roman"/>
                <w:iCs/>
                <w:sz w:val="20"/>
                <w:szCs w:val="20"/>
                <w:vertAlign w:val="subscript"/>
                <w:lang w:eastAsia="ko-KR"/>
              </w:rPr>
              <w:t>e_NTN</w:t>
            </w:r>
            <w:proofErr w:type="spellEnd"/>
            <w:r>
              <w:rPr>
                <w:rFonts w:ascii="Times New Roman" w:eastAsia="Malgun Gothic" w:hAnsi="Times New Roman" w:cs="Times New Roman"/>
                <w:iCs/>
                <w:sz w:val="20"/>
                <w:szCs w:val="20"/>
                <w:lang w:eastAsia="ko-KR"/>
              </w:rPr>
              <w:t xml:space="preserve">&gt;CP/2 for 120 kHz SCS can be solved with a negative Common TA. If the spread in RX timing is too large to be covered by the CP length, it will be too large also with a negative common TA. Adjustment of the FFT window position can achieve the same as a negative Common TA but without specification impact. Therefore, sticking to 0 as the minimum value for ta-Common will not </w:t>
            </w:r>
            <w:r w:rsidRPr="00386C4E">
              <w:rPr>
                <w:rFonts w:ascii="Times New Roman" w:eastAsia="Malgun Gothic" w:hAnsi="Times New Roman" w:cs="Times New Roman"/>
                <w:iCs/>
                <w:sz w:val="20"/>
                <w:szCs w:val="20"/>
                <w:lang w:eastAsia="ko-KR"/>
              </w:rPr>
              <w:t>cause performance degradation of Msg3 PUSCH</w:t>
            </w:r>
            <w:r>
              <w:rPr>
                <w:rFonts w:ascii="Times New Roman" w:eastAsia="Malgun Gothic" w:hAnsi="Times New Roman" w:cs="Times New Roman"/>
                <w:iCs/>
                <w:sz w:val="20"/>
                <w:szCs w:val="20"/>
                <w:lang w:eastAsia="ko-KR"/>
              </w:rPr>
              <w:t>.</w:t>
            </w:r>
          </w:p>
        </w:tc>
      </w:tr>
      <w:tr w:rsidR="00993654" w:rsidRPr="008F1B0B" w14:paraId="47BBA69A" w14:textId="77777777" w:rsidTr="009F194C">
        <w:tc>
          <w:tcPr>
            <w:tcW w:w="2122" w:type="dxa"/>
          </w:tcPr>
          <w:p w14:paraId="1752133E" w14:textId="2C8BF8DC" w:rsidR="00993654" w:rsidRDefault="00993654"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Apple</w:t>
            </w:r>
          </w:p>
        </w:tc>
        <w:tc>
          <w:tcPr>
            <w:tcW w:w="2126" w:type="dxa"/>
          </w:tcPr>
          <w:p w14:paraId="42B8FA6E" w14:textId="104A7662" w:rsidR="00993654" w:rsidRDefault="00993654"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07F2CBFC" w14:textId="5E5EE58C"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1.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in RAN4 spec. for FR2 has not finalized.</w:t>
            </w:r>
          </w:p>
          <w:p w14:paraId="2382D6C7" w14:textId="77777777" w:rsidR="00993654" w:rsidRDefault="00993654"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2. Even if the </w:t>
            </w:r>
            <w:proofErr w:type="spellStart"/>
            <w:r>
              <w:rPr>
                <w:rFonts w:ascii="Times New Roman" w:eastAsia="Malgun Gothic" w:hAnsi="Times New Roman" w:cs="Times New Roman"/>
                <w:iCs/>
                <w:sz w:val="20"/>
                <w:szCs w:val="20"/>
                <w:lang w:eastAsia="ko-KR"/>
              </w:rPr>
              <w:t>T_eNTN</w:t>
            </w:r>
            <w:proofErr w:type="spellEnd"/>
            <w:r>
              <w:rPr>
                <w:rFonts w:ascii="Times New Roman" w:eastAsia="Malgun Gothic" w:hAnsi="Times New Roman" w:cs="Times New Roman"/>
                <w:iCs/>
                <w:sz w:val="20"/>
                <w:szCs w:val="20"/>
                <w:lang w:eastAsia="ko-KR"/>
              </w:rPr>
              <w:t xml:space="preserve"> value is fixed as in the table, we think this applies to both transparent payload and regenerative payload. Hence, we do not think it is a problem specific to regenerative payload scenario. </w:t>
            </w:r>
          </w:p>
          <w:p w14:paraId="1CC2D0C1"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2445B868"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With the above 2 arguments, we think the following proposal from last round should be used. </w:t>
            </w:r>
          </w:p>
          <w:p w14:paraId="113FC20E" w14:textId="77777777" w:rsidR="003711BF" w:rsidRDefault="003711BF" w:rsidP="00A73928">
            <w:pPr>
              <w:adjustRightInd w:val="0"/>
              <w:snapToGrid w:val="0"/>
              <w:spacing w:after="0" w:line="240" w:lineRule="auto"/>
              <w:rPr>
                <w:rFonts w:ascii="Times New Roman" w:eastAsia="Malgun Gothic" w:hAnsi="Times New Roman" w:cs="Times New Roman"/>
                <w:iCs/>
                <w:sz w:val="20"/>
                <w:szCs w:val="20"/>
                <w:lang w:eastAsia="ko-KR"/>
              </w:rPr>
            </w:pPr>
          </w:p>
          <w:p w14:paraId="4D6C1DAF" w14:textId="4C370C79" w:rsidR="003711BF" w:rsidRPr="003711BF" w:rsidRDefault="003711BF" w:rsidP="00A73928">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tc>
      </w:tr>
      <w:tr w:rsidR="00F775E0" w:rsidRPr="008F1B0B" w14:paraId="2549C56F" w14:textId="77777777" w:rsidTr="009F194C">
        <w:tc>
          <w:tcPr>
            <w:tcW w:w="2122" w:type="dxa"/>
          </w:tcPr>
          <w:p w14:paraId="500187FF" w14:textId="5E919507" w:rsidR="00F775E0" w:rsidRDefault="00F775E0" w:rsidP="00A73928">
            <w:pPr>
              <w:adjustRightInd w:val="0"/>
              <w:snapToGrid w:val="0"/>
              <w:spacing w:after="0" w:line="240" w:lineRule="auto"/>
              <w:rPr>
                <w:rFonts w:ascii="Times New Roman" w:hAnsi="Times New Roman" w:cs="Times New Roman"/>
                <w:iCs/>
                <w:sz w:val="20"/>
                <w:szCs w:val="20"/>
              </w:rPr>
            </w:pPr>
            <w:r>
              <w:rPr>
                <w:rFonts w:ascii="Times New Roman" w:hAnsi="Times New Roman" w:cs="Times New Roman"/>
                <w:iCs/>
                <w:sz w:val="20"/>
                <w:szCs w:val="20"/>
              </w:rPr>
              <w:t>Nokia</w:t>
            </w:r>
          </w:p>
        </w:tc>
        <w:tc>
          <w:tcPr>
            <w:tcW w:w="2126" w:type="dxa"/>
          </w:tcPr>
          <w:p w14:paraId="65CB1FBF" w14:textId="1001613A" w:rsidR="00F775E0" w:rsidRDefault="00F775E0" w:rsidP="00A73928">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Neither</w:t>
            </w:r>
          </w:p>
        </w:tc>
        <w:tc>
          <w:tcPr>
            <w:tcW w:w="5714" w:type="dxa"/>
          </w:tcPr>
          <w:p w14:paraId="5A6A03A4" w14:textId="77777777"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Agree with Ericsson and Apple.</w:t>
            </w:r>
          </w:p>
          <w:p w14:paraId="3C8DC19F" w14:textId="2BCA2636" w:rsidR="00F775E0" w:rsidRDefault="00F775E0"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This topic has been discussed at length, and it seems that many companies are aligned on the view of not having any problems with sticking with 0 as the minimum value of ta-Common.</w:t>
            </w:r>
          </w:p>
        </w:tc>
      </w:tr>
      <w:tr w:rsidR="008F0043" w:rsidRPr="008F1B0B" w14:paraId="4390BA41" w14:textId="77777777" w:rsidTr="009F194C">
        <w:tc>
          <w:tcPr>
            <w:tcW w:w="2122" w:type="dxa"/>
          </w:tcPr>
          <w:p w14:paraId="463FF122" w14:textId="73923187" w:rsidR="008F0043" w:rsidRDefault="008F0043" w:rsidP="00A73928">
            <w:pPr>
              <w:adjustRightInd w:val="0"/>
              <w:snapToGrid w:val="0"/>
              <w:spacing w:after="0" w:line="240" w:lineRule="auto"/>
              <w:rPr>
                <w:rFonts w:ascii="Times New Roman" w:hAnsi="Times New Roman" w:cs="Times New Roman"/>
                <w:iCs/>
                <w:sz w:val="20"/>
                <w:szCs w:val="20"/>
              </w:rPr>
            </w:pPr>
            <w:proofErr w:type="spellStart"/>
            <w:r>
              <w:rPr>
                <w:rFonts w:ascii="Times New Roman" w:hAnsi="Times New Roman" w:cs="Times New Roman"/>
                <w:iCs/>
                <w:sz w:val="20"/>
                <w:szCs w:val="20"/>
              </w:rPr>
              <w:t>Huaawei</w:t>
            </w:r>
            <w:proofErr w:type="spellEnd"/>
            <w:r>
              <w:rPr>
                <w:rFonts w:ascii="Times New Roman" w:hAnsi="Times New Roman" w:cs="Times New Roman"/>
                <w:iCs/>
                <w:sz w:val="20"/>
                <w:szCs w:val="20"/>
              </w:rPr>
              <w:t>, HiSilicon</w:t>
            </w:r>
          </w:p>
        </w:tc>
        <w:tc>
          <w:tcPr>
            <w:tcW w:w="2126" w:type="dxa"/>
          </w:tcPr>
          <w:p w14:paraId="1E127FF1" w14:textId="23F719F0" w:rsidR="008F0043" w:rsidRDefault="004051DC" w:rsidP="00A73928">
            <w:pPr>
              <w:adjustRightInd w:val="0"/>
              <w:snapToGrid w:val="0"/>
              <w:spacing w:after="0" w:line="240" w:lineRule="auto"/>
              <w:rPr>
                <w:rFonts w:ascii="Times New Roman" w:hAnsi="Times New Roman" w:cs="Times New Roman" w:hint="eastAsia"/>
                <w:bCs/>
                <w:iCs/>
                <w:sz w:val="20"/>
                <w:szCs w:val="20"/>
              </w:rPr>
            </w:pPr>
            <w:r>
              <w:rPr>
                <w:rFonts w:ascii="Times New Roman" w:hAnsi="Times New Roman" w:cs="Times New Roman"/>
                <w:bCs/>
                <w:iCs/>
                <w:sz w:val="20"/>
                <w:szCs w:val="20"/>
              </w:rPr>
              <w:t>Fine with option 1 or option2</w:t>
            </w:r>
          </w:p>
        </w:tc>
        <w:tc>
          <w:tcPr>
            <w:tcW w:w="5714" w:type="dxa"/>
          </w:tcPr>
          <w:p w14:paraId="68F1B033" w14:textId="77777777" w:rsidR="008F0043" w:rsidRDefault="004051DC" w:rsidP="00A73928">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We think at least there is no consensus on RAN1 understanding. Regarding DCM’s and Samsung’s question on why this is not an issue for transparent satellite, we would like have the following further clarifications:</w:t>
            </w:r>
          </w:p>
          <w:p w14:paraId="55A0FDC4"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When we discuss FR2-NTN, there was discussion on whether negative TA is introduced in FR2-NTN, the solution is the </w:t>
            </w:r>
            <w:proofErr w:type="spellStart"/>
            <w:r>
              <w:rPr>
                <w:rFonts w:ascii="Times New Roman" w:eastAsia="Malgun Gothic" w:hAnsi="Times New Roman" w:cs="Times New Roman"/>
                <w:iCs/>
                <w:sz w:val="20"/>
                <w:szCs w:val="20"/>
                <w:lang w:eastAsia="ko-KR"/>
              </w:rPr>
              <w:t>gNB</w:t>
            </w:r>
            <w:proofErr w:type="spellEnd"/>
            <w:r>
              <w:rPr>
                <w:rFonts w:ascii="Times New Roman" w:eastAsia="Malgun Gothic" w:hAnsi="Times New Roman" w:cs="Times New Roman"/>
                <w:iCs/>
                <w:sz w:val="20"/>
                <w:szCs w:val="20"/>
                <w:lang w:eastAsia="ko-KR"/>
              </w:rPr>
              <w:t xml:space="preserve"> can configure a smaller common TA value to resolve the issue of over-compensation on UE. </w:t>
            </w:r>
          </w:p>
          <w:p w14:paraId="0DCAAE9A" w14:textId="77777777" w:rsidR="004051DC" w:rsidRDefault="004051DC" w:rsidP="004051DC">
            <w:pPr>
              <w:pStyle w:val="affb"/>
              <w:numPr>
                <w:ilvl w:val="0"/>
                <w:numId w:val="9"/>
              </w:num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However, this </w:t>
            </w:r>
            <w:proofErr w:type="gramStart"/>
            <w:r>
              <w:rPr>
                <w:rFonts w:ascii="Times New Roman" w:eastAsia="Malgun Gothic" w:hAnsi="Times New Roman" w:cs="Times New Roman"/>
                <w:iCs/>
                <w:sz w:val="20"/>
                <w:szCs w:val="20"/>
                <w:lang w:eastAsia="ko-KR"/>
              </w:rPr>
              <w:t>cannot  be</w:t>
            </w:r>
            <w:proofErr w:type="gramEnd"/>
            <w:r>
              <w:rPr>
                <w:rFonts w:ascii="Times New Roman" w:eastAsia="Malgun Gothic" w:hAnsi="Times New Roman" w:cs="Times New Roman"/>
                <w:iCs/>
                <w:sz w:val="20"/>
                <w:szCs w:val="20"/>
                <w:lang w:eastAsia="ko-KR"/>
              </w:rPr>
              <w:t xml:space="preserve"> used when a regenerative satellite payload is used. </w:t>
            </w:r>
          </w:p>
          <w:p w14:paraId="46C30B2E" w14:textId="4BD360BC" w:rsidR="004051DC" w:rsidRPr="004051DC" w:rsidRDefault="004051DC" w:rsidP="004051DC">
            <w:pPr>
              <w:adjustRightInd w:val="0"/>
              <w:snapToGrid w:val="0"/>
              <w:spacing w:after="0" w:line="240" w:lineRule="auto"/>
              <w:rPr>
                <w:rFonts w:ascii="Times New Roman" w:eastAsia="Malgun Gothic" w:hAnsi="Times New Roman" w:cs="Times New Roman"/>
                <w:iCs/>
                <w:sz w:val="20"/>
                <w:szCs w:val="20"/>
                <w:lang w:eastAsia="ko-KR"/>
              </w:rPr>
            </w:pPr>
            <w:r>
              <w:rPr>
                <w:rFonts w:ascii="Times New Roman" w:eastAsia="Malgun Gothic" w:hAnsi="Times New Roman" w:cs="Times New Roman"/>
                <w:iCs/>
                <w:sz w:val="20"/>
                <w:szCs w:val="20"/>
                <w:lang w:eastAsia="ko-KR"/>
              </w:rPr>
              <w:t xml:space="preserve">Therefore, we think this should be re-discussed and resolved for scenario </w:t>
            </w:r>
            <w:r w:rsidRPr="004051DC">
              <w:rPr>
                <w:rFonts w:ascii="Times New Roman" w:eastAsia="Malgun Gothic" w:hAnsi="Times New Roman" w:cs="Times New Roman"/>
                <w:iCs/>
                <w:sz w:val="20"/>
                <w:szCs w:val="20"/>
                <w:lang w:eastAsia="ko-KR"/>
              </w:rPr>
              <w:t xml:space="preserve"> </w:t>
            </w:r>
            <w:r>
              <w:rPr>
                <w:rFonts w:ascii="Times New Roman" w:eastAsia="Malgun Gothic" w:hAnsi="Times New Roman" w:cs="Times New Roman"/>
                <w:iCs/>
                <w:sz w:val="20"/>
                <w:szCs w:val="20"/>
                <w:lang w:eastAsia="ko-KR"/>
              </w:rPr>
              <w:t>of regenerative satellite.</w:t>
            </w:r>
            <w:bookmarkStart w:id="6" w:name="_GoBack"/>
            <w:bookmarkEnd w:id="6"/>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lastRenderedPageBreak/>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447E" w14:textId="77777777" w:rsidR="00EB638F" w:rsidRDefault="00EB638F">
      <w:pPr>
        <w:spacing w:after="0" w:line="240" w:lineRule="auto"/>
      </w:pPr>
      <w:r>
        <w:separator/>
      </w:r>
    </w:p>
  </w:endnote>
  <w:endnote w:type="continuationSeparator" w:id="0">
    <w:p w14:paraId="17DA74A6" w14:textId="77777777" w:rsidR="00EB638F" w:rsidRDefault="00E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5242" w14:textId="77777777" w:rsidR="00EB638F" w:rsidRDefault="00EB638F">
      <w:pPr>
        <w:spacing w:after="0" w:line="240" w:lineRule="auto"/>
      </w:pPr>
      <w:r>
        <w:separator/>
      </w:r>
    </w:p>
  </w:footnote>
  <w:footnote w:type="continuationSeparator" w:id="0">
    <w:p w14:paraId="3AF76FC7" w14:textId="77777777" w:rsidR="00EB638F" w:rsidRDefault="00EB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665631D2"/>
    <w:multiLevelType w:val="hybridMultilevel"/>
    <w:tmpl w:val="80AA8286"/>
    <w:lvl w:ilvl="0" w:tplc="646E7030">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0"/>
  </w:num>
  <w:num w:numId="5">
    <w:abstractNumId w:val="1"/>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27A1"/>
    <w:rsid w:val="00052753"/>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15E7D"/>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C7992"/>
    <w:rsid w:val="001D0D6B"/>
    <w:rsid w:val="001D56AA"/>
    <w:rsid w:val="001E4293"/>
    <w:rsid w:val="001E6FA3"/>
    <w:rsid w:val="001E76C1"/>
    <w:rsid w:val="001F25AF"/>
    <w:rsid w:val="002313BF"/>
    <w:rsid w:val="00231AC1"/>
    <w:rsid w:val="002331A7"/>
    <w:rsid w:val="00243312"/>
    <w:rsid w:val="0024550A"/>
    <w:rsid w:val="0024683F"/>
    <w:rsid w:val="00247716"/>
    <w:rsid w:val="0027287F"/>
    <w:rsid w:val="0027432C"/>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11BF"/>
    <w:rsid w:val="003753A7"/>
    <w:rsid w:val="00380BD1"/>
    <w:rsid w:val="003827E0"/>
    <w:rsid w:val="00385548"/>
    <w:rsid w:val="00390AE4"/>
    <w:rsid w:val="00390FBC"/>
    <w:rsid w:val="003911B0"/>
    <w:rsid w:val="003950C3"/>
    <w:rsid w:val="003A53B2"/>
    <w:rsid w:val="003B6287"/>
    <w:rsid w:val="003C03A2"/>
    <w:rsid w:val="003C081E"/>
    <w:rsid w:val="003C6C0D"/>
    <w:rsid w:val="003D5189"/>
    <w:rsid w:val="003D5310"/>
    <w:rsid w:val="003D633B"/>
    <w:rsid w:val="003D6C1F"/>
    <w:rsid w:val="003E038A"/>
    <w:rsid w:val="003E3979"/>
    <w:rsid w:val="003F4499"/>
    <w:rsid w:val="003F58A5"/>
    <w:rsid w:val="00402579"/>
    <w:rsid w:val="00403AC7"/>
    <w:rsid w:val="004051DC"/>
    <w:rsid w:val="00405441"/>
    <w:rsid w:val="00412CF5"/>
    <w:rsid w:val="0042266D"/>
    <w:rsid w:val="0042388B"/>
    <w:rsid w:val="0042460E"/>
    <w:rsid w:val="00425085"/>
    <w:rsid w:val="00432882"/>
    <w:rsid w:val="00436495"/>
    <w:rsid w:val="00445ADE"/>
    <w:rsid w:val="00451DBF"/>
    <w:rsid w:val="004731D2"/>
    <w:rsid w:val="0049647B"/>
    <w:rsid w:val="004A4291"/>
    <w:rsid w:val="004B740F"/>
    <w:rsid w:val="004C4E8A"/>
    <w:rsid w:val="004E1EDF"/>
    <w:rsid w:val="004E6B37"/>
    <w:rsid w:val="004F4D5C"/>
    <w:rsid w:val="00502436"/>
    <w:rsid w:val="00503B57"/>
    <w:rsid w:val="00505884"/>
    <w:rsid w:val="005137FE"/>
    <w:rsid w:val="0053339D"/>
    <w:rsid w:val="00534ACA"/>
    <w:rsid w:val="00534F89"/>
    <w:rsid w:val="00535980"/>
    <w:rsid w:val="00540571"/>
    <w:rsid w:val="0055032F"/>
    <w:rsid w:val="00551235"/>
    <w:rsid w:val="005529A0"/>
    <w:rsid w:val="005546C2"/>
    <w:rsid w:val="00566142"/>
    <w:rsid w:val="005759A9"/>
    <w:rsid w:val="00585423"/>
    <w:rsid w:val="005A30BA"/>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C14FE"/>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7D6CA2"/>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0043"/>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3654"/>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73928"/>
    <w:rsid w:val="00A8233C"/>
    <w:rsid w:val="00A867E3"/>
    <w:rsid w:val="00AB0D8F"/>
    <w:rsid w:val="00AB2480"/>
    <w:rsid w:val="00AB4B40"/>
    <w:rsid w:val="00AB7482"/>
    <w:rsid w:val="00AB7B9E"/>
    <w:rsid w:val="00AC3AB6"/>
    <w:rsid w:val="00AD6B16"/>
    <w:rsid w:val="00AE4A12"/>
    <w:rsid w:val="00AF19CB"/>
    <w:rsid w:val="00AF639D"/>
    <w:rsid w:val="00B02EA9"/>
    <w:rsid w:val="00B07F5C"/>
    <w:rsid w:val="00B10697"/>
    <w:rsid w:val="00B14A7B"/>
    <w:rsid w:val="00B16BCB"/>
    <w:rsid w:val="00B3150A"/>
    <w:rsid w:val="00B43FEB"/>
    <w:rsid w:val="00B534C9"/>
    <w:rsid w:val="00B61404"/>
    <w:rsid w:val="00B62E05"/>
    <w:rsid w:val="00B65805"/>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361"/>
    <w:rsid w:val="00C03425"/>
    <w:rsid w:val="00C16837"/>
    <w:rsid w:val="00C2253F"/>
    <w:rsid w:val="00C3796A"/>
    <w:rsid w:val="00C421DB"/>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C5BF2"/>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761EB"/>
    <w:rsid w:val="00E93E87"/>
    <w:rsid w:val="00EB197E"/>
    <w:rsid w:val="00EB3337"/>
    <w:rsid w:val="00EB638F"/>
    <w:rsid w:val="00ED3515"/>
    <w:rsid w:val="00ED41EC"/>
    <w:rsid w:val="00ED5F5D"/>
    <w:rsid w:val="00ED6EBA"/>
    <w:rsid w:val="00EE5FCA"/>
    <w:rsid w:val="00EF267E"/>
    <w:rsid w:val="00F063A3"/>
    <w:rsid w:val="00F14A8D"/>
    <w:rsid w:val="00F202F4"/>
    <w:rsid w:val="00F24718"/>
    <w:rsid w:val="00F32D3E"/>
    <w:rsid w:val="00F36458"/>
    <w:rsid w:val="00F40F70"/>
    <w:rsid w:val="00F43EC6"/>
    <w:rsid w:val="00F45403"/>
    <w:rsid w:val="00F53287"/>
    <w:rsid w:val="00F5783C"/>
    <w:rsid w:val="00F632CC"/>
    <w:rsid w:val="00F65CBA"/>
    <w:rsid w:val="00F775E0"/>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D0666-CE32-431A-A207-53010029A1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3349</Words>
  <Characters>19091</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 HiSilicon</cp:lastModifiedBy>
  <cp:revision>2</cp:revision>
  <dcterms:created xsi:type="dcterms:W3CDTF">2024-10-17T07:02:00Z</dcterms:created>
  <dcterms:modified xsi:type="dcterms:W3CDTF">2024-10-17T07:02:00Z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