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lastRenderedPageBreak/>
              <w:t>payload;</w:t>
            </w:r>
            <w:proofErr w:type="gramEnd"/>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gNB would potentially start seeing two “peaks” in the uplink reception </w:t>
            </w:r>
            <w:proofErr w:type="gramStart"/>
            <w:r>
              <w:rPr>
                <w:rFonts w:ascii="Times New Roman" w:hAnsi="Times New Roman" w:cs="Times New Roman"/>
                <w:bCs/>
                <w:iCs/>
                <w:sz w:val="20"/>
                <w:szCs w:val="20"/>
                <w:lang w:eastAsia="en-US"/>
              </w:rPr>
              <w:t>window, and</w:t>
            </w:r>
            <w:proofErr w:type="gramEnd"/>
            <w:r>
              <w:rPr>
                <w:rFonts w:ascii="Times New Roman" w:hAnsi="Times New Roman" w:cs="Times New Roman"/>
                <w:bCs/>
                <w:iCs/>
                <w:sz w:val="20"/>
                <w:szCs w:val="20"/>
                <w:lang w:eastAsia="en-US"/>
              </w:rPr>
              <w:t xml:space="preserve">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Huawei, </w:t>
            </w:r>
            <w:proofErr w:type="spellStart"/>
            <w:r>
              <w:rPr>
                <w:rFonts w:ascii="Times New Roman" w:hAnsi="Times New Roman" w:cs="Times New Roman"/>
                <w:b/>
                <w:iCs/>
                <w:sz w:val="20"/>
                <w:szCs w:val="20"/>
                <w:lang w:eastAsia="en-US"/>
              </w:rPr>
              <w:t>HiSilicon</w:t>
            </w:r>
            <w:proofErr w:type="spellEnd"/>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w:t>
      </w:r>
      <w:proofErr w:type="gramStart"/>
      <w:r>
        <w:rPr>
          <w:rFonts w:ascii="Times New Roman" w:hAnsi="Times New Roman" w:cs="Times New Roman" w:hint="eastAsia"/>
          <w:bCs/>
          <w:iCs/>
          <w:sz w:val="20"/>
          <w:szCs w:val="20"/>
        </w:rPr>
        <w:t>reply</w:t>
      </w:r>
      <w:proofErr w:type="gramEnd"/>
      <w:r>
        <w:rPr>
          <w:rFonts w:ascii="Times New Roman" w:hAnsi="Times New Roman" w:cs="Times New Roman" w:hint="eastAsia"/>
          <w:bCs/>
          <w:iCs/>
          <w:sz w:val="20"/>
          <w:szCs w:val="20"/>
        </w:rPr>
        <w:t xml:space="preserve">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t>payload;</w:t>
            </w:r>
            <w:proofErr w:type="gramEnd"/>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ListParagraph"/>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Huawei, </w:t>
            </w:r>
            <w:proofErr w:type="spellStart"/>
            <w:r>
              <w:rPr>
                <w:rFonts w:ascii="Times New Roman" w:hAnsi="Times New Roman" w:cs="Times New Roman"/>
                <w:bCs/>
                <w:iCs/>
                <w:sz w:val="20"/>
                <w:szCs w:val="20"/>
              </w:rPr>
              <w:t>HiSilicon</w:t>
            </w:r>
            <w:proofErr w:type="spellEnd"/>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ListParagraph"/>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w:t>
      </w:r>
      <w:proofErr w:type="gramStart"/>
      <w:r w:rsidR="001C13D1">
        <w:rPr>
          <w:rFonts w:ascii="Times New Roman" w:hAnsi="Times New Roman" w:cs="Times New Roman" w:hint="eastAsia"/>
          <w:bCs/>
          <w:iCs/>
          <w:sz w:val="20"/>
          <w:szCs w:val="20"/>
        </w:rPr>
        <w:t>reply</w:t>
      </w:r>
      <w:proofErr w:type="gramEnd"/>
      <w:r w:rsidR="001C13D1">
        <w:rPr>
          <w:rFonts w:ascii="Times New Roman" w:hAnsi="Times New Roman" w:cs="Times New Roman" w:hint="eastAsia"/>
          <w:bCs/>
          <w:iCs/>
          <w:sz w:val="20"/>
          <w:szCs w:val="20"/>
        </w:rPr>
        <w:t xml:space="preserve">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SimSun" w:hAnsi="Cambria Math" w:cs="Times New Roman"/>
                      <w:sz w:val="22"/>
                      <w:szCs w:val="22"/>
                    </w:rPr>
                  </m:ctrlPr>
                </m:sSubSupPr>
                <m:e>
                  <m:r>
                    <w:rPr>
                      <w:rFonts w:ascii="Cambria Math" w:eastAsia="SimSun" w:hAnsi="Cambria Math" w:cs="Times New Roman"/>
                      <w:sz w:val="22"/>
                      <w:szCs w:val="22"/>
                    </w:rPr>
                    <m:t>N</m:t>
                  </m:r>
                </m:e>
                <m:sub>
                  <w:proofErr w:type="gramStart"/>
                  <m:r>
                    <m:rPr>
                      <m:nor/>
                    </m:rPr>
                    <w:rPr>
                      <w:rFonts w:ascii="Times New Roman" w:eastAsia="SimSun" w:hAnsi="Times New Roman" w:cs="Times New Roman"/>
                      <w:sz w:val="22"/>
                      <w:szCs w:val="22"/>
                    </w:rPr>
                    <m:t>TA,adj</m:t>
                  </m:r>
                  <w:proofErr w:type="gramEnd"/>
                </m:sub>
                <m:sup>
                  <m:r>
                    <m:rPr>
                      <m:nor/>
                    </m:rPr>
                    <w:rPr>
                      <w:rFonts w:ascii="Times New Roman" w:eastAsia="SimSun"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r w:rsidR="00993654" w:rsidRPr="008F1B0B" w14:paraId="47BBA69A" w14:textId="77777777" w:rsidTr="009F194C">
        <w:tc>
          <w:tcPr>
            <w:tcW w:w="2122" w:type="dxa"/>
          </w:tcPr>
          <w:p w14:paraId="1752133E" w14:textId="2C8BF8DC" w:rsidR="00993654" w:rsidRDefault="00993654"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Apple</w:t>
            </w:r>
          </w:p>
        </w:tc>
        <w:tc>
          <w:tcPr>
            <w:tcW w:w="2126" w:type="dxa"/>
          </w:tcPr>
          <w:p w14:paraId="42B8FA6E" w14:textId="104A7662" w:rsidR="00993654" w:rsidRDefault="00993654"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07F2CBFC" w14:textId="5E5EE58C"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1.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in RAN4 spec. for FR2 has not finalized.</w:t>
            </w:r>
          </w:p>
          <w:p w14:paraId="2382D6C7" w14:textId="77777777"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2. Even if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value is fixed as in the table, we think this applies to both transparent payload and regenerative payload. Hence, we do not think it is a problem specific to regenerative payload scenario. </w:t>
            </w:r>
          </w:p>
          <w:p w14:paraId="1CC2D0C1"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2445B868"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With the above 2 arguments, we think the following proposal from last round should be used. </w:t>
            </w:r>
          </w:p>
          <w:p w14:paraId="113FC20E"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4D6C1DAF" w14:textId="4C370C79" w:rsidR="003711BF" w:rsidRPr="003711BF" w:rsidRDefault="003711BF" w:rsidP="00A73928">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tc>
      </w:tr>
      <w:tr w:rsidR="00F775E0" w:rsidRPr="008F1B0B" w14:paraId="2549C56F" w14:textId="77777777" w:rsidTr="009F194C">
        <w:tc>
          <w:tcPr>
            <w:tcW w:w="2122" w:type="dxa"/>
          </w:tcPr>
          <w:p w14:paraId="500187FF" w14:textId="5E919507" w:rsidR="00F775E0" w:rsidRDefault="00F775E0"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Nokia</w:t>
            </w:r>
          </w:p>
        </w:tc>
        <w:tc>
          <w:tcPr>
            <w:tcW w:w="2126" w:type="dxa"/>
          </w:tcPr>
          <w:p w14:paraId="65CB1FBF" w14:textId="1001613A" w:rsidR="00F775E0" w:rsidRDefault="00F775E0"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5A6A03A4" w14:textId="77777777"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Agree with Ericsson and Apple.</w:t>
            </w:r>
          </w:p>
          <w:p w14:paraId="3C8DC19F" w14:textId="2BCA2636"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This topic has been discussed at length, and it seems that many companies are aligned on the view of not having any problems with sticking with 0 as the minimum value of ta-Common.</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lastRenderedPageBreak/>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6"/>
        <w:numPr>
          <w:ilvl w:val="0"/>
          <w:numId w:val="3"/>
        </w:numPr>
        <w:rPr>
          <w:sz w:val="20"/>
          <w:szCs w:val="20"/>
        </w:rPr>
      </w:pPr>
      <w:r>
        <w:rPr>
          <w:sz w:val="20"/>
          <w:szCs w:val="20"/>
        </w:rPr>
        <w:t>R1-2408171</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 xml:space="preserve">Discussion on </w:t>
      </w:r>
      <w:proofErr w:type="gramStart"/>
      <w:r>
        <w:rPr>
          <w:sz w:val="20"/>
          <w:szCs w:val="20"/>
        </w:rPr>
        <w:t>reply</w:t>
      </w:r>
      <w:proofErr w:type="gramEnd"/>
      <w:r>
        <w:rPr>
          <w:sz w:val="20"/>
          <w:szCs w:val="20"/>
        </w:rPr>
        <w:t xml:space="preserve">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9890" w14:textId="77777777" w:rsidR="00E761EB" w:rsidRDefault="00E761EB">
      <w:pPr>
        <w:spacing w:after="0" w:line="240" w:lineRule="auto"/>
      </w:pPr>
      <w:r>
        <w:separator/>
      </w:r>
    </w:p>
  </w:endnote>
  <w:endnote w:type="continuationSeparator" w:id="0">
    <w:p w14:paraId="6D087540" w14:textId="77777777" w:rsidR="00E761EB" w:rsidRDefault="00E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E44F" w14:textId="77777777" w:rsidR="00E761EB" w:rsidRDefault="00E761EB">
      <w:pPr>
        <w:spacing w:after="0" w:line="240" w:lineRule="auto"/>
      </w:pPr>
      <w:r>
        <w:separator/>
      </w:r>
    </w:p>
  </w:footnote>
  <w:footnote w:type="continuationSeparator" w:id="0">
    <w:p w14:paraId="580C7A03" w14:textId="77777777" w:rsidR="00E761EB" w:rsidRDefault="00E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657005777">
    <w:abstractNumId w:val="4"/>
  </w:num>
  <w:num w:numId="2" w16cid:durableId="1103067029">
    <w:abstractNumId w:val="2"/>
  </w:num>
  <w:num w:numId="3" w16cid:durableId="325322296">
    <w:abstractNumId w:val="7"/>
    <w:lvlOverride w:ilvl="0">
      <w:startOverride w:val="1"/>
    </w:lvlOverride>
  </w:num>
  <w:num w:numId="4" w16cid:durableId="1090472023">
    <w:abstractNumId w:val="0"/>
  </w:num>
  <w:num w:numId="5" w16cid:durableId="852885847">
    <w:abstractNumId w:val="1"/>
  </w:num>
  <w:num w:numId="6" w16cid:durableId="872040009">
    <w:abstractNumId w:val="6"/>
  </w:num>
  <w:num w:numId="7" w16cid:durableId="1739939551">
    <w:abstractNumId w:val="3"/>
  </w:num>
  <w:num w:numId="8" w16cid:durableId="1327972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15E7D"/>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43312"/>
    <w:rsid w:val="0024550A"/>
    <w:rsid w:val="0024683F"/>
    <w:rsid w:val="00247716"/>
    <w:rsid w:val="0027287F"/>
    <w:rsid w:val="0027432C"/>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11BF"/>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12CF5"/>
    <w:rsid w:val="0042266D"/>
    <w:rsid w:val="0042388B"/>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1235"/>
    <w:rsid w:val="005529A0"/>
    <w:rsid w:val="005546C2"/>
    <w:rsid w:val="00566142"/>
    <w:rsid w:val="005759A9"/>
    <w:rsid w:val="00585423"/>
    <w:rsid w:val="005A30BA"/>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C14FE"/>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7D6CA2"/>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3654"/>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4A7B"/>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361"/>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761EB"/>
    <w:rsid w:val="00E93E87"/>
    <w:rsid w:val="00EB197E"/>
    <w:rsid w:val="00EB3337"/>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775E0"/>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2F"/>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CD035-F2A7-46A3-B9E7-C1B3A26DF4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3251</Words>
  <Characters>18536</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(Frank Frederiksen)</cp:lastModifiedBy>
  <cp:revision>2</cp:revision>
  <dcterms:created xsi:type="dcterms:W3CDTF">2024-10-17T02:08:00Z</dcterms:created>
  <dcterms:modified xsi:type="dcterms:W3CDTF">2024-10-17T02:08:00Z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