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Kmac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Kmac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 xml:space="preserve">For TA accuracy error falls in [-Te,+Te] with Te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맑은 고딕" w:hAnsi="Times New Roman" w:cs="Times New Roman"/>
                <w:iCs/>
                <w:sz w:val="20"/>
                <w:szCs w:val="20"/>
                <w:lang w:eastAsia="ko-KR"/>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he pre-compensation in NTN is assumed to be accurate enough to satisfy the RAN4 requirements Te_NTN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T_eNTN must satisfy RAN4 requirement. This T_eNTN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맑은 고딕" w:eastAsia="맑은 고딕" w:hAnsi="맑은 고딕" w:cs="맑은 고딕"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맑은 고딕" w:hAnsi="Times New Roman" w:cs="Times New Roman"/>
                <w:iCs/>
                <w:sz w:val="20"/>
                <w:szCs w:val="20"/>
                <w:lang w:eastAsia="ko-KR"/>
              </w:rPr>
            </w:pPr>
            <w:r>
              <w:rPr>
                <w:rFonts w:ascii="Times New Roman" w:eastAsia="맑은 고딕"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the gNB can select a FFT window starting from Te after the OFDM symbol boundary for the concerned PRACH reception (also applicable to PUSCH reception as well). With this implementation method, any random accuracy error within [-Te,+Te]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Te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E</w:t>
            </w:r>
            <w:r>
              <w:rPr>
                <w:rFonts w:ascii="Times New Roman" w:eastAsia="맑은 고딕"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맑은 고딕"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Taking OPPO’s figure also as an example, the OPPO’s figure shows that actually the gNB does not have sufficient CP to handle the multi-path transmission of the OFDM signal if all the CP duration used to handle the Te.</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맑은 고딕"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맑은 고딕"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common TA will negatively impact on RACHless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맑은 고딕"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8"/>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TA common</w:t>
            </w:r>
            <w:r w:rsidRPr="00CE1780">
              <w:rPr>
                <w:rFonts w:ascii="Times New Roman" w:hAnsi="Times New Roman" w:cs="Times New Roman"/>
                <w:b/>
                <w:iCs/>
                <w:color w:val="FF0000"/>
                <w:sz w:val="20"/>
                <w:szCs w:val="20"/>
                <w:u w:val="single"/>
              </w:rPr>
              <w:t>ta-Common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TA common</w:t>
            </w:r>
            <w:r w:rsidRPr="00CE1780">
              <w:rPr>
                <w:rFonts w:ascii="Times New Roman" w:hAnsi="Times New Roman" w:cs="Times New Roman"/>
                <w:b/>
                <w:iCs/>
                <w:color w:val="FF0000"/>
                <w:sz w:val="20"/>
                <w:szCs w:val="20"/>
                <w:u w:val="single"/>
              </w:rPr>
              <w:t>ta-Common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a"/>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which is not sufficient to be used to handle the multi-path effect and the overcompensated TA. FR2 Te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a"/>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맑은 고딕" w:hAnsi="Times New Roman" w:cs="Times New Roman" w:hint="eastAsia"/>
                <w:bCs/>
                <w:iCs/>
                <w:sz w:val="20"/>
                <w:szCs w:val="20"/>
                <w:lang w:eastAsia="ko-KR"/>
              </w:rPr>
            </w:pPr>
            <w:r w:rsidRPr="00052753">
              <w:rPr>
                <w:rFonts w:ascii="Times New Roman" w:eastAsia="맑은 고딕"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맑은 고딕" w:hAnsi="Times New Roman" w:cs="Times New Roman"/>
                <w:bCs/>
                <w:iCs/>
                <w:sz w:val="20"/>
                <w:szCs w:val="20"/>
                <w:lang w:eastAsia="ko-KR"/>
              </w:rPr>
              <w:t>’</w:t>
            </w:r>
            <w:r>
              <w:rPr>
                <w:rFonts w:ascii="Times New Roman" w:eastAsia="맑은 고딕"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맑은 고딕" w:hAnsi="Times New Roman" w:cs="Times New Roman" w:hint="eastAsia"/>
                <w:bCs/>
                <w:iCs/>
                <w:sz w:val="20"/>
                <w:szCs w:val="20"/>
                <w:lang w:eastAsia="ko-KR"/>
              </w:rPr>
            </w:pPr>
            <w:r>
              <w:rPr>
                <w:rFonts w:ascii="Times New Roman" w:eastAsia="맑은 고딕"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맑은 고딕" w:hAnsi="Times New Roman" w:cs="Times New Roman" w:hint="eastAsia"/>
                <w:bCs/>
                <w:iCs/>
                <w:sz w:val="20"/>
                <w:szCs w:val="20"/>
                <w:lang w:eastAsia="ko-KR"/>
              </w:rPr>
              <w:t>only</w:t>
            </w:r>
            <w:r>
              <w:rPr>
                <w:rFonts w:ascii="Times New Roman" w:eastAsia="맑은 고딕" w:hAnsi="Times New Roman" w:cs="Times New Roman" w:hint="eastAsia"/>
                <w:bCs/>
                <w:iCs/>
                <w:sz w:val="20"/>
                <w:szCs w:val="20"/>
                <w:lang w:eastAsia="ko-KR"/>
              </w:rPr>
              <w:t xml:space="preserve">. </w:t>
            </w:r>
            <w:r w:rsidR="00534F89">
              <w:rPr>
                <w:rFonts w:ascii="Times New Roman" w:eastAsia="맑은 고딕" w:hAnsi="Times New Roman" w:cs="Times New Roman" w:hint="eastAsia"/>
                <w:bCs/>
                <w:iCs/>
                <w:sz w:val="20"/>
                <w:szCs w:val="20"/>
                <w:lang w:eastAsia="ko-KR"/>
              </w:rPr>
              <w:t xml:space="preserve">If RAN4 has some solution to resolve this CP problem, we can reuse it for this issue as well. </w:t>
            </w: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lastRenderedPageBreak/>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t>Spreadtrum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ZTE Corporation, Sanechips</w:t>
      </w:r>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609AD" w14:textId="77777777" w:rsidR="003C03A2" w:rsidRDefault="003C03A2">
      <w:pPr>
        <w:spacing w:after="0" w:line="240" w:lineRule="auto"/>
      </w:pPr>
      <w:r>
        <w:separator/>
      </w:r>
    </w:p>
  </w:endnote>
  <w:endnote w:type="continuationSeparator" w:id="0">
    <w:p w14:paraId="11C5C3F1" w14:textId="77777777" w:rsidR="003C03A2" w:rsidRDefault="003C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d"/>
    </w:pPr>
    <w:r>
      <w:rPr>
        <w:rStyle w:val="af4"/>
      </w:rPr>
      <w:t xml:space="preserve">- </w:t>
    </w:r>
    <w:r>
      <w:rPr>
        <w:rStyle w:val="af4"/>
      </w:rPr>
      <w:fldChar w:fldCharType="begin"/>
    </w:r>
    <w:r>
      <w:rPr>
        <w:rStyle w:val="af4"/>
      </w:rPr>
      <w:instrText>PAGE</w:instrText>
    </w:r>
    <w:r>
      <w:rPr>
        <w:rStyle w:val="af4"/>
      </w:rPr>
      <w:fldChar w:fldCharType="separate"/>
    </w:r>
    <w:r w:rsidR="0064617F">
      <w:rPr>
        <w:rStyle w:val="af4"/>
        <w:noProof/>
      </w:rPr>
      <w:t>7</w:t>
    </w:r>
    <w:r>
      <w:rPr>
        <w:rStyle w:val="af4"/>
      </w:rPr>
      <w:fldChar w:fldCharType="end"/>
    </w:r>
    <w:r>
      <w:rPr>
        <w:rStyle w:val="af4"/>
      </w:rPr>
      <w:t>/</w:t>
    </w:r>
    <w:r>
      <w:rPr>
        <w:rStyle w:val="af4"/>
      </w:rPr>
      <w:fldChar w:fldCharType="begin"/>
    </w:r>
    <w:r>
      <w:rPr>
        <w:rStyle w:val="af4"/>
      </w:rPr>
      <w:instrText>NUMPAGES</w:instrText>
    </w:r>
    <w:r>
      <w:rPr>
        <w:rStyle w:val="af4"/>
      </w:rPr>
      <w:fldChar w:fldCharType="separate"/>
    </w:r>
    <w:r w:rsidR="0064617F">
      <w:rPr>
        <w:rStyle w:val="af4"/>
        <w:noProof/>
      </w:rPr>
      <w:t>8</w:t>
    </w:r>
    <w:r>
      <w:rPr>
        <w:rStyle w:val="af4"/>
      </w:rPr>
      <w:fldChar w:fldCharType="end"/>
    </w:r>
    <w:r>
      <w:rPr>
        <w:rStyle w:val="af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D48F" w14:textId="77777777" w:rsidR="003C03A2" w:rsidRDefault="003C03A2">
      <w:pPr>
        <w:spacing w:after="0" w:line="240" w:lineRule="auto"/>
      </w:pPr>
      <w:r>
        <w:separator/>
      </w:r>
    </w:p>
  </w:footnote>
  <w:footnote w:type="continuationSeparator" w:id="0">
    <w:p w14:paraId="10F6D14A" w14:textId="77777777" w:rsidR="003C03A2" w:rsidRDefault="003C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269509730">
    <w:abstractNumId w:val="4"/>
  </w:num>
  <w:num w:numId="2" w16cid:durableId="244920000">
    <w:abstractNumId w:val="2"/>
  </w:num>
  <w:num w:numId="3" w16cid:durableId="691416763">
    <w:abstractNumId w:val="7"/>
    <w:lvlOverride w:ilvl="0">
      <w:startOverride w:val="1"/>
    </w:lvlOverride>
  </w:num>
  <w:num w:numId="4" w16cid:durableId="1015381960">
    <w:abstractNumId w:val="0"/>
  </w:num>
  <w:num w:numId="5" w16cid:durableId="1404913148">
    <w:abstractNumId w:val="1"/>
  </w:num>
  <w:num w:numId="6" w16cid:durableId="932663155">
    <w:abstractNumId w:val="6"/>
  </w:num>
  <w:num w:numId="7" w16cid:durableId="819736638">
    <w:abstractNumId w:val="3"/>
  </w:num>
  <w:num w:numId="8" w16cid:durableId="152817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D0D6B"/>
    <w:rsid w:val="001D56AA"/>
    <w:rsid w:val="001E4293"/>
    <w:rsid w:val="001E6FA3"/>
    <w:rsid w:val="001E76C1"/>
    <w:rsid w:val="001F25AF"/>
    <w:rsid w:val="002313BF"/>
    <w:rsid w:val="00231AC1"/>
    <w:rsid w:val="002331A7"/>
    <w:rsid w:val="00243312"/>
    <w:rsid w:val="0024550A"/>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441"/>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4F89"/>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6458"/>
    <w:rsid w:val="00F40F70"/>
    <w:rsid w:val="00F43EC6"/>
    <w:rsid w:val="00F45403"/>
    <w:rsid w:val="00F53287"/>
    <w:rsid w:val="00F5783C"/>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DengXian"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1">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제목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캡션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맑은 고딕"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SimSun"/>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바탕" w:hAnsi="Times New Roman" w:cs="Times New Roman"/>
      <w:sz w:val="22"/>
      <w:lang w:eastAsia="ko-KR"/>
    </w:rPr>
  </w:style>
  <w:style w:type="paragraph" w:customStyle="1" w:styleId="18">
    <w:name w:val="列出段落1"/>
    <w:basedOn w:val="a"/>
    <w:qFormat/>
    <w:pPr>
      <w:widowControl/>
      <w:ind w:firstLine="420"/>
      <w:jc w:val="left"/>
    </w:pPr>
    <w:rPr>
      <w:rFonts w:ascii="SimSun" w:eastAsia="Times New Roman" w:hAnsi="SimSun" w:cs="SimSun"/>
      <w:kern w:val="0"/>
    </w:rPr>
  </w:style>
  <w:style w:type="paragraph" w:customStyle="1" w:styleId="2a">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SimSun"/>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맑은 고딕" w:hAnsi="Times New Roman" w:cs="바탕"/>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바탕"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맑은 고딕"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맑은 고딕"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E33CD-E849-47C9-B77A-A2897DAF94D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3002</Words>
  <Characters>17113</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Daesung Hwang/Connected Mobility Standard TP(daesung.hwang@lge.com)</cp:lastModifiedBy>
  <cp:revision>3</cp:revision>
  <dcterms:created xsi:type="dcterms:W3CDTF">2024-10-16T07:43:00Z</dcterms:created>
  <dcterms:modified xsi:type="dcterms:W3CDTF">2024-10-16T07:44:00Z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