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DengXian" w:hAnsi="Times New Roman" w:cs="Times New Roman"/>
                <w:sz w:val="20"/>
                <w:szCs w:val="20"/>
              </w:rPr>
            </w:pPr>
          </w:p>
          <w:p w14:paraId="67A69242" w14:textId="77777777" w:rsidR="00773D44" w:rsidRDefault="00966B6E">
            <w:pPr>
              <w:adjustRightInd w:val="0"/>
              <w:snapToGrid w:val="0"/>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맑은 고딕" w:hAnsi="Times New Roman" w:cs="Times New Roman"/>
                <w:iCs/>
                <w:sz w:val="20"/>
                <w:szCs w:val="20"/>
                <w:lang w:eastAsia="ko-KR"/>
              </w:rPr>
            </w:pPr>
            <w:r w:rsidRPr="00D41122">
              <w:rPr>
                <w:rFonts w:ascii="Times New Roman" w:eastAsia="맑은 고딕" w:hAnsi="Times New Roman" w:cs="Times New Roman" w:hint="eastAsia"/>
                <w:iCs/>
                <w:sz w:val="20"/>
                <w:szCs w:val="20"/>
                <w:lang w:eastAsia="ko-KR"/>
              </w:rPr>
              <w:t>W</w:t>
            </w:r>
            <w:r w:rsidRPr="00D41122">
              <w:rPr>
                <w:rFonts w:ascii="Times New Roman" w:eastAsia="맑은 고딕"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맑은 고딕"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 xml:space="preserve">the FFT window.it should be noticed that moving the FFT window earlier would cause the loss of performance considering CP is also used to cover the multi-path transmission of the OFDM signal. This </w:t>
            </w:r>
            <w:r w:rsidR="00ED5F5D">
              <w:rPr>
                <w:rFonts w:ascii="Times New Roman" w:hAnsi="Times New Roman" w:cs="Times New Roman"/>
                <w:iCs/>
                <w:sz w:val="20"/>
                <w:szCs w:val="20"/>
              </w:rPr>
              <w:lastRenderedPageBreak/>
              <w:t>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3B8ADEBF" w14:textId="0C3CE5E6" w:rsidR="00ED5F5D" w:rsidRPr="00ED5F5D"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hint="eastAsia"/>
                <w:b/>
                <w:iCs/>
                <w:sz w:val="20"/>
                <w:szCs w:val="20"/>
                <w:lang w:eastAsia="ko-KR"/>
              </w:rPr>
            </w:pPr>
            <w:r>
              <w:rPr>
                <w:rFonts w:ascii="맑은 고딕" w:eastAsia="맑은 고딕" w:hAnsi="맑은 고딕" w:cs="맑은 고딕"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맑은 고딕" w:hAnsi="Times New Roman" w:cs="Times New Roman" w:hint="eastAsia"/>
                <w:iCs/>
                <w:sz w:val="20"/>
                <w:szCs w:val="20"/>
                <w:lang w:eastAsia="ko-KR"/>
              </w:rPr>
            </w:pPr>
            <w:r>
              <w:rPr>
                <w:rFonts w:ascii="Times New Roman" w:eastAsia="맑은 고딕"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lastRenderedPageBreak/>
              <w:t>E</w:t>
            </w:r>
            <w:r>
              <w:rPr>
                <w:rFonts w:ascii="Times New Roman" w:eastAsia="맑은 고딕"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맑은 고딕" w:hAnsi="Times New Roman" w:cs="Times New Roman" w:hint="eastAsia"/>
                <w:iCs/>
                <w:sz w:val="20"/>
                <w:szCs w:val="20"/>
                <w:lang w:eastAsia="ko-KR"/>
              </w:rPr>
              <w:t>W</w:t>
            </w:r>
            <w:r w:rsidRPr="00D41122">
              <w:rPr>
                <w:rFonts w:ascii="Times New Roman" w:eastAsia="맑은 고딕"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맑은 고딕"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맑은 고딕"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맑은 고딕"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w:t>
            </w:r>
            <w:proofErr w:type="gramStart"/>
            <w:r>
              <w:rPr>
                <w:rFonts w:ascii="Times New Roman" w:hAnsi="Times New Roman" w:cs="Times New Roman"/>
                <w:bCs/>
                <w:iCs/>
                <w:sz w:val="20"/>
                <w:szCs w:val="20"/>
                <w:lang w:eastAsia="en-US"/>
              </w:rPr>
              <w:t>zero value</w:t>
            </w:r>
            <w:proofErr w:type="gramEnd"/>
            <w:r>
              <w:rPr>
                <w:rFonts w:ascii="Times New Roman" w:hAnsi="Times New Roman" w:cs="Times New Roman"/>
                <w:bCs/>
                <w:iCs/>
                <w:sz w:val="20"/>
                <w:szCs w:val="20"/>
                <w:lang w:eastAsia="en-US"/>
              </w:rPr>
              <w:t xml:space="preserv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 xml:space="preserve">Since the legacy UE cannot interpret the negative value, the </w:t>
            </w:r>
            <w:proofErr w:type="spellStart"/>
            <w:r>
              <w:rPr>
                <w:rFonts w:ascii="Times New Roman" w:eastAsia="맑은 고딕" w:hAnsi="Times New Roman" w:cs="Times New Roman" w:hint="eastAsia"/>
                <w:bCs/>
                <w:iCs/>
                <w:sz w:val="20"/>
                <w:szCs w:val="20"/>
                <w:lang w:eastAsia="ko-KR"/>
              </w:rPr>
              <w:t>gNB</w:t>
            </w:r>
            <w:proofErr w:type="spellEnd"/>
            <w:r>
              <w:rPr>
                <w:rFonts w:ascii="Times New Roman" w:eastAsia="맑은 고딕" w:hAnsi="Times New Roman" w:cs="Times New Roman" w:hint="eastAsia"/>
                <w:bCs/>
                <w:iCs/>
                <w:sz w:val="20"/>
                <w:szCs w:val="20"/>
                <w:lang w:eastAsia="ko-KR"/>
              </w:rPr>
              <w:t xml:space="preserve"> may need to configure two common TA values for the legacy UE </w:t>
            </w:r>
            <w:r>
              <w:rPr>
                <w:rFonts w:ascii="Times New Roman" w:eastAsia="맑은 고딕" w:hAnsi="Times New Roman" w:cs="Times New Roman" w:hint="eastAsia"/>
                <w:bCs/>
                <w:iCs/>
                <w:sz w:val="20"/>
                <w:szCs w:val="20"/>
                <w:lang w:eastAsia="ko-KR"/>
              </w:rPr>
              <w:lastRenderedPageBreak/>
              <w:t xml:space="preserve">and the new R19 UE. Usage of two different common TA value would cause 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063B7FED"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w:t>
            </w:r>
            <w:r>
              <w:rPr>
                <w:rFonts w:ascii="Times New Roman" w:hAnsi="Times New Roman" w:cs="Times New Roman"/>
                <w:iCs/>
                <w:sz w:val="20"/>
                <w:szCs w:val="20"/>
              </w:rPr>
              <w:lastRenderedPageBreak/>
              <w:t xml:space="preserve">is to allow negative TA in </w:t>
            </w:r>
            <w:r w:rsidR="00F9266F">
              <w:rPr>
                <w:rFonts w:ascii="Times New Roman" w:hAnsi="Times New Roman" w:cs="Times New Roman"/>
                <w:iCs/>
                <w:sz w:val="20"/>
                <w:szCs w:val="20"/>
              </w:rPr>
              <w:t xml:space="preserve">Msg2. Introducing a negative value in 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맑은 고딕" w:hAnsi="Times New Roman" w:cs="Times New Roman" w:hint="eastAsia"/>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w:t>
            </w:r>
            <w:r>
              <w:rPr>
                <w:rFonts w:ascii="Times New Roman" w:hAnsi="Times New Roman" w:cs="Times New Roman"/>
                <w:iCs/>
                <w:sz w:val="20"/>
                <w:szCs w:val="20"/>
              </w:rPr>
              <w:lastRenderedPageBreak/>
              <w:t>very short and gNB cannot have much space to move the 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맑은 고딕" w:hAnsi="Times New Roman" w:cs="Times New Roman" w:hint="eastAsia"/>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5" w:name="_Hlk521259925"/>
      <w:bookmarkEnd w:id="5"/>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9"/>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9"/>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9"/>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9"/>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9"/>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9"/>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9"/>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9"/>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9"/>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9"/>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9"/>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9"/>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9"/>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9"/>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9"/>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9"/>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9"/>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9"/>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9"/>
        <w:numPr>
          <w:ilvl w:val="0"/>
          <w:numId w:val="3"/>
        </w:numPr>
        <w:rPr>
          <w:sz w:val="20"/>
          <w:szCs w:val="20"/>
        </w:rPr>
      </w:pPr>
      <w:r>
        <w:rPr>
          <w:sz w:val="20"/>
          <w:szCs w:val="20"/>
        </w:rPr>
        <w:lastRenderedPageBreak/>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9"/>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9"/>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9"/>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9"/>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9"/>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87BC" w14:textId="77777777" w:rsidR="00B534C9" w:rsidRDefault="00B534C9">
      <w:pPr>
        <w:spacing w:after="0" w:line="240" w:lineRule="auto"/>
      </w:pPr>
      <w:r>
        <w:separator/>
      </w:r>
    </w:p>
  </w:endnote>
  <w:endnote w:type="continuationSeparator" w:id="0">
    <w:p w14:paraId="1F6DBCD1" w14:textId="77777777" w:rsidR="00B534C9" w:rsidRDefault="00B5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ad"/>
    </w:pPr>
    <w:r>
      <w:rPr>
        <w:rStyle w:val="af4"/>
      </w:rPr>
      <w:t xml:space="preserve">- </w:t>
    </w:r>
    <w:r>
      <w:rPr>
        <w:rStyle w:val="af4"/>
      </w:rPr>
      <w:fldChar w:fldCharType="begin"/>
    </w:r>
    <w:r>
      <w:rPr>
        <w:rStyle w:val="af4"/>
      </w:rPr>
      <w:instrText>PAGE</w:instrText>
    </w:r>
    <w:r>
      <w:rPr>
        <w:rStyle w:val="af4"/>
      </w:rPr>
      <w:fldChar w:fldCharType="separate"/>
    </w:r>
    <w:r w:rsidR="0064617F">
      <w:rPr>
        <w:rStyle w:val="af4"/>
        <w:noProof/>
      </w:rPr>
      <w:t>7</w:t>
    </w:r>
    <w:r>
      <w:rPr>
        <w:rStyle w:val="af4"/>
      </w:rPr>
      <w:fldChar w:fldCharType="end"/>
    </w:r>
    <w:r>
      <w:rPr>
        <w:rStyle w:val="af4"/>
      </w:rPr>
      <w:t>/</w:t>
    </w:r>
    <w:r>
      <w:rPr>
        <w:rStyle w:val="af4"/>
      </w:rPr>
      <w:fldChar w:fldCharType="begin"/>
    </w:r>
    <w:r>
      <w:rPr>
        <w:rStyle w:val="af4"/>
      </w:rPr>
      <w:instrText>NUMPAGES</w:instrText>
    </w:r>
    <w:r>
      <w:rPr>
        <w:rStyle w:val="af4"/>
      </w:rPr>
      <w:fldChar w:fldCharType="separate"/>
    </w:r>
    <w:r w:rsidR="0064617F">
      <w:rPr>
        <w:rStyle w:val="af4"/>
        <w:noProof/>
      </w:rPr>
      <w:t>8</w:t>
    </w:r>
    <w:r>
      <w:rPr>
        <w:rStyle w:val="af4"/>
      </w:rPr>
      <w:fldChar w:fldCharType="end"/>
    </w:r>
    <w:r>
      <w:rPr>
        <w:rStyle w:val="af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842A4" w14:textId="77777777" w:rsidR="00B534C9" w:rsidRDefault="00B534C9">
      <w:pPr>
        <w:spacing w:after="0" w:line="240" w:lineRule="auto"/>
      </w:pPr>
      <w:r>
        <w:separator/>
      </w:r>
    </w:p>
  </w:footnote>
  <w:footnote w:type="continuationSeparator" w:id="0">
    <w:p w14:paraId="7857D067" w14:textId="77777777" w:rsidR="00B534C9" w:rsidRDefault="00B5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192308089">
    <w:abstractNumId w:val="3"/>
  </w:num>
  <w:num w:numId="2" w16cid:durableId="472865458">
    <w:abstractNumId w:val="2"/>
  </w:num>
  <w:num w:numId="3" w16cid:durableId="567542832">
    <w:abstractNumId w:val="5"/>
    <w:lvlOverride w:ilvl="0">
      <w:startOverride w:val="1"/>
    </w:lvlOverride>
  </w:num>
  <w:num w:numId="4" w16cid:durableId="1455371080">
    <w:abstractNumId w:val="0"/>
  </w:num>
  <w:num w:numId="5" w16cid:durableId="1745755211">
    <w:abstractNumId w:val="1"/>
  </w:num>
  <w:num w:numId="6" w16cid:durableId="33812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DF6"/>
    <w:rsid w:val="00126671"/>
    <w:rsid w:val="00132380"/>
    <w:rsid w:val="00132C29"/>
    <w:rsid w:val="00142CD2"/>
    <w:rsid w:val="00146351"/>
    <w:rsid w:val="00170BB7"/>
    <w:rsid w:val="00175247"/>
    <w:rsid w:val="00186E64"/>
    <w:rsid w:val="001B78FB"/>
    <w:rsid w:val="001C0B76"/>
    <w:rsid w:val="001C0F7C"/>
    <w:rsid w:val="001C4EB0"/>
    <w:rsid w:val="001D0D6B"/>
    <w:rsid w:val="001D56AA"/>
    <w:rsid w:val="001E4293"/>
    <w:rsid w:val="001E6FA3"/>
    <w:rsid w:val="001F25AF"/>
    <w:rsid w:val="002313BF"/>
    <w:rsid w:val="00243312"/>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85548"/>
    <w:rsid w:val="00390AE4"/>
    <w:rsid w:val="00390FBC"/>
    <w:rsid w:val="003911B0"/>
    <w:rsid w:val="003950C3"/>
    <w:rsid w:val="003A53B2"/>
    <w:rsid w:val="003C081E"/>
    <w:rsid w:val="003C6C0D"/>
    <w:rsid w:val="003D5310"/>
    <w:rsid w:val="003D633B"/>
    <w:rsid w:val="003D6C1F"/>
    <w:rsid w:val="003E038A"/>
    <w:rsid w:val="003E3979"/>
    <w:rsid w:val="003F4499"/>
    <w:rsid w:val="003F58A5"/>
    <w:rsid w:val="00402579"/>
    <w:rsid w:val="0042266D"/>
    <w:rsid w:val="0042460E"/>
    <w:rsid w:val="00425085"/>
    <w:rsid w:val="00432882"/>
    <w:rsid w:val="00436495"/>
    <w:rsid w:val="00445ADE"/>
    <w:rsid w:val="004731D2"/>
    <w:rsid w:val="0049647B"/>
    <w:rsid w:val="004A4291"/>
    <w:rsid w:val="004B740F"/>
    <w:rsid w:val="004C4E8A"/>
    <w:rsid w:val="004E1EDF"/>
    <w:rsid w:val="004F4D5C"/>
    <w:rsid w:val="00502436"/>
    <w:rsid w:val="00505884"/>
    <w:rsid w:val="0053339D"/>
    <w:rsid w:val="00535980"/>
    <w:rsid w:val="00540571"/>
    <w:rsid w:val="005546C2"/>
    <w:rsid w:val="005759A9"/>
    <w:rsid w:val="00585423"/>
    <w:rsid w:val="005C6D62"/>
    <w:rsid w:val="005D03F9"/>
    <w:rsid w:val="005E2D62"/>
    <w:rsid w:val="005F74B4"/>
    <w:rsid w:val="00606F8B"/>
    <w:rsid w:val="00612291"/>
    <w:rsid w:val="006167F8"/>
    <w:rsid w:val="00623403"/>
    <w:rsid w:val="00644BD3"/>
    <w:rsid w:val="0064617F"/>
    <w:rsid w:val="006515DD"/>
    <w:rsid w:val="00653478"/>
    <w:rsid w:val="0068593A"/>
    <w:rsid w:val="006902F3"/>
    <w:rsid w:val="006A39E5"/>
    <w:rsid w:val="006B442A"/>
    <w:rsid w:val="006D73D5"/>
    <w:rsid w:val="006F29A9"/>
    <w:rsid w:val="006F52A5"/>
    <w:rsid w:val="006F7A80"/>
    <w:rsid w:val="00702FDA"/>
    <w:rsid w:val="00712628"/>
    <w:rsid w:val="0072115E"/>
    <w:rsid w:val="0072262B"/>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914"/>
    <w:rsid w:val="00965A4E"/>
    <w:rsid w:val="00966B6E"/>
    <w:rsid w:val="009743FA"/>
    <w:rsid w:val="0097586C"/>
    <w:rsid w:val="009900ED"/>
    <w:rsid w:val="009968AE"/>
    <w:rsid w:val="009A024D"/>
    <w:rsid w:val="009A5836"/>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4B40"/>
    <w:rsid w:val="00AB7482"/>
    <w:rsid w:val="00AC3AB6"/>
    <w:rsid w:val="00AD6B16"/>
    <w:rsid w:val="00AE4A12"/>
    <w:rsid w:val="00AF19CB"/>
    <w:rsid w:val="00AF639D"/>
    <w:rsid w:val="00B02EA9"/>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5EAE"/>
    <w:rsid w:val="00BD0841"/>
    <w:rsid w:val="00BF062E"/>
    <w:rsid w:val="00C03425"/>
    <w:rsid w:val="00C16837"/>
    <w:rsid w:val="00C3796A"/>
    <w:rsid w:val="00C42D2A"/>
    <w:rsid w:val="00C55045"/>
    <w:rsid w:val="00C6301C"/>
    <w:rsid w:val="00C75FBB"/>
    <w:rsid w:val="00C85DA6"/>
    <w:rsid w:val="00C96293"/>
    <w:rsid w:val="00CA3D17"/>
    <w:rsid w:val="00CA417F"/>
    <w:rsid w:val="00CA4191"/>
    <w:rsid w:val="00CB2FF1"/>
    <w:rsid w:val="00CC324E"/>
    <w:rsid w:val="00CD14DA"/>
    <w:rsid w:val="00CD426D"/>
    <w:rsid w:val="00CE449E"/>
    <w:rsid w:val="00CF3A97"/>
    <w:rsid w:val="00D03788"/>
    <w:rsid w:val="00D04197"/>
    <w:rsid w:val="00D41122"/>
    <w:rsid w:val="00D45AEA"/>
    <w:rsid w:val="00D73961"/>
    <w:rsid w:val="00D74C50"/>
    <w:rsid w:val="00D81C2F"/>
    <w:rsid w:val="00D865FE"/>
    <w:rsid w:val="00DB4CE8"/>
    <w:rsid w:val="00DD0A99"/>
    <w:rsid w:val="00DD36BE"/>
    <w:rsid w:val="00DD52BA"/>
    <w:rsid w:val="00DE22D3"/>
    <w:rsid w:val="00DF0904"/>
    <w:rsid w:val="00DF5B48"/>
    <w:rsid w:val="00E02303"/>
    <w:rsid w:val="00E03433"/>
    <w:rsid w:val="00E16BFE"/>
    <w:rsid w:val="00E213A8"/>
    <w:rsid w:val="00E24648"/>
    <w:rsid w:val="00E5194A"/>
    <w:rsid w:val="00E56C15"/>
    <w:rsid w:val="00E63695"/>
    <w:rsid w:val="00E754A2"/>
    <w:rsid w:val="00E93E87"/>
    <w:rsid w:val="00EB197E"/>
    <w:rsid w:val="00EB3337"/>
    <w:rsid w:val="00ED41EC"/>
    <w:rsid w:val="00ED5F5D"/>
    <w:rsid w:val="00F063A3"/>
    <w:rsid w:val="00F14A8D"/>
    <w:rsid w:val="00F24718"/>
    <w:rsid w:val="00F36458"/>
    <w:rsid w:val="00F40F70"/>
    <w:rsid w:val="00F43EC6"/>
    <w:rsid w:val="00F45403"/>
    <w:rsid w:val="00F53287"/>
    <w:rsid w:val="00F9266F"/>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15E"/>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0"/>
    <w:qFormat/>
    <w:pPr>
      <w:spacing w:after="180"/>
      <w:ind w:left="1418" w:firstLine="0"/>
      <w:textAlignment w:val="baseline"/>
    </w:pPr>
    <w:rPr>
      <w:rFonts w:ascii="Times New Roman" w:eastAsia="DengXian" w:hAnsi="Times New Roman"/>
      <w:szCs w:val="20"/>
      <w:lang w:val="en-GB"/>
    </w:rPr>
  </w:style>
  <w:style w:type="paragraph" w:styleId="30">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Char"/>
    <w:qFormat/>
    <w:pPr>
      <w:widowControl/>
      <w:jc w:val="left"/>
    </w:pPr>
    <w:rPr>
      <w:rFonts w:ascii="Times New Roman" w:eastAsia="Times New Roman" w:hAnsi="Times New Roman" w:cs="Times New Roman"/>
      <w:b/>
      <w:kern w:val="0"/>
    </w:rPr>
  </w:style>
  <w:style w:type="paragraph" w:styleId="a8">
    <w:name w:val="Document Map"/>
    <w:basedOn w:val="a"/>
    <w:semiHidden/>
    <w:qFormat/>
    <w:pPr>
      <w:widowControl/>
      <w:shd w:val="clear" w:color="auto" w:fill="000080"/>
      <w:jc w:val="left"/>
    </w:pPr>
    <w:rPr>
      <w:rFonts w:ascii="Tahoma" w:eastAsia="Times New Roman" w:hAnsi="Tahoma" w:cs="Times New Roman"/>
      <w:kern w:val="0"/>
    </w:rPr>
  </w:style>
  <w:style w:type="paragraph" w:styleId="31">
    <w:name w:val="Body Text 3"/>
    <w:basedOn w:val="a"/>
    <w:qFormat/>
    <w:pPr>
      <w:widowControl/>
    </w:pPr>
    <w:rPr>
      <w:rFonts w:ascii="Times New Roman" w:eastAsia="Times New Roman" w:hAnsi="Times New Roman" w:cs="Times New Roman"/>
      <w:kern w:val="0"/>
      <w:lang w:eastAsia="ja-JP"/>
    </w:rPr>
  </w:style>
  <w:style w:type="paragraph" w:styleId="a9">
    <w:name w:val="Body Text"/>
    <w:basedOn w:val="a"/>
    <w:qFormat/>
    <w:pPr>
      <w:widowControl/>
      <w:jc w:val="left"/>
    </w:pPr>
    <w:rPr>
      <w:rFonts w:ascii="Times New Roman" w:eastAsia="Times New Roman" w:hAnsi="Times New Roman" w:cs="Times New Roman"/>
      <w:kern w:val="0"/>
    </w:rPr>
  </w:style>
  <w:style w:type="paragraph" w:styleId="aa">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b">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c">
    <w:name w:val="Balloon Text"/>
    <w:basedOn w:val="a"/>
    <w:qFormat/>
    <w:pPr>
      <w:widowControl/>
      <w:jc w:val="left"/>
    </w:pPr>
    <w:rPr>
      <w:rFonts w:ascii="Arial" w:eastAsia="Times New Roman" w:hAnsi="Arial" w:cs="Times New Roman"/>
      <w:kern w:val="0"/>
      <w:sz w:val="18"/>
      <w:szCs w:val="18"/>
    </w:rPr>
  </w:style>
  <w:style w:type="paragraph" w:styleId="ad">
    <w:name w:val="footer"/>
    <w:basedOn w:val="a"/>
    <w:unhideWhenUsed/>
    <w:qFormat/>
    <w:pPr>
      <w:tabs>
        <w:tab w:val="center" w:pos="4153"/>
        <w:tab w:val="right" w:pos="8306"/>
      </w:tabs>
      <w:snapToGrid w:val="0"/>
      <w:jc w:val="left"/>
    </w:pPr>
    <w:rPr>
      <w:sz w:val="18"/>
      <w:szCs w:val="18"/>
    </w:rPr>
  </w:style>
  <w:style w:type="paragraph" w:styleId="ae">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widowControl/>
      <w:jc w:val="left"/>
    </w:pPr>
    <w:rPr>
      <w:rFonts w:ascii="Times New Roman" w:eastAsia="Times New Roman" w:hAnsi="Times New Roman" w:cs="Times New Roman"/>
      <w:kern w:val="0"/>
    </w:rPr>
  </w:style>
  <w:style w:type="paragraph" w:styleId="af">
    <w:name w:val="List"/>
    <w:basedOn w:val="a"/>
    <w:qFormat/>
    <w:pPr>
      <w:widowControl/>
      <w:ind w:left="568" w:hanging="284"/>
      <w:jc w:val="left"/>
    </w:pPr>
    <w:rPr>
      <w:rFonts w:ascii="Times New Roman" w:eastAsia="Times New Roman" w:hAnsi="Times New Roman" w:cs="Times New Roman"/>
      <w:kern w:val="0"/>
    </w:rPr>
  </w:style>
  <w:style w:type="paragraph" w:styleId="af0">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1">
    <w:name w:val="table of figures"/>
    <w:basedOn w:val="10"/>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2">
    <w:name w:val="Normal (Web)"/>
    <w:basedOn w:val="a"/>
    <w:uiPriority w:val="99"/>
    <w:unhideWhenUsed/>
    <w:qFormat/>
    <w:pPr>
      <w:widowControl/>
      <w:spacing w:beforeAutospacing="1" w:afterAutospacing="1"/>
      <w:jc w:val="left"/>
    </w:pPr>
    <w:rPr>
      <w:rFonts w:ascii="SimSun" w:eastAsia="Times New Roman" w:hAnsi="SimSun" w:cs="SimSun"/>
      <w:kern w:val="0"/>
    </w:rPr>
  </w:style>
  <w:style w:type="paragraph" w:styleId="11">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4">
    <w:name w:val="index 2"/>
    <w:basedOn w:val="11"/>
    <w:next w:val="a"/>
    <w:semiHidden/>
    <w:qFormat/>
    <w:pPr>
      <w:ind w:left="284"/>
    </w:pPr>
  </w:style>
  <w:style w:type="paragraph" w:styleId="af3">
    <w:name w:val="Title"/>
    <w:basedOn w:val="a"/>
    <w:qFormat/>
    <w:pPr>
      <w:widowControl/>
      <w:jc w:val="center"/>
    </w:pPr>
    <w:rPr>
      <w:rFonts w:ascii="Arial" w:eastAsia="Times New Roman" w:hAnsi="Arial" w:cs="Times New Roman"/>
      <w:b/>
      <w:kern w:val="0"/>
    </w:rPr>
  </w:style>
  <w:style w:type="character" w:styleId="af4">
    <w:name w:val="page number"/>
    <w:basedOn w:val="a0"/>
    <w:qFormat/>
    <w:rPr>
      <w:rFonts w:eastAsia="Arial Unicode MS" w:cs="Arial"/>
      <w:kern w:val="2"/>
      <w:sz w:val="21"/>
      <w:lang w:val="en-GB" w:eastAsia="zh-CN" w:bidi="ar-SA"/>
    </w:rPr>
  </w:style>
  <w:style w:type="character" w:styleId="af5">
    <w:name w:val="FollowedHyperlink"/>
    <w:qFormat/>
    <w:rPr>
      <w:rFonts w:eastAsia="Arial Unicode MS" w:cs="Arial"/>
      <w:color w:val="800080"/>
      <w:kern w:val="2"/>
      <w:sz w:val="21"/>
      <w:u w:val="single"/>
      <w:lang w:val="en-GB" w:eastAsia="zh-CN" w:bidi="ar-SA"/>
    </w:rPr>
  </w:style>
  <w:style w:type="character" w:styleId="af6">
    <w:name w:val="Hyperlink"/>
    <w:uiPriority w:val="99"/>
    <w:qFormat/>
    <w:rPr>
      <w:rFonts w:eastAsia="Arial Unicode MS" w:cs="Arial"/>
      <w:color w:val="0000FF"/>
      <w:kern w:val="2"/>
      <w:sz w:val="21"/>
      <w:u w:val="single"/>
      <w:lang w:val="en-GB" w:eastAsia="zh-CN" w:bidi="ar-SA"/>
    </w:rPr>
  </w:style>
  <w:style w:type="character" w:styleId="af7">
    <w:name w:val="annotation reference"/>
    <w:qFormat/>
    <w:rPr>
      <w:rFonts w:eastAsia="Arial Unicode MS" w:cs="Arial"/>
      <w:kern w:val="2"/>
      <w:sz w:val="16"/>
      <w:szCs w:val="16"/>
      <w:lang w:val="en-GB" w:eastAsia="zh-CN" w:bidi="ar-SA"/>
    </w:rPr>
  </w:style>
  <w:style w:type="table" w:styleId="af8">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9">
    <w:name w:val="ヘッダー (文字)"/>
    <w:basedOn w:val="a0"/>
    <w:qFormat/>
    <w:rPr>
      <w:sz w:val="18"/>
      <w:szCs w:val="18"/>
    </w:rPr>
  </w:style>
  <w:style w:type="character" w:customStyle="1" w:styleId="afa">
    <w:name w:val="フッター (文字)"/>
    <w:basedOn w:val="a0"/>
    <w:uiPriority w:val="99"/>
    <w:qFormat/>
    <w:rPr>
      <w:sz w:val="18"/>
      <w:szCs w:val="18"/>
    </w:rPr>
  </w:style>
  <w:style w:type="character" w:customStyle="1" w:styleId="12">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2">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b">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c">
    <w:name w:val="見出しマップ (文字)"/>
    <w:basedOn w:val="a0"/>
    <w:semiHidden/>
    <w:qFormat/>
    <w:rPr>
      <w:rFonts w:ascii="Tahoma" w:eastAsia="Times New Roman" w:hAnsi="Tahoma" w:cs="Times New Roman"/>
      <w:kern w:val="0"/>
      <w:shd w:val="clear" w:color="auto" w:fill="000080"/>
    </w:rPr>
  </w:style>
  <w:style w:type="character" w:customStyle="1" w:styleId="afd">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e">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
    <w:name w:val="表題 (文字)"/>
    <w:basedOn w:val="a0"/>
    <w:qFormat/>
    <w:rPr>
      <w:rFonts w:ascii="Arial" w:eastAsia="Times New Roman" w:hAnsi="Arial" w:cs="Times New Roman"/>
      <w:b/>
      <w:kern w:val="0"/>
    </w:rPr>
  </w:style>
  <w:style w:type="character" w:customStyle="1" w:styleId="3Char">
    <w:name w:val="제목 3 Char"/>
    <w:basedOn w:val="a0"/>
    <w:link w:val="3"/>
    <w:qFormat/>
    <w:rPr>
      <w:rFonts w:ascii="Times New Roman" w:eastAsia="Times New Roman" w:hAnsi="Times New Roman" w:cs="Times New Roman"/>
      <w:kern w:val="0"/>
      <w:lang w:eastAsia="ja-JP"/>
    </w:rPr>
  </w:style>
  <w:style w:type="character" w:customStyle="1" w:styleId="aff0">
    <w:name w:val="本文インデント (文字)"/>
    <w:basedOn w:val="a0"/>
    <w:qFormat/>
    <w:rPr>
      <w:rFonts w:ascii="Times New Roman" w:eastAsia="Times New Roman" w:hAnsi="Times New Roman" w:cs="Times New Roman"/>
      <w:bCs/>
      <w:kern w:val="0"/>
      <w:lang w:eastAsia="ja-JP"/>
    </w:rPr>
  </w:style>
  <w:style w:type="character" w:customStyle="1" w:styleId="aff1">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2">
    <w:name w:val="図表番号 (文字)"/>
    <w:qFormat/>
    <w:rPr>
      <w:rFonts w:eastAsia="MS Gothic" w:cs="Arial"/>
      <w:b/>
      <w:kern w:val="2"/>
      <w:sz w:val="24"/>
      <w:szCs w:val="24"/>
      <w:lang w:val="en-GB" w:eastAsia="en-US" w:bidi="ar-SA"/>
    </w:rPr>
  </w:style>
  <w:style w:type="character" w:customStyle="1" w:styleId="aff3">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캡션 Char"/>
    <w:link w:val="a7"/>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f4">
    <w:name w:val="吹き出し (文字)"/>
    <w:basedOn w:val="a0"/>
    <w:qFormat/>
    <w:rPr>
      <w:rFonts w:ascii="Arial" w:eastAsia="Times New Roman" w:hAnsi="Arial" w:cs="Times New Roman"/>
      <w:kern w:val="0"/>
      <w:sz w:val="18"/>
      <w:szCs w:val="18"/>
    </w:rPr>
  </w:style>
  <w:style w:type="character" w:customStyle="1" w:styleId="aff5">
    <w:name w:val="コメント内容 (文字)"/>
    <w:basedOn w:val="aff1"/>
    <w:uiPriority w:val="99"/>
    <w:semiHidden/>
    <w:qFormat/>
    <w:rPr>
      <w:rFonts w:ascii="Times New Roman" w:eastAsia="Times New Roman" w:hAnsi="Times New Roman" w:cs="Arial"/>
      <w:b/>
      <w:bCs/>
      <w:sz w:val="21"/>
      <w:szCs w:val="20"/>
      <w:lang w:val="en-GB"/>
    </w:rPr>
  </w:style>
  <w:style w:type="character" w:customStyle="1" w:styleId="13">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6">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0"/>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SimSun" w:hAnsi="SimSun"/>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맑은 고딕"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4">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9"/>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9"/>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SimSun"/>
      <w:lang w:val="en-GB" w:eastAsia="en-US"/>
    </w:rPr>
  </w:style>
  <w:style w:type="character" w:customStyle="1" w:styleId="15">
    <w:name w:val="未处理的提及1"/>
    <w:basedOn w:val="a0"/>
    <w:uiPriority w:val="99"/>
    <w:unhideWhenUsed/>
    <w:qFormat/>
    <w:rPr>
      <w:color w:val="605E5C"/>
      <w:shd w:val="clear" w:color="auto" w:fill="E1DFDD"/>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9"/>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9"/>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6">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7">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바탕" w:hAnsi="Times New Roman" w:cs="Times New Roman"/>
      <w:sz w:val="22"/>
      <w:lang w:eastAsia="ko-KR"/>
    </w:rPr>
  </w:style>
  <w:style w:type="paragraph" w:customStyle="1" w:styleId="18">
    <w:name w:val="列出段落1"/>
    <w:basedOn w:val="a"/>
    <w:qFormat/>
    <w:pPr>
      <w:widowControl/>
      <w:ind w:firstLine="420"/>
      <w:jc w:val="left"/>
    </w:pPr>
    <w:rPr>
      <w:rFonts w:ascii="SimSun" w:eastAsia="Times New Roman" w:hAnsi="SimSun" w:cs="SimSun"/>
      <w:kern w:val="0"/>
    </w:rPr>
  </w:style>
  <w:style w:type="paragraph" w:customStyle="1" w:styleId="2a">
    <w:name w:val="列出段落2"/>
    <w:basedOn w:val="a"/>
    <w:qFormat/>
    <w:pPr>
      <w:widowControl/>
      <w:ind w:firstLine="420"/>
      <w:jc w:val="left"/>
    </w:pPr>
    <w:rPr>
      <w:rFonts w:ascii="SimSun" w:eastAsia="Times New Roman" w:hAnsi="SimSun" w:cs="SimSun"/>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9">
    <w:name w:val="목록 단락1"/>
    <w:basedOn w:val="a"/>
    <w:uiPriority w:val="34"/>
    <w:qFormat/>
    <w:pPr>
      <w:widowControl/>
      <w:ind w:firstLine="420"/>
      <w:jc w:val="left"/>
    </w:pPr>
    <w:rPr>
      <w:rFonts w:ascii="Times New Roman" w:eastAsia="Times New Roman" w:hAnsi="Times New Roman" w:cs="SimSun"/>
      <w:kern w:val="0"/>
    </w:rPr>
  </w:style>
  <w:style w:type="paragraph" w:customStyle="1" w:styleId="1a">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8">
    <w:name w:val="스타일 양쪽"/>
    <w:basedOn w:val="a"/>
    <w:qFormat/>
    <w:pPr>
      <w:widowControl/>
      <w:spacing w:line="300" w:lineRule="auto"/>
      <w:ind w:firstLine="284"/>
    </w:pPr>
    <w:rPr>
      <w:rFonts w:ascii="Times New Roman" w:eastAsia="맑은 고딕" w:hAnsi="Times New Roman" w:cs="바탕"/>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바탕"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b">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맑은 고딕"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맑은 고딕"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9"/>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9">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SimSun" w:eastAsia="SimSun" w:hAnsi="SimSun" w:cs="SimSun"/>
    </w:rPr>
  </w:style>
  <w:style w:type="paragraph" w:customStyle="1" w:styleId="xmsolistparagraph">
    <w:name w:val="x_msolistparagraph"/>
    <w:basedOn w:val="a"/>
    <w:qFormat/>
    <w:pPr>
      <w:ind w:left="800"/>
    </w:pPr>
    <w:rPr>
      <w:rFonts w:eastAsia="SimSun"/>
    </w:rPr>
  </w:style>
  <w:style w:type="paragraph" w:customStyle="1" w:styleId="DraftProposal">
    <w:name w:val="Draft Proposal"/>
    <w:basedOn w:val="a9"/>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3">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c">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a">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2177</Words>
  <Characters>12413</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Daesung Hwang/Connected Mobility Standard TP(daesung.hwang@lge.com)</cp:lastModifiedBy>
  <cp:revision>2</cp:revision>
  <dcterms:created xsi:type="dcterms:W3CDTF">2024-10-15T05:58:00Z</dcterms:created>
  <dcterms:modified xsi:type="dcterms:W3CDTF">2024-10-15T05:58:00Z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