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6E60" w14:textId="77777777" w:rsidR="00A438D0" w:rsidRDefault="00862682">
      <w:pPr>
        <w:pStyle w:val="af"/>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af"/>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af"/>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1"/>
        <w:numPr>
          <w:ilvl w:val="1"/>
          <w:numId w:val="6"/>
        </w:numPr>
        <w:spacing w:line="259" w:lineRule="auto"/>
        <w:rPr>
          <w:lang w:val="en-US"/>
        </w:rPr>
      </w:pPr>
      <w:r>
        <w:rPr>
          <w:lang w:val="en-US"/>
        </w:rPr>
        <w:t>Periodicity of the frame structure (N)</w:t>
      </w:r>
    </w:p>
    <w:p w14:paraId="71DE8357" w14:textId="77777777" w:rsidR="00A438D0" w:rsidRDefault="00862682">
      <w:pPr>
        <w:pStyle w:val="11"/>
        <w:numPr>
          <w:ilvl w:val="1"/>
          <w:numId w:val="6"/>
        </w:numPr>
        <w:spacing w:line="259" w:lineRule="auto"/>
        <w:rPr>
          <w:lang w:val="en-US"/>
        </w:rPr>
      </w:pPr>
      <w:r>
        <w:rPr>
          <w:lang w:val="en-US"/>
        </w:rPr>
        <w:t>Number of consecutive DL subframes (D)</w:t>
      </w:r>
    </w:p>
    <w:p w14:paraId="00618F6E" w14:textId="77777777" w:rsidR="00A438D0" w:rsidRDefault="00862682">
      <w:pPr>
        <w:pStyle w:val="1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1"/>
        <w:numPr>
          <w:ilvl w:val="0"/>
          <w:numId w:val="6"/>
        </w:numPr>
        <w:spacing w:line="259" w:lineRule="auto"/>
        <w:rPr>
          <w:lang w:val="en-US"/>
        </w:rPr>
      </w:pPr>
      <w:r>
        <w:rPr>
          <w:lang w:val="en-US"/>
        </w:rPr>
        <w:t>If time allows topics marked as [LOW PRIORITY] in the FLS can be discussed.</w:t>
      </w:r>
    </w:p>
    <w:p w14:paraId="644B78B9" w14:textId="77777777" w:rsidR="00A438D0" w:rsidRDefault="00862682">
      <w:pPr>
        <w:pStyle w:val="1"/>
        <w:numPr>
          <w:ilvl w:val="0"/>
          <w:numId w:val="2"/>
        </w:numPr>
        <w:tabs>
          <w:tab w:val="left" w:pos="720"/>
        </w:tabs>
        <w:ind w:left="720" w:hanging="720"/>
        <w:jc w:val="both"/>
        <w:rPr>
          <w:lang w:val="en-US"/>
        </w:rPr>
      </w:pPr>
      <w:r>
        <w:rPr>
          <w:lang w:val="en-US"/>
        </w:rPr>
        <w:t>TDD frame structure</w:t>
      </w:r>
    </w:p>
    <w:p w14:paraId="3E633277" w14:textId="77777777" w:rsidR="00A438D0" w:rsidRDefault="00862682">
      <w:pPr>
        <w:pStyle w:val="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It is feature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a8"/>
        <w:jc w:val="center"/>
      </w:pPr>
      <w:r>
        <w:t>Figure 2.1-1: Iridium TDMA structure (from [2])</w:t>
      </w:r>
    </w:p>
    <w:p w14:paraId="2DD3D4F5" w14:textId="77777777" w:rsidR="00A438D0" w:rsidRDefault="00A438D0">
      <w:pPr>
        <w:pStyle w:val="11"/>
      </w:pPr>
    </w:p>
    <w:p w14:paraId="329D8C9A" w14:textId="77777777" w:rsidR="00A438D0" w:rsidRDefault="00862682">
      <w:pPr>
        <w:pStyle w:val="11"/>
        <w:numPr>
          <w:ilvl w:val="0"/>
          <w:numId w:val="7"/>
        </w:numPr>
      </w:pPr>
      <w:r>
        <w:t>Previous contribution to RAN4 describing design constraints [3], consistent with [2], with the following statement:</w:t>
      </w:r>
    </w:p>
    <w:p w14:paraId="6127C25D" w14:textId="77777777" w:rsidR="00A438D0" w:rsidRDefault="00A438D0">
      <w:pPr>
        <w:pStyle w:val="11"/>
      </w:pPr>
    </w:p>
    <w:p w14:paraId="4D58627F" w14:textId="77777777" w:rsidR="00A438D0" w:rsidRDefault="00862682">
      <w:pPr>
        <w:pStyle w:val="1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 xml:space="preserve">The study and specification work for NB-IoT NTN TDD </w:t>
            </w:r>
            <w:r>
              <w:rPr>
                <w:rFonts w:ascii="Times New Roman" w:eastAsia="宋体" w:hAnsi="Times New Roman" w:cs="Times New Roman"/>
                <w:b/>
                <w:bCs/>
                <w:color w:val="auto"/>
                <w:sz w:val="20"/>
                <w:szCs w:val="20"/>
                <w:lang w:eastAsia="zh-CN"/>
              </w:rPr>
              <w:t xml:space="preserve">any modifications to NB-IoT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From the WID, the objective is to introduce a new TDD mode for NB-IoT NTN. The target in Rel-19 is unpaired MSS allocated band (1616-1626.5 MHz MSS). So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(3) is already in the WID. For  (4) and (5) we can discuss directly a proposal abut the configuration od the TDD pattern including the minimum values for DL and UL consecutive/ contiguous subframes.</w:t>
            </w:r>
          </w:p>
          <w:p w14:paraId="1CAA52BC"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r>
              <w:rPr>
                <w:rFonts w:ascii="Times New Roman" w:hAnsi="Times New Roman" w:cs="Times New Roman"/>
                <w:sz w:val="20"/>
                <w:szCs w:val="20"/>
                <w:lang w:eastAsia="zh-CN"/>
              </w:rPr>
              <w:t>legacy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14:paraId="1ABDD887" w14:textId="77777777" w:rsidR="00A438D0" w:rsidRDefault="00862682">
            <w:pPr>
              <w:pStyle w:val="1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14:paraId="6D8C1EFA"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In the WID justification, we understand that the design is to support periodic frame structure for power consumption limitation, but it does not seem to target a coexistence with legacy deployement assuming the legacy framing is unchangable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hint="eastAsia"/>
              </w:rPr>
            </w:pPr>
            <w:r>
              <w:rPr>
                <w:rFonts w:eastAsiaTheme="minorEastAsia"/>
              </w:rPr>
              <w:t>Huawei, HiSilicon</w:t>
            </w:r>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1"/>
        <w:numPr>
          <w:ilvl w:val="0"/>
          <w:numId w:val="8"/>
        </w:numPr>
        <w:rPr>
          <w:lang w:val="en-US"/>
        </w:rPr>
      </w:pPr>
      <w:r>
        <w:rPr>
          <w:lang w:val="en-US"/>
        </w:rPr>
        <w:t>N = power of 2:</w:t>
      </w:r>
    </w:p>
    <w:p w14:paraId="1B04884F" w14:textId="77777777" w:rsidR="00A438D0" w:rsidRDefault="00862682">
      <w:pPr>
        <w:pStyle w:val="11"/>
        <w:numPr>
          <w:ilvl w:val="1"/>
          <w:numId w:val="8"/>
        </w:numPr>
        <w:rPr>
          <w:lang w:val="en-US"/>
        </w:rPr>
      </w:pPr>
      <w:r>
        <w:rPr>
          <w:lang w:val="en-US"/>
        </w:rPr>
        <w:t>Multiple of 8: [CATT]</w:t>
      </w:r>
    </w:p>
    <w:p w14:paraId="17EE0C1A" w14:textId="77777777" w:rsidR="00A438D0" w:rsidRDefault="00862682">
      <w:pPr>
        <w:pStyle w:val="11"/>
        <w:numPr>
          <w:ilvl w:val="1"/>
          <w:numId w:val="8"/>
        </w:numPr>
        <w:rPr>
          <w:lang w:val="en-US"/>
        </w:rPr>
      </w:pPr>
      <w:r>
        <w:rPr>
          <w:lang w:val="en-US"/>
        </w:rPr>
        <w:t>N=8 or N=16: [Eri]</w:t>
      </w:r>
    </w:p>
    <w:p w14:paraId="22530D46" w14:textId="77777777" w:rsidR="00A438D0" w:rsidRDefault="00862682">
      <w:pPr>
        <w:pStyle w:val="11"/>
        <w:numPr>
          <w:ilvl w:val="1"/>
          <w:numId w:val="8"/>
        </w:numPr>
        <w:rPr>
          <w:lang w:val="en-US"/>
        </w:rPr>
      </w:pPr>
      <w:r>
        <w:rPr>
          <w:lang w:val="en-US"/>
        </w:rPr>
        <w:t>N=4 or N=8: [OPPO]</w:t>
      </w:r>
    </w:p>
    <w:p w14:paraId="67310960" w14:textId="77777777" w:rsidR="00A438D0" w:rsidRDefault="00862682">
      <w:pPr>
        <w:pStyle w:val="11"/>
        <w:numPr>
          <w:ilvl w:val="2"/>
          <w:numId w:val="8"/>
        </w:numPr>
        <w:rPr>
          <w:lang w:val="en-US"/>
        </w:rPr>
      </w:pPr>
      <w:r>
        <w:rPr>
          <w:lang w:val="en-US"/>
        </w:rPr>
        <w:t>NOTE: [OPPO] seems to use N-1 instead of N in their contribution, but Fig.1 shows a periodicity of 40 and 80ms for “N”=3 and 7.</w:t>
      </w:r>
    </w:p>
    <w:p w14:paraId="5F4184A2" w14:textId="77777777" w:rsidR="00A438D0" w:rsidRDefault="00862682">
      <w:pPr>
        <w:pStyle w:val="11"/>
        <w:numPr>
          <w:ilvl w:val="1"/>
          <w:numId w:val="8"/>
        </w:numPr>
        <w:rPr>
          <w:lang w:val="en-US"/>
        </w:rPr>
      </w:pPr>
      <w:r>
        <w:rPr>
          <w:lang w:val="en-US"/>
        </w:rPr>
        <w:t>Power of 2 [LGE]</w:t>
      </w:r>
    </w:p>
    <w:p w14:paraId="6F8A361B" w14:textId="77777777" w:rsidR="00A438D0" w:rsidRDefault="00862682">
      <w:pPr>
        <w:pStyle w:val="11"/>
        <w:numPr>
          <w:ilvl w:val="1"/>
          <w:numId w:val="8"/>
        </w:numPr>
        <w:rPr>
          <w:lang w:val="en-US"/>
        </w:rPr>
      </w:pPr>
      <w:r>
        <w:rPr>
          <w:lang w:val="en-US"/>
        </w:rPr>
        <w:t>N=8 [NK, vivo]</w:t>
      </w:r>
    </w:p>
    <w:p w14:paraId="244AA24C" w14:textId="77777777" w:rsidR="00A438D0" w:rsidRDefault="00862682">
      <w:pPr>
        <w:pStyle w:val="11"/>
        <w:numPr>
          <w:ilvl w:val="0"/>
          <w:numId w:val="8"/>
        </w:numPr>
        <w:rPr>
          <w:lang w:val="en-US"/>
        </w:rPr>
      </w:pPr>
      <w:r>
        <w:rPr>
          <w:lang w:val="en-US"/>
        </w:rPr>
        <w:t>N=9: [HW], [TH], [ZTE] (assumed), [Xiaomi] (assumed), [Iri], [SS] (assumed), [QC], [Nor], [vivo], [LGE]</w:t>
      </w:r>
    </w:p>
    <w:p w14:paraId="5E40F415" w14:textId="77777777" w:rsidR="00A438D0" w:rsidRDefault="00862682">
      <w:pPr>
        <w:pStyle w:val="11"/>
        <w:numPr>
          <w:ilvl w:val="0"/>
          <w:numId w:val="8"/>
        </w:numPr>
        <w:rPr>
          <w:lang w:val="en-US"/>
        </w:rPr>
      </w:pPr>
      <w:r>
        <w:rPr>
          <w:lang w:val="en-US"/>
        </w:rPr>
        <w:t>N=10 [NK]</w:t>
      </w:r>
    </w:p>
    <w:p w14:paraId="7CE0A57D" w14:textId="77777777" w:rsidR="00A438D0" w:rsidRDefault="00862682">
      <w:pPr>
        <w:pStyle w:val="1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1"/>
        <w:numPr>
          <w:ilvl w:val="0"/>
          <w:numId w:val="12"/>
        </w:numPr>
        <w:rPr>
          <w:b/>
          <w:bCs/>
        </w:rPr>
      </w:pPr>
      <w:r>
        <w:rPr>
          <w:b/>
          <w:bCs/>
        </w:rPr>
        <w:t>Option 1: N=2</w:t>
      </w:r>
      <w:r>
        <w:rPr>
          <w:b/>
          <w:bCs/>
          <w:vertAlign w:val="superscript"/>
        </w:rPr>
        <w:t>k</w:t>
      </w:r>
    </w:p>
    <w:p w14:paraId="2B04C9DA" w14:textId="77777777" w:rsidR="00A438D0" w:rsidRDefault="00862682">
      <w:pPr>
        <w:pStyle w:val="11"/>
        <w:numPr>
          <w:ilvl w:val="0"/>
          <w:numId w:val="12"/>
        </w:numPr>
        <w:rPr>
          <w:b/>
          <w:bCs/>
        </w:rPr>
      </w:pPr>
      <w:r>
        <w:rPr>
          <w:b/>
          <w:bCs/>
        </w:rPr>
        <w:t>Option 2: N=9.</w:t>
      </w:r>
    </w:p>
    <w:p w14:paraId="71C07A60" w14:textId="77777777" w:rsidR="00A438D0" w:rsidRDefault="00862682">
      <w:pPr>
        <w:pStyle w:val="1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In our paper R1-2408400, at the end in the Section 3, we proposed one way to solve for SFN wrap-around (depicted in R1-2408400, Table 3); We propose to define the offset from the start time of the SIB-1 periodicity time window, which is 2560 ms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14:paraId="3651976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G</w:t>
            </w:r>
            <w:r>
              <w:rPr>
                <w:rFonts w:eastAsiaTheme="minorEastAsia" w:hint="eastAsia"/>
                <w:lang w:val="en-US"/>
              </w:rPr>
              <w:t xml:space="preserve">enerally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HiSilicon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2"/>
        <w:rPr>
          <w:lang w:val="en-US"/>
        </w:rPr>
      </w:pPr>
      <w:r>
        <w:rPr>
          <w:lang w:val="en-US"/>
        </w:rPr>
        <w:t>2.3 Number of downlink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1"/>
        <w:numPr>
          <w:ilvl w:val="0"/>
          <w:numId w:val="12"/>
        </w:numPr>
      </w:pPr>
      <w:r>
        <w:t>Assuming N=9:</w:t>
      </w:r>
    </w:p>
    <w:p w14:paraId="69B1950A" w14:textId="77777777" w:rsidR="00A438D0" w:rsidRDefault="00862682">
      <w:pPr>
        <w:pStyle w:val="11"/>
        <w:numPr>
          <w:ilvl w:val="1"/>
          <w:numId w:val="12"/>
        </w:numPr>
      </w:pPr>
      <w:r>
        <w:t>[HW] proposes a set of TDD patterns to further discuss during the study phase, including D={10 30 40 45 50}</w:t>
      </w:r>
    </w:p>
    <w:p w14:paraId="5CAF9140" w14:textId="77777777" w:rsidR="00A438D0" w:rsidRDefault="00862682">
      <w:pPr>
        <w:pStyle w:val="1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1"/>
        <w:numPr>
          <w:ilvl w:val="1"/>
          <w:numId w:val="12"/>
        </w:numPr>
      </w:pPr>
      <w:r>
        <w:t>[ZTE] proposes to allocate at least 2 consecutive radio frames D&gt;=20</w:t>
      </w:r>
    </w:p>
    <w:p w14:paraId="59EBC9A3" w14:textId="77777777" w:rsidR="00A438D0" w:rsidRDefault="00862682">
      <w:pPr>
        <w:pStyle w:val="11"/>
        <w:numPr>
          <w:ilvl w:val="1"/>
          <w:numId w:val="12"/>
        </w:numPr>
      </w:pPr>
      <w:r>
        <w:t>[LGE], [SPDR] have examples with D=10</w:t>
      </w:r>
    </w:p>
    <w:p w14:paraId="45A3659B" w14:textId="77777777" w:rsidR="00A438D0" w:rsidRDefault="00862682">
      <w:pPr>
        <w:pStyle w:val="11"/>
        <w:numPr>
          <w:ilvl w:val="1"/>
          <w:numId w:val="12"/>
        </w:numPr>
      </w:pPr>
      <w:r>
        <w:t>[Iri] D=Single digit or double digit integer</w:t>
      </w:r>
    </w:p>
    <w:p w14:paraId="287DBAA9" w14:textId="77777777" w:rsidR="00A438D0" w:rsidRDefault="00862682">
      <w:pPr>
        <w:pStyle w:val="11"/>
        <w:numPr>
          <w:ilvl w:val="0"/>
          <w:numId w:val="12"/>
        </w:numPr>
      </w:pPr>
      <w:r>
        <w:t>Assuming N=2</w:t>
      </w:r>
      <w:r>
        <w:rPr>
          <w:vertAlign w:val="superscript"/>
        </w:rPr>
        <w:t>k</w:t>
      </w:r>
      <w:r>
        <w:t>:</w:t>
      </w:r>
    </w:p>
    <w:p w14:paraId="7A6EA694" w14:textId="77777777" w:rsidR="00A438D0" w:rsidRDefault="00862682">
      <w:pPr>
        <w:pStyle w:val="11"/>
        <w:numPr>
          <w:ilvl w:val="1"/>
          <w:numId w:val="12"/>
        </w:numPr>
      </w:pPr>
      <w:r>
        <w:t>[CATT]: Example of D=42</w:t>
      </w:r>
    </w:p>
    <w:p w14:paraId="01F97D05" w14:textId="77777777" w:rsidR="00A438D0" w:rsidRDefault="00862682">
      <w:pPr>
        <w:pStyle w:val="11"/>
        <w:numPr>
          <w:ilvl w:val="1"/>
          <w:numId w:val="12"/>
        </w:numPr>
      </w:pPr>
      <w:r>
        <w:t>[E///]: At least two consecutive radio frames (D&gt;=20)</w:t>
      </w:r>
    </w:p>
    <w:p w14:paraId="5B3DE907" w14:textId="77777777" w:rsidR="00A438D0" w:rsidRDefault="00862682">
      <w:pPr>
        <w:pStyle w:val="11"/>
        <w:numPr>
          <w:ilvl w:val="0"/>
          <w:numId w:val="12"/>
        </w:numPr>
      </w:pPr>
      <w:r>
        <w:t>Other considerations:</w:t>
      </w:r>
    </w:p>
    <w:p w14:paraId="7121A4EF" w14:textId="77777777" w:rsidR="00A438D0" w:rsidRDefault="00862682">
      <w:pPr>
        <w:pStyle w:val="11"/>
        <w:numPr>
          <w:ilvl w:val="1"/>
          <w:numId w:val="12"/>
        </w:numPr>
      </w:pPr>
      <w:r>
        <w:t>[QC] states that D&gt;=7 for the system to work without remapping, and D=8 to fit within an Iridium slot</w:t>
      </w:r>
    </w:p>
    <w:p w14:paraId="32C14B2D" w14:textId="77777777" w:rsidR="00A438D0" w:rsidRDefault="00862682">
      <w:pPr>
        <w:pStyle w:val="1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1"/>
        <w:numPr>
          <w:ilvl w:val="0"/>
          <w:numId w:val="12"/>
        </w:numPr>
      </w:pPr>
      <w:r>
        <w:t>[ZTE], [HW], [ZTE] state that the pattern is fixed.</w:t>
      </w:r>
    </w:p>
    <w:p w14:paraId="6E5B6A90" w14:textId="77777777" w:rsidR="00A438D0" w:rsidRDefault="00862682">
      <w:pPr>
        <w:pStyle w:val="1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The number of consecutive downlink subframes in the TDD frame structure (D) is:</w:t>
      </w:r>
    </w:p>
    <w:p w14:paraId="05442675" w14:textId="77777777" w:rsidR="00A438D0" w:rsidRDefault="00862682">
      <w:pPr>
        <w:pStyle w:val="11"/>
        <w:numPr>
          <w:ilvl w:val="0"/>
          <w:numId w:val="12"/>
        </w:numPr>
        <w:rPr>
          <w:b/>
          <w:bCs/>
        </w:rPr>
      </w:pPr>
      <w:r>
        <w:rPr>
          <w:b/>
          <w:bCs/>
        </w:rPr>
        <w:t>Option 1: fixed in specifications for a given band.</w:t>
      </w:r>
    </w:p>
    <w:p w14:paraId="228415D2" w14:textId="77777777" w:rsidR="00A438D0" w:rsidRDefault="00862682">
      <w:pPr>
        <w:pStyle w:val="11"/>
        <w:numPr>
          <w:ilvl w:val="0"/>
          <w:numId w:val="12"/>
        </w:numPr>
        <w:rPr>
          <w:b/>
          <w:bCs/>
        </w:rPr>
      </w:pPr>
      <w:r>
        <w:rPr>
          <w:b/>
          <w:bCs/>
        </w:rPr>
        <w:t>Option 2: configurable.</w:t>
      </w:r>
    </w:p>
    <w:p w14:paraId="4045DF6C" w14:textId="77777777" w:rsidR="00A438D0" w:rsidRDefault="00862682">
      <w:pPr>
        <w:pStyle w:val="11"/>
        <w:numPr>
          <w:ilvl w:val="1"/>
          <w:numId w:val="12"/>
        </w:numPr>
        <w:rPr>
          <w:b/>
          <w:bCs/>
        </w:rPr>
      </w:pPr>
      <w:r>
        <w:rPr>
          <w:b/>
          <w:bCs/>
        </w:rPr>
        <w:t>FFS: Assumption of the UE for initial search before acquiring the configuration.</w:t>
      </w:r>
    </w:p>
    <w:p w14:paraId="53990CAC"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lastRenderedPageBreak/>
        <w:t>Proposal 2.3-2</w:t>
      </w:r>
      <w:r>
        <w:rPr>
          <w:rFonts w:ascii="Times New Roman" w:eastAsia="宋体"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should use a common wording across proposals, therefore we suggest the following updated on Proposal 2.3-1:</w:t>
            </w:r>
          </w:p>
          <w:p w14:paraId="4B7EB92F"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downlink subframes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14:paraId="57932C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2.3-1  OK</w:t>
            </w:r>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 xml:space="preserve">Proposal 2.3-1 :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subframe or others (e.g., half-frame, frame) since the PSS/SSS/PBCH/SIB1 is transmitted </w:t>
            </w:r>
            <w:r>
              <w:rPr>
                <w:rFonts w:eastAsia="宋体"/>
                <w:lang w:eastAsia="zh-CN"/>
              </w:rPr>
              <w:t>with</w:t>
            </w:r>
            <w:r>
              <w:rPr>
                <w:rFonts w:eastAsia="宋体"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number of consecutive downlink subframes in the TDD frame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The number of consecutive downlink subframes in the TDD frame 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14:paraId="226D7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1  OK</w:t>
            </w:r>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1</w:t>
            </w:r>
            <w:r>
              <w:rPr>
                <w:rFonts w:eastAsia="宋体"/>
                <w:b/>
                <w:bCs/>
                <w:u w:val="single"/>
              </w:rPr>
              <w:t xml:space="preserve">, </w:t>
            </w:r>
            <w:r w:rsidRPr="00042263">
              <w:rPr>
                <w:rFonts w:eastAsia="宋体"/>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w:t>
            </w:r>
            <w:r>
              <w:rPr>
                <w:rFonts w:eastAsia="宋体"/>
                <w:b/>
                <w:bCs/>
              </w:rPr>
              <w:t xml:space="preserve">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p>
        </w:tc>
      </w:tr>
    </w:tbl>
    <w:p w14:paraId="5057DEC0" w14:textId="77777777" w:rsidR="00A438D0" w:rsidRDefault="00A438D0">
      <w:pPr>
        <w:rPr>
          <w:lang w:val="en-US"/>
        </w:rPr>
      </w:pPr>
    </w:p>
    <w:p w14:paraId="56093E65" w14:textId="77777777" w:rsidR="00A438D0" w:rsidRDefault="00862682">
      <w:pPr>
        <w:pStyle w:val="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1"/>
        <w:numPr>
          <w:ilvl w:val="0"/>
          <w:numId w:val="12"/>
        </w:numPr>
        <w:rPr>
          <w:b/>
          <w:bCs/>
        </w:rPr>
      </w:pPr>
      <w:r>
        <w:rPr>
          <w:b/>
          <w:bCs/>
        </w:rPr>
        <w:t>Option 2: The UE derives the offset based on the observation of sync signals.</w:t>
      </w:r>
    </w:p>
    <w:p w14:paraId="42EB3913" w14:textId="77777777" w:rsidR="00A438D0" w:rsidRDefault="00862682">
      <w:pPr>
        <w:pStyle w:val="1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 xml:space="preserve">periodicity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Option 3 is our preference,  assuming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2"/>
        <w:rPr>
          <w:lang w:val="en-US"/>
        </w:rPr>
      </w:pPr>
      <w:r>
        <w:rPr>
          <w:lang w:val="en-US"/>
        </w:rPr>
        <w:t>2.5 [LOW PRIORITY] Number of uplink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[Iri] U is single or double digit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The number of consecutive uplink subframes in the TDD frame structure (U) is:</w:t>
      </w:r>
    </w:p>
    <w:p w14:paraId="497E619F" w14:textId="77777777" w:rsidR="00A438D0" w:rsidRDefault="00862682">
      <w:pPr>
        <w:pStyle w:val="11"/>
        <w:numPr>
          <w:ilvl w:val="0"/>
          <w:numId w:val="12"/>
        </w:numPr>
        <w:rPr>
          <w:b/>
          <w:bCs/>
        </w:rPr>
      </w:pPr>
      <w:r>
        <w:rPr>
          <w:b/>
          <w:bCs/>
        </w:rPr>
        <w:t>Option 1: fixed in specifications for a given band.</w:t>
      </w:r>
    </w:p>
    <w:p w14:paraId="1073E79B" w14:textId="77777777" w:rsidR="00A438D0" w:rsidRDefault="00862682">
      <w:pPr>
        <w:pStyle w:val="11"/>
        <w:numPr>
          <w:ilvl w:val="0"/>
          <w:numId w:val="12"/>
        </w:numPr>
        <w:rPr>
          <w:b/>
          <w:bCs/>
        </w:rPr>
      </w:pPr>
      <w:r>
        <w:rPr>
          <w:b/>
          <w:bCs/>
        </w:rPr>
        <w:t>Option 2: configurable.</w:t>
      </w:r>
    </w:p>
    <w:p w14:paraId="4988ECCA"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1"/>
        <w:numPr>
          <w:ilvl w:val="0"/>
          <w:numId w:val="12"/>
        </w:numPr>
        <w:rPr>
          <w:b/>
          <w:bCs/>
        </w:rPr>
      </w:pPr>
      <w:r>
        <w:rPr>
          <w:b/>
          <w:bCs/>
        </w:rPr>
        <w:t>Option 1: fixed in specifications for a given band.</w:t>
      </w:r>
    </w:p>
    <w:p w14:paraId="48BA987F" w14:textId="77777777" w:rsidR="00A438D0" w:rsidRDefault="00862682">
      <w:pPr>
        <w:pStyle w:val="1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uplink subframes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r>
              <w:rPr>
                <w:rFonts w:eastAsia="Malgun Gothic"/>
                <w:b/>
                <w:bCs/>
                <w:lang w:eastAsia="ko-KR"/>
              </w:rPr>
              <w:t xml:space="preserve">DownlinkToUplinkGuardPeriod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r>
              <w:rPr>
                <w:rFonts w:eastAsia="Malgun Gothic"/>
                <w:b/>
                <w:bCs/>
                <w:lang w:eastAsia="ko-KR"/>
              </w:rPr>
              <w:t xml:space="preserve">DownlinkToUplinkGuardPeriod. </w:t>
            </w:r>
            <w:r>
              <w:rPr>
                <w:rFonts w:eastAsia="Malgun Gothic"/>
                <w:lang w:eastAsia="ko-KR"/>
              </w:rPr>
              <w:t xml:space="preserve">This parameter should be configurable to support different orbits including  and deplyement scnerios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26E18441">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77777777" w:rsidR="00A438D0" w:rsidRDefault="00862682">
      <w:pPr>
        <w:pStyle w:val="1"/>
        <w:numPr>
          <w:ilvl w:val="0"/>
          <w:numId w:val="2"/>
        </w:numPr>
        <w:tabs>
          <w:tab w:val="left" w:pos="720"/>
        </w:tabs>
        <w:ind w:left="720" w:hanging="720"/>
        <w:jc w:val="both"/>
        <w:rPr>
          <w:lang w:val="en-US"/>
        </w:rPr>
      </w:pPr>
      <w:r>
        <w:rPr>
          <w:lang w:val="en-US"/>
        </w:rPr>
        <w:t>Impact on downlink synchronization</w:t>
      </w:r>
    </w:p>
    <w:p w14:paraId="5EEA4C46" w14:textId="77777777" w:rsidR="00A438D0" w:rsidRDefault="00862682">
      <w:pPr>
        <w:pStyle w:val="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[SS] proposes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NB-IoT FDD subframe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/Other SIBs-NB (e.g., SIB2-NB, SIB31-NB)</w:t>
            </w:r>
          </w:p>
          <w:p w14:paraId="1486EE3D"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frames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fc"/>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epetitions are made, equally spaced, within the 2560 ms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paging(to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lastRenderedPageBreak/>
              <w:t>Proposal 3.1-1</w:t>
            </w:r>
            <w:r>
              <w:rPr>
                <w:rFonts w:ascii="Times New Roman" w:eastAsia="宋体" w:hAnsi="Times New Roman" w:cs="Times New Roman"/>
                <w:b/>
                <w:bCs/>
                <w:color w:val="auto"/>
                <w:sz w:val="20"/>
                <w:szCs w:val="20"/>
                <w:lang w:eastAsia="zh-CN"/>
              </w:rPr>
              <w:t>: RAN1 strives to reuse the NB-IoT FDD subframe / SFN mapping and periodicities for NPSS/NSSS/NPBCH/SIB1-NB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We think the current FDD design can not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宋体"/>
        </w:rPr>
      </w:pPr>
    </w:p>
    <w:p w14:paraId="2FE36966" w14:textId="77777777" w:rsidR="00A438D0" w:rsidRDefault="00862682">
      <w:pPr>
        <w:pStyle w:val="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1"/>
        <w:numPr>
          <w:ilvl w:val="0"/>
          <w:numId w:val="12"/>
        </w:numPr>
        <w:rPr>
          <w:lang w:val="en-US"/>
        </w:rPr>
      </w:pPr>
      <w:r>
        <w:rPr>
          <w:lang w:val="en-US"/>
        </w:rPr>
        <w:t xml:space="preserve">NPBCH: [Eri], [LGE], [QC], [OPPO], [LGE], [TH], [Iri] </w:t>
      </w:r>
    </w:p>
    <w:p w14:paraId="09593725" w14:textId="77777777" w:rsidR="00A438D0" w:rsidRDefault="00862682">
      <w:pPr>
        <w:pStyle w:val="11"/>
        <w:numPr>
          <w:ilvl w:val="0"/>
          <w:numId w:val="12"/>
        </w:numPr>
        <w:rPr>
          <w:b/>
          <w:bCs/>
          <w:lang w:val="fr-FR"/>
        </w:rPr>
      </w:pPr>
      <w:r>
        <w:rPr>
          <w:lang w:val="fr-FR"/>
        </w:rPr>
        <w:t xml:space="preserve">SIB1-NB: [Eri],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1"/>
        <w:numPr>
          <w:ilvl w:val="0"/>
          <w:numId w:val="12"/>
        </w:numPr>
      </w:pPr>
      <w:r>
        <w:t>[HW], [TH], [ZTE], [Xiaomi], [NK] propose RAN1 should conduct the evaluations.</w:t>
      </w:r>
    </w:p>
    <w:p w14:paraId="41372BD5" w14:textId="77777777" w:rsidR="00A438D0" w:rsidRDefault="00862682">
      <w:pPr>
        <w:pStyle w:val="1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1"/>
        <w:numPr>
          <w:ilvl w:val="0"/>
          <w:numId w:val="12"/>
        </w:numPr>
        <w:rPr>
          <w:b/>
          <w:bCs/>
        </w:rPr>
      </w:pPr>
      <w:r>
        <w:rPr>
          <w:b/>
          <w:bCs/>
        </w:rPr>
        <w:t>NPSS/NSSS detection</w:t>
      </w:r>
    </w:p>
    <w:p w14:paraId="7BF3434F" w14:textId="77777777" w:rsidR="00A438D0" w:rsidRDefault="00862682">
      <w:pPr>
        <w:pStyle w:val="11"/>
        <w:numPr>
          <w:ilvl w:val="0"/>
          <w:numId w:val="12"/>
        </w:numPr>
        <w:rPr>
          <w:b/>
          <w:bCs/>
        </w:rPr>
      </w:pPr>
      <w:r>
        <w:rPr>
          <w:b/>
          <w:bCs/>
        </w:rPr>
        <w:t>NPBCH decoding</w:t>
      </w:r>
    </w:p>
    <w:p w14:paraId="3E6A2210" w14:textId="77777777" w:rsidR="00A438D0" w:rsidRDefault="00862682">
      <w:pPr>
        <w:pStyle w:val="1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14:paraId="7C363AE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14:paraId="08AD1F2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14:paraId="14B33295"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hint="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uawei, HiSilicon</w:t>
            </w:r>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14:paraId="04E3E25F" w14:textId="77777777" w:rsidR="00A438D0" w:rsidRDefault="00862682">
      <w:pPr>
        <w:rPr>
          <w:rFonts w:eastAsia="宋体"/>
        </w:rPr>
      </w:pPr>
      <w:r>
        <w:rPr>
          <w:rFonts w:eastAsia="宋体"/>
        </w:rPr>
        <w:t>On this issue, two distinct sets of inputs have been received on how to calculate the downlink link budget:</w:t>
      </w:r>
    </w:p>
    <w:p w14:paraId="357002DF" w14:textId="77777777" w:rsidR="00A438D0" w:rsidRDefault="00862682">
      <w:pPr>
        <w:pStyle w:val="1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r>
        <w:rPr>
          <w:rFonts w:eastAsia="宋体"/>
          <w:iCs/>
          <w:vertAlign w:val="superscript"/>
        </w:rPr>
        <w:t>st</w:t>
      </w:r>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14:paraId="47605247" w14:textId="77777777" w:rsidR="00A438D0" w:rsidRDefault="00862682">
      <w:pPr>
        <w:rPr>
          <w:rFonts w:eastAsia="宋体"/>
        </w:rPr>
      </w:pPr>
      <w:r>
        <w:rPr>
          <w:rFonts w:eastAsia="宋体"/>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1"/>
        <w:numPr>
          <w:ilvl w:val="0"/>
          <w:numId w:val="12"/>
        </w:numPr>
        <w:rPr>
          <w:b/>
          <w:bCs/>
        </w:rPr>
      </w:pPr>
      <w:r>
        <w:rPr>
          <w:b/>
          <w:bCs/>
        </w:rPr>
        <w:t>For LEO-600, the operating SNR is 4.91dB</w:t>
      </w:r>
    </w:p>
    <w:p w14:paraId="79E5AD2B" w14:textId="77777777" w:rsidR="00A438D0" w:rsidRDefault="00862682">
      <w:pPr>
        <w:pStyle w:val="11"/>
        <w:numPr>
          <w:ilvl w:val="0"/>
          <w:numId w:val="12"/>
        </w:numPr>
        <w:rPr>
          <w:b/>
          <w:bCs/>
        </w:rPr>
      </w:pPr>
      <w:r>
        <w:rPr>
          <w:b/>
          <w:bCs/>
        </w:rPr>
        <w:t>For LEO-1200, the operating SNR is 5.51dB</w:t>
      </w:r>
    </w:p>
    <w:p w14:paraId="7B3136AA" w14:textId="77777777" w:rsidR="00A438D0" w:rsidRDefault="00862682">
      <w:pPr>
        <w:pStyle w:val="1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In the WID justification, we understand that the design is to support periodic frame structure for power consumption limitation, but it does not seem to target a coexistence with legacy deployement assuming the legacy framing is unchangable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hint="eastAsia"/>
                <w:lang w:val="en-US" w:eastAsia="zh-CN"/>
              </w:rPr>
            </w:pPr>
            <w:r>
              <w:rPr>
                <w:rFonts w:eastAsiaTheme="minorEastAsia"/>
                <w:lang w:val="en-US" w:eastAsia="zh-CN"/>
              </w:rPr>
              <w:t>Huawei, HiSilicon</w:t>
            </w:r>
          </w:p>
        </w:tc>
        <w:tc>
          <w:tcPr>
            <w:tcW w:w="7834" w:type="dxa"/>
          </w:tcPr>
          <w:p w14:paraId="23B0BAA4" w14:textId="77777777" w:rsidR="00197EE6" w:rsidRDefault="00197EE6">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1"/>
        <w:numPr>
          <w:ilvl w:val="0"/>
          <w:numId w:val="12"/>
        </w:numPr>
      </w:pPr>
      <w:r>
        <w:t>On the channel model, [TH] proposes to use AWGN, while [HW] and [ZTE] propose to use NTN TDL-C</w:t>
      </w:r>
    </w:p>
    <w:p w14:paraId="704A1246" w14:textId="77777777" w:rsidR="00A438D0" w:rsidRDefault="00862682">
      <w:pPr>
        <w:pStyle w:val="1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宋体"/>
                <w:b w:val="0"/>
                <w:bCs w:val="0"/>
              </w:rPr>
            </w:pPr>
            <w:r>
              <w:rPr>
                <w:rFonts w:eastAsia="宋体"/>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宋体"/>
                <w:b w:val="0"/>
                <w:bCs w:val="0"/>
              </w:rPr>
            </w:pPr>
            <w:r>
              <w:rPr>
                <w:rFonts w:eastAsia="宋体"/>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宋体"/>
                <w:b w:val="0"/>
                <w:bCs w:val="0"/>
              </w:rPr>
            </w:pPr>
            <w:r>
              <w:rPr>
                <w:rFonts w:eastAsia="宋体"/>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宋体"/>
                <w:b w:val="0"/>
                <w:bCs w:val="0"/>
              </w:rPr>
            </w:pPr>
            <w:r>
              <w:rPr>
                <w:rFonts w:eastAsia="宋体"/>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宋体"/>
                <w:b w:val="0"/>
                <w:bCs w:val="0"/>
              </w:rPr>
            </w:pPr>
            <w:r>
              <w:rPr>
                <w:rFonts w:eastAsia="宋体"/>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宋体"/>
                <w:b w:val="0"/>
                <w:bCs w:val="0"/>
              </w:rPr>
            </w:pPr>
            <w:r>
              <w:rPr>
                <w:rFonts w:eastAsia="宋体"/>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14:paraId="566481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14:paraId="23BE316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14:paraId="1BCF4454"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宋体"/>
                <w:b w:val="0"/>
                <w:bCs w:val="0"/>
              </w:rPr>
            </w:pPr>
            <w:r>
              <w:rPr>
                <w:rFonts w:eastAsia="宋体"/>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14:paraId="448C5F49" w14:textId="77777777" w:rsidR="00A438D0" w:rsidRDefault="00A438D0">
      <w:pPr>
        <w:rPr>
          <w:rFonts w:eastAsia="宋体"/>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77777777" w:rsidR="00A438D0" w:rsidRDefault="00862682">
      <w:pPr>
        <w:pStyle w:val="1"/>
        <w:numPr>
          <w:ilvl w:val="0"/>
          <w:numId w:val="2"/>
        </w:numPr>
        <w:tabs>
          <w:tab w:val="left" w:pos="720"/>
        </w:tabs>
        <w:ind w:left="720" w:hanging="720"/>
        <w:jc w:val="both"/>
        <w:rPr>
          <w:lang w:val="en-US"/>
        </w:rPr>
      </w:pPr>
      <w:r>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1"/>
        <w:numPr>
          <w:ilvl w:val="0"/>
          <w:numId w:val="12"/>
        </w:numPr>
        <w:rPr>
          <w:lang w:val="en-US"/>
        </w:rPr>
      </w:pPr>
      <w:r>
        <w:rPr>
          <w:lang w:val="en-US"/>
        </w:rPr>
        <w:t>How to handle system information messages: [SPDR]</w:t>
      </w:r>
    </w:p>
    <w:p w14:paraId="096A08B5" w14:textId="77777777" w:rsidR="00A438D0" w:rsidRDefault="00862682">
      <w:pPr>
        <w:pStyle w:val="11"/>
        <w:numPr>
          <w:ilvl w:val="0"/>
          <w:numId w:val="12"/>
        </w:numPr>
        <w:rPr>
          <w:lang w:val="en-US"/>
        </w:rPr>
      </w:pPr>
      <w:r>
        <w:rPr>
          <w:lang w:val="en-US"/>
        </w:rPr>
        <w:t>How to handle NPRACH occasions and RAR: [Nor], [HW],[vivo],[LGE],[E///]</w:t>
      </w:r>
    </w:p>
    <w:p w14:paraId="43DCC665" w14:textId="77777777" w:rsidR="00A438D0" w:rsidRDefault="00862682">
      <w:pPr>
        <w:pStyle w:val="11"/>
        <w:numPr>
          <w:ilvl w:val="0"/>
          <w:numId w:val="12"/>
        </w:numPr>
        <w:rPr>
          <w:lang w:val="en-US"/>
        </w:rPr>
      </w:pPr>
      <w:r>
        <w:rPr>
          <w:lang w:val="en-US"/>
        </w:rPr>
        <w:t>How to handle paging: [HW], [vivo]</w:t>
      </w:r>
    </w:p>
    <w:p w14:paraId="07B3E4D7" w14:textId="77777777" w:rsidR="00A438D0" w:rsidRDefault="00862682">
      <w:pPr>
        <w:pStyle w:val="11"/>
        <w:numPr>
          <w:ilvl w:val="0"/>
          <w:numId w:val="12"/>
        </w:numPr>
        <w:rPr>
          <w:lang w:val="en-US"/>
        </w:rPr>
      </w:pPr>
      <w:r>
        <w:rPr>
          <w:lang w:val="en-US"/>
        </w:rPr>
        <w:t>How to handle NPDCCH monitoring occasion: [Nor]</w:t>
      </w:r>
    </w:p>
    <w:p w14:paraId="1B5EBEE9" w14:textId="77777777" w:rsidR="00A438D0" w:rsidRDefault="00862682">
      <w:pPr>
        <w:pStyle w:val="11"/>
        <w:numPr>
          <w:ilvl w:val="0"/>
          <w:numId w:val="12"/>
        </w:numPr>
        <w:rPr>
          <w:lang w:val="en-US"/>
        </w:rPr>
      </w:pPr>
      <w:r>
        <w:rPr>
          <w:lang w:val="en-US"/>
        </w:rPr>
        <w:t>Half duplex retuning gaps: [E///]</w:t>
      </w:r>
    </w:p>
    <w:p w14:paraId="1CCEA9F8" w14:textId="77777777" w:rsidR="00A438D0" w:rsidRDefault="00862682">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1"/>
        <w:numPr>
          <w:ilvl w:val="0"/>
          <w:numId w:val="12"/>
        </w:numPr>
        <w:spacing w:line="259" w:lineRule="auto"/>
        <w:rPr>
          <w:b/>
          <w:bCs/>
          <w:lang w:val="en-US"/>
        </w:rPr>
      </w:pPr>
      <w:r>
        <w:rPr>
          <w:b/>
          <w:bCs/>
          <w:lang w:val="en-US"/>
        </w:rPr>
        <w:t>NPRACH occasions and RAR</w:t>
      </w:r>
    </w:p>
    <w:p w14:paraId="113C1806" w14:textId="77777777" w:rsidR="00A438D0" w:rsidRDefault="00862682">
      <w:pPr>
        <w:pStyle w:val="11"/>
        <w:numPr>
          <w:ilvl w:val="0"/>
          <w:numId w:val="12"/>
        </w:numPr>
        <w:spacing w:line="259" w:lineRule="auto"/>
        <w:rPr>
          <w:b/>
          <w:bCs/>
          <w:lang w:val="en-US"/>
        </w:rPr>
      </w:pPr>
      <w:r>
        <w:rPr>
          <w:b/>
          <w:bCs/>
          <w:lang w:val="en-US"/>
        </w:rPr>
        <w:t xml:space="preserve">Paging </w:t>
      </w:r>
    </w:p>
    <w:p w14:paraId="497263CA" w14:textId="77777777" w:rsidR="00A438D0" w:rsidRDefault="00862682">
      <w:pPr>
        <w:pStyle w:val="11"/>
        <w:numPr>
          <w:ilvl w:val="0"/>
          <w:numId w:val="12"/>
        </w:numPr>
        <w:spacing w:line="259" w:lineRule="auto"/>
        <w:rPr>
          <w:b/>
          <w:bCs/>
          <w:lang w:val="en-US"/>
        </w:rPr>
      </w:pPr>
      <w:r>
        <w:rPr>
          <w:b/>
          <w:bCs/>
          <w:lang w:val="en-US"/>
        </w:rPr>
        <w:t>NPDCCH monitoring occasion</w:t>
      </w:r>
    </w:p>
    <w:p w14:paraId="446B0C68" w14:textId="77777777" w:rsidR="00A438D0" w:rsidRDefault="00862682">
      <w:pPr>
        <w:pStyle w:val="1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3D9819A5" w14:textId="77777777" w:rsidR="00A438D0" w:rsidRDefault="00862682">
      <w:pPr>
        <w:pStyle w:val="1"/>
        <w:jc w:val="both"/>
        <w:rPr>
          <w:lang w:val="en-US"/>
        </w:rPr>
      </w:pPr>
      <w:r>
        <w:rPr>
          <w:lang w:val="en-US"/>
        </w:rPr>
        <w:t>Summary of contributions (proposals only)</w:t>
      </w:r>
    </w:p>
    <w:tbl>
      <w:tblPr>
        <w:tblStyle w:val="111"/>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eNB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t>Proposal 5:</w:t>
            </w:r>
            <w:r>
              <w:rPr>
                <w:iCs/>
              </w:rPr>
              <w:t xml:space="preserve"> </w:t>
            </w:r>
            <w:r>
              <w:rPr>
                <w:rFonts w:eastAsia="宋体"/>
                <w:iCs/>
                <w:lang w:eastAsia="zh-CN"/>
              </w:rPr>
              <w:t xml:space="preserve">The impacts on the following DL/UL transmissions should be further analysed when the new TDD pattern are introduced. </w:t>
            </w:r>
          </w:p>
          <w:p w14:paraId="57DBD778"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7B457C">
            <w:pPr>
              <w:spacing w:after="0"/>
              <w:rPr>
                <w:rFonts w:ascii="Arial" w:hAnsi="Arial" w:cs="Arial"/>
                <w:color w:val="0000FF"/>
                <w:sz w:val="16"/>
                <w:szCs w:val="16"/>
                <w:u w:val="single"/>
                <w:lang w:val="en-US" w:eastAsia="zh-CN"/>
              </w:rPr>
            </w:pPr>
            <w:hyperlink r:id="rId17"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lastRenderedPageBreak/>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7B457C">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14:paraId="3F71B0F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DL-UL-TransmissionPeriodicity</w:t>
            </w:r>
            <w:r>
              <w:t xml:space="preserve"> which indicates the periodicity of the DL-UL pattern,</w:t>
            </w:r>
          </w:p>
          <w:p w14:paraId="079F0804"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 xml:space="preserve">nrOfDownlinkSubframes </w:t>
            </w:r>
            <w:r>
              <w:t>which indicates the number of consecutive DL subframes at the beginning of each DL-UL pattern,</w:t>
            </w:r>
          </w:p>
          <w:p w14:paraId="7B0346D5"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nrOfUplinkSubframes</w:t>
            </w:r>
            <w:r>
              <w:t xml:space="preserve"> which indicates the number of consecutive UL subframes,</w:t>
            </w:r>
          </w:p>
          <w:p w14:paraId="47C16139" w14:textId="77777777" w:rsidR="00A438D0" w:rsidRDefault="00862682">
            <w:pPr>
              <w:pStyle w:val="1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DownlinkToUplinkGuardPeriod</w:t>
            </w:r>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 NB-IoT NTN TDD mode, for cell search procedure a UE may assume a predefined value for DL-UL-TransmissionPeriodicity and nrOfDownlinkSubframes.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DL-UL-TransmissionPeriodicity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DL-UL-TransmissionPeriodicity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A minimum value of nrOfDownlinkSubframes and nrOfUplinkSubframes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lastRenderedPageBreak/>
              <w:t xml:space="preserve">nrOfDownlinkSubframes </w:t>
            </w:r>
          </w:p>
          <w:p w14:paraId="50954C7D"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 xml:space="preserve">nrOfUplinkSubframes </w:t>
            </w:r>
          </w:p>
          <w:p w14:paraId="0AA426B0"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DownlinkToUplinkGuardPeriod</w:t>
            </w:r>
          </w:p>
          <w:p w14:paraId="566CE828" w14:textId="77777777" w:rsidR="00A438D0" w:rsidRDefault="00862682">
            <w:pPr>
              <w:pStyle w:val="1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For the performance evaluation of UE downlink synchronization in IoT-NTN TDD, the following NB-IoT channel and signals can be evaluated:</w:t>
            </w:r>
          </w:p>
          <w:p w14:paraId="773FC501"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Adopt the value of 9 radio frames for DL-UL-TransmissionPeriodicity.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7B457C">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lastRenderedPageBreak/>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NPRACH</w:t>
            </w:r>
            <w:r>
              <w:rPr>
                <w:rFonts w:eastAsia="宋体" w:hint="eastAsia"/>
                <w:lang w:eastAsia="zh-CN"/>
              </w:rPr>
              <w:t xml:space="preserve"> in a UL resource set</w:t>
            </w:r>
            <w:r>
              <w:rPr>
                <w:rFonts w:eastAsia="宋体"/>
                <w:lang w:eastAsia="zh-CN"/>
              </w:rPr>
              <w:t xml:space="preserve"> is 6 subframes.</w:t>
            </w:r>
            <w:r>
              <w:rPr>
                <w:rFonts w:eastAsia="宋体"/>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7B457C">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7B457C">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A fixed periodic pattern can be considered for IoT-NTN TDD mode without additional configuration signaling.</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7B457C">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7B457C">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lastRenderedPageBreak/>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7B457C">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7B457C">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ms.  </w:t>
            </w:r>
          </w:p>
          <w:p w14:paraId="1A93A522" w14:textId="77777777" w:rsidR="00A438D0" w:rsidRDefault="00862682">
            <w:pPr>
              <w:pStyle w:val="aa"/>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7B457C">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[IriWP]</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7B457C">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703EBBA"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 xml:space="preserve">Proposal 4: For IoT-NTN TDD mode, one or more of followings can be considered for initial access procedure: </w:t>
            </w:r>
          </w:p>
          <w:p w14:paraId="1A48E32F"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306167BD" w14:textId="77777777" w:rsidR="00A438D0" w:rsidRDefault="00862682">
            <w:pPr>
              <w:pStyle w:val="1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7B457C">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7B457C">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In NB-IoT NTN TDD mode, SIB-1 shall broadcast active downlink start offset time from the start of 2560 ms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7B457C">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lastRenderedPageBreak/>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7B457C">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b/>
                <w:szCs w:val="16"/>
                <w:lang w:val="en-US" w:eastAsia="ko-KR"/>
              </w:rPr>
              <w:t xml:space="preserve">How long DL subframes are available during N radio frames. </w:t>
            </w:r>
          </w:p>
          <w:p w14:paraId="22C2708E" w14:textId="77777777" w:rsidR="00A438D0" w:rsidRDefault="00862682">
            <w:pPr>
              <w:pStyle w:val="1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7B457C">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afa"/>
                </w:rPr>
                <w:t>Proposal 1</w:t>
              </w:r>
              <w:r>
                <w:rPr>
                  <w:rFonts w:asciiTheme="minorHAnsi" w:eastAsiaTheme="minorEastAsia" w:hAnsiTheme="minorHAnsi" w:cstheme="minorBidi"/>
                  <w:b w:val="0"/>
                  <w:kern w:val="2"/>
                  <w:sz w:val="22"/>
                  <w:szCs w:val="22"/>
                  <w14:ligatures w14:val="standardContextual"/>
                </w:rPr>
                <w:tab/>
              </w:r>
              <w:r>
                <w:rPr>
                  <w:rStyle w:val="afa"/>
                </w:rPr>
                <w:t>For the support of “TDD mode NB-IoT NTN” on the anchor carrier, the location within a radio frame of the following PHY-channels and signals remains as in FDD mode:</w:t>
              </w:r>
            </w:hyperlink>
          </w:p>
          <w:p w14:paraId="65CF8125"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NPBCH is transmitted in subframe # 0 in every unmuted radio frame.</w:t>
              </w:r>
            </w:hyperlink>
          </w:p>
          <w:p w14:paraId="649A4979"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NPSS is transmitted in subframe # 5 in every unmuted radio frame.</w:t>
              </w:r>
            </w:hyperlink>
          </w:p>
          <w:p w14:paraId="0E01896B"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NSS is transmitted in subframe # 9 in every other unmuted radio frame.</w:t>
              </w:r>
            </w:hyperlink>
          </w:p>
          <w:p w14:paraId="6C0174E8"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SIB1-NB is transmitted in subframe #4 in every other unmuted radio frame.</w:t>
              </w:r>
            </w:hyperlink>
          </w:p>
          <w:p w14:paraId="0EEEDA7A" w14:textId="77777777" w:rsidR="00A438D0" w:rsidRDefault="007B457C">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afa"/>
                </w:rPr>
                <w:t>Proposal 2</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DL:</w:t>
              </w:r>
            </w:hyperlink>
          </w:p>
          <w:p w14:paraId="7C4026E6"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7B457C">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afa"/>
                </w:rPr>
                <w:t>Proposal 3</w:t>
              </w:r>
              <w:r w:rsidR="00862682">
                <w:rPr>
                  <w:rFonts w:asciiTheme="minorHAnsi" w:eastAsiaTheme="minorEastAsia" w:hAnsiTheme="minorHAnsi" w:cstheme="minorBidi"/>
                  <w:b w:val="0"/>
                  <w:kern w:val="2"/>
                  <w:sz w:val="22"/>
                  <w:szCs w:val="22"/>
                  <w14:ligatures w14:val="standardContextual"/>
                </w:rPr>
                <w:tab/>
              </w:r>
              <w:r w:rsidR="00862682">
                <w:rPr>
                  <w:rStyle w:val="afa"/>
                </w:rPr>
                <w:t>For the support of “TDD mode NB-IoT NTN” on the anchor carrier in UL:</w:t>
              </w:r>
            </w:hyperlink>
          </w:p>
          <w:p w14:paraId="06F26DAD"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At least 2 consecutive UL radio frames within a period composed by N radio frames are used to carry NPRACH and NPUSCH.</w:t>
              </w:r>
            </w:hyperlink>
          </w:p>
          <w:p w14:paraId="1D663415"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Aiming at minimizing the spec impact, N can be equal to the one selected for DL.</w:t>
              </w:r>
            </w:hyperlink>
          </w:p>
          <w:p w14:paraId="74E8BFE0" w14:textId="77777777" w:rsidR="00A438D0" w:rsidRDefault="007B457C">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afa"/>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afa"/>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7B457C">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2C51953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7B457C">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7B457C">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1"/>
        <w:jc w:val="both"/>
        <w:rPr>
          <w:lang w:val="en-US"/>
        </w:rPr>
      </w:pPr>
      <w:r>
        <w:rPr>
          <w:lang w:val="en-US"/>
        </w:rPr>
        <w:t>References</w:t>
      </w:r>
    </w:p>
    <w:p w14:paraId="6A013C4D" w14:textId="77777777" w:rsidR="00A438D0" w:rsidRDefault="00862682">
      <w:pPr>
        <w:rPr>
          <w:lang w:val="en-US"/>
        </w:rPr>
      </w:pPr>
      <w:r>
        <w:rPr>
          <w:lang w:val="en-US"/>
        </w:rPr>
        <w:t xml:space="preserve">[1] </w:t>
      </w:r>
      <w:hyperlink r:id="rId36" w:history="1">
        <w:r>
          <w:rPr>
            <w:rStyle w:val="afa"/>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7" w:history="1">
        <w:r>
          <w:rPr>
            <w:rStyle w:val="afa"/>
            <w:lang w:val="en-US"/>
          </w:rPr>
          <w:t>here</w:t>
        </w:r>
      </w:hyperlink>
      <w:r>
        <w:rPr>
          <w:lang w:val="en-US"/>
        </w:rPr>
        <w:t>)</w:t>
      </w:r>
    </w:p>
    <w:p w14:paraId="7F4AD330" w14:textId="77777777" w:rsidR="00A438D0" w:rsidRDefault="00862682">
      <w:pPr>
        <w:rPr>
          <w:lang w:val="en-US"/>
        </w:rPr>
      </w:pPr>
      <w:r>
        <w:rPr>
          <w:lang w:val="en-US"/>
        </w:rPr>
        <w:t xml:space="preserve">[3] </w:t>
      </w:r>
      <w:hyperlink r:id="rId38" w:history="1">
        <w:r>
          <w:rPr>
            <w:rStyle w:val="afa"/>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74CF" w14:textId="77777777" w:rsidR="007B457C" w:rsidRDefault="007B457C" w:rsidP="001F6D58">
      <w:pPr>
        <w:spacing w:after="0"/>
      </w:pPr>
      <w:r>
        <w:separator/>
      </w:r>
    </w:p>
  </w:endnote>
  <w:endnote w:type="continuationSeparator" w:id="0">
    <w:p w14:paraId="79ABA355" w14:textId="77777777" w:rsidR="007B457C" w:rsidRDefault="007B457C"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FF8D" w14:textId="77777777" w:rsidR="007B457C" w:rsidRDefault="007B457C" w:rsidP="001F6D58">
      <w:pPr>
        <w:spacing w:after="0"/>
      </w:pPr>
      <w:r>
        <w:separator/>
      </w:r>
    </w:p>
  </w:footnote>
  <w:footnote w:type="continuationSeparator" w:id="0">
    <w:p w14:paraId="21341D07" w14:textId="77777777" w:rsidR="007B457C" w:rsidRDefault="007B457C"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4"/>
  </w:num>
  <w:num w:numId="2">
    <w:abstractNumId w:val="2"/>
  </w:num>
  <w:num w:numId="3">
    <w:abstractNumId w:val="17"/>
  </w:num>
  <w:num w:numId="4">
    <w:abstractNumId w:val="0"/>
  </w:num>
  <w:num w:numId="5">
    <w:abstractNumId w:val="21"/>
  </w:num>
  <w:num w:numId="6">
    <w:abstractNumId w:val="4"/>
  </w:num>
  <w:num w:numId="7">
    <w:abstractNumId w:val="18"/>
  </w:num>
  <w:num w:numId="8">
    <w:abstractNumId w:val="7"/>
  </w:num>
  <w:num w:numId="9">
    <w:abstractNumId w:val="23"/>
  </w:num>
  <w:num w:numId="10">
    <w:abstractNumId w:val="13"/>
  </w:num>
  <w:num w:numId="11">
    <w:abstractNumId w:val="15"/>
  </w:num>
  <w:num w:numId="12">
    <w:abstractNumId w:val="5"/>
  </w:num>
  <w:num w:numId="13">
    <w:abstractNumId w:val="20"/>
  </w:num>
  <w:num w:numId="14">
    <w:abstractNumId w:val="16"/>
  </w:num>
  <w:num w:numId="15">
    <w:abstractNumId w:val="12"/>
  </w:num>
  <w:num w:numId="16">
    <w:abstractNumId w:val="22"/>
  </w:num>
  <w:num w:numId="17">
    <w:abstractNumId w:val="9"/>
  </w:num>
  <w:num w:numId="18">
    <w:abstractNumId w:val="11"/>
  </w:num>
  <w:num w:numId="19">
    <w:abstractNumId w:val="19"/>
  </w:num>
  <w:num w:numId="20">
    <w:abstractNumId w:val="1"/>
  </w:num>
  <w:num w:numId="21">
    <w:abstractNumId w:val="3"/>
  </w:num>
  <w:num w:numId="22">
    <w:abstractNumId w:val="10"/>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2263"/>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af1">
    <w:name w:val="页眉 字符"/>
    <w:link w:val="af"/>
    <w:rPr>
      <w:rFonts w:ascii="Arial" w:eastAsia="宋体" w:hAnsi="Arial" w:cs="Times New Roman"/>
      <w:b/>
      <w:sz w:val="18"/>
      <w:szCs w:val="20"/>
    </w:rPr>
  </w:style>
  <w:style w:type="character" w:customStyle="1" w:styleId="af0">
    <w:name w:val="页脚 字符"/>
    <w:link w:val="ae"/>
    <w:rPr>
      <w:rFonts w:ascii="Arial" w:eastAsia="宋体" w:hAnsi="Arial" w:cs="Times New Roman"/>
      <w:b/>
      <w:i/>
      <w:sz w:val="18"/>
      <w:szCs w:val="20"/>
    </w:rPr>
  </w:style>
  <w:style w:type="character" w:customStyle="1" w:styleId="10">
    <w:name w:val="标题 1 字符"/>
    <w:link w:val="1"/>
    <w:uiPriority w:val="9"/>
    <w:rPr>
      <w:rFonts w:ascii="Arial" w:eastAsia="宋体" w:hAnsi="Arial" w:cs="Times New Roman"/>
      <w:sz w:val="36"/>
      <w:szCs w:val="20"/>
      <w:lang w:val="en-GB"/>
    </w:rPr>
  </w:style>
  <w:style w:type="paragraph" w:customStyle="1" w:styleId="11">
    <w:name w:val="列出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1"/>
    <w:uiPriority w:val="99"/>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72.zip" TargetMode="External"/><Relationship Id="rId26" Type="http://schemas.openxmlformats.org/officeDocument/2006/relationships/hyperlink" Target="https://www.3gpp.org/ftp/TSG_RAN/WG1_RL1/TSGR1_118b/Docs/R1-2408273.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7937.zip" TargetMode="External"/><Relationship Id="rId34" Type="http://schemas.openxmlformats.org/officeDocument/2006/relationships/hyperlink" Target="https://www.3gpp.org/ftp/TSG_RAN/WG1_RL1/TSGR1_118b/Docs/R1-240887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b/Docs/R1-2407725.zip" TargetMode="External"/><Relationship Id="rId25" Type="http://schemas.openxmlformats.org/officeDocument/2006/relationships/hyperlink" Target="https://www.3gpp.org/ftp/TSG_RAN/WG1_RL1/TSGR1_118b/Docs/R1-2408139.zip" TargetMode="External"/><Relationship Id="rId33" Type="http://schemas.openxmlformats.org/officeDocument/2006/relationships/hyperlink" Target="https://www.3gpp.org/ftp/TSG_RAN/WG1_RL1/TSGR1_118b/Docs/R1-2408871.zip" TargetMode="External"/><Relationship Id="rId38" Type="http://schemas.openxmlformats.org/officeDocument/2006/relationships/hyperlink" Target="https://www.3gpp.org/ftp/TSG_RAN/WG4_Radio/TSGR4_110bis/Docs/R4-2404267"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924.zip" TargetMode="External"/><Relationship Id="rId29" Type="http://schemas.openxmlformats.org/officeDocument/2006/relationships/hyperlink" Target="https://www.3gpp.org/ftp/TSG_RAN/WG1_RL1/TSGR1_118b/Docs/R1-24084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78.zip" TargetMode="External"/><Relationship Id="rId32" Type="http://schemas.openxmlformats.org/officeDocument/2006/relationships/hyperlink" Target="https://www.3gpp.org/ftp/TSG_RAN/WG1_RL1/TSGR1_118b/Docs/R1-2408736.zip" TargetMode="External"/><Relationship Id="rId37" Type="http://schemas.openxmlformats.org/officeDocument/2006/relationships/hyperlink" Target="https://www.icao.int/safety/acp/inactive%20working%20groups%20library/acp-wg-m-iridium-4/ird-swg04-wp04-iridium%20tech%20manual%20-%20051706.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8037.zip" TargetMode="External"/><Relationship Id="rId28" Type="http://schemas.openxmlformats.org/officeDocument/2006/relationships/hyperlink" Target="https://www.3gpp.org/ftp/TSG_RAN/WG1_RL1/TSGR1_118b/Docs/R1-2408347.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882.zip" TargetMode="External"/><Relationship Id="rId31" Type="http://schemas.openxmlformats.org/officeDocument/2006/relationships/hyperlink" Target="https://www.3gpp.org/ftp/TSG_RAN/WG1_RL1/TSGR1_118b/Docs/R1-24086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60.zip" TargetMode="External"/><Relationship Id="rId27" Type="http://schemas.openxmlformats.org/officeDocument/2006/relationships/hyperlink" Target="https://www.3gpp.org/ftp/TSG_RAN/WG1_RL1/TSGR1_118b/Docs/R1-2408302.zip" TargetMode="External"/><Relationship Id="rId30" Type="http://schemas.openxmlformats.org/officeDocument/2006/relationships/hyperlink" Target="https://www.3gpp.org/ftp/TSG_RAN/WG1_RL1/TSGR1_118b/Docs/R1-2408491.zip" TargetMode="External"/><Relationship Id="rId35" Type="http://schemas.openxmlformats.org/officeDocument/2006/relationships/hyperlink" Target="https://www.3gpp.org/ftp/TSG_RAN/WG1_RL1/TSGR1_118b/Docs/R1-240891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10234</Words>
  <Characters>58337</Characters>
  <Application>Microsoft Office Word</Application>
  <DocSecurity>0</DocSecurity>
  <Lines>486</Lines>
  <Paragraphs>136</Paragraphs>
  <ScaleCrop>false</ScaleCrop>
  <Company/>
  <LinksUpToDate>false</LinksUpToDate>
  <CharactersWithSpaces>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Huawei2</cp:lastModifiedBy>
  <cp:revision>3</cp:revision>
  <cp:lastPrinted>2020-02-09T14:14:00Z</cp:lastPrinted>
  <dcterms:created xsi:type="dcterms:W3CDTF">2024-10-16T03:17:00Z</dcterms:created>
  <dcterms:modified xsi:type="dcterms:W3CDTF">2024-10-16T03:37:00Z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