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ascii="Times New Roman" w:hAnsi="Times New Roman" w:eastAsia="宋体"/>
          <w:sz w:val="22"/>
          <w:szCs w:val="22"/>
          <w:lang w:val="en-GB" w:eastAsia="zh-CN"/>
        </w:rPr>
      </w:pPr>
      <w:r>
        <w:rPr>
          <w:rFonts w:ascii="Times New Roman" w:hAnsi="Times New Roman" w:eastAsia="宋体"/>
          <w:sz w:val="22"/>
          <w:szCs w:val="22"/>
          <w:lang w:val="en-GB" w:eastAsia="zh-CN"/>
        </w:rPr>
        <w:t>3GPP TSG RAN WG1 #119</w:t>
      </w:r>
      <w:r>
        <w:rPr>
          <w:rFonts w:ascii="Times New Roman" w:hAnsi="Times New Roman" w:eastAsia="宋体"/>
          <w:sz w:val="22"/>
          <w:szCs w:val="22"/>
          <w:lang w:val="en-GB" w:eastAsia="zh-CN"/>
        </w:rPr>
        <w:tab/>
      </w:r>
      <w:r>
        <w:rPr>
          <w:rFonts w:ascii="Times New Roman" w:hAnsi="Times New Roman" w:eastAsia="宋体"/>
          <w:sz w:val="22"/>
          <w:szCs w:val="22"/>
          <w:lang w:val="en-GB" w:eastAsia="zh-CN"/>
        </w:rPr>
        <w:tab/>
      </w:r>
      <w:r>
        <w:rPr>
          <w:rFonts w:ascii="Times New Roman" w:hAnsi="Times New Roman" w:eastAsia="宋体"/>
          <w:sz w:val="22"/>
          <w:szCs w:val="22"/>
          <w:lang w:val="en-GB" w:eastAsia="zh-CN"/>
        </w:rPr>
        <w:t>R1-2410079</w:t>
      </w:r>
    </w:p>
    <w:p>
      <w:pPr>
        <w:pStyle w:val="15"/>
        <w:rPr>
          <w:rFonts w:ascii="Times New Roman" w:hAnsi="Times New Roman" w:eastAsia="宋体"/>
          <w:sz w:val="22"/>
          <w:szCs w:val="22"/>
          <w:lang w:val="en-GB" w:eastAsia="zh-CN"/>
        </w:rPr>
      </w:pPr>
      <w:r>
        <w:rPr>
          <w:rFonts w:ascii="Times New Roman" w:hAnsi="Times New Roman" w:eastAsia="宋体"/>
          <w:sz w:val="22"/>
          <w:szCs w:val="22"/>
          <w:lang w:val="en-GB" w:eastAsia="zh-CN"/>
        </w:rPr>
        <w:t>Orlando, US, November 18</w:t>
      </w:r>
      <w:r>
        <w:rPr>
          <w:rFonts w:ascii="Times New Roman" w:hAnsi="Times New Roman" w:eastAsia="宋体"/>
          <w:sz w:val="22"/>
          <w:szCs w:val="22"/>
          <w:vertAlign w:val="superscript"/>
          <w:lang w:val="en-GB" w:eastAsia="zh-CN"/>
        </w:rPr>
        <w:t>th</w:t>
      </w:r>
      <w:r>
        <w:rPr>
          <w:rFonts w:ascii="Times New Roman" w:hAnsi="Times New Roman" w:eastAsia="宋体"/>
          <w:sz w:val="22"/>
          <w:szCs w:val="22"/>
          <w:lang w:val="en-GB" w:eastAsia="zh-CN"/>
        </w:rPr>
        <w:t xml:space="preserve"> – 22</w:t>
      </w:r>
      <w:r>
        <w:rPr>
          <w:rFonts w:ascii="Times New Roman" w:hAnsi="Times New Roman" w:eastAsia="宋体"/>
          <w:sz w:val="22"/>
          <w:szCs w:val="22"/>
          <w:vertAlign w:val="superscript"/>
          <w:lang w:val="en-GB" w:eastAsia="zh-CN"/>
        </w:rPr>
        <w:t>nd</w:t>
      </w:r>
      <w:r>
        <w:rPr>
          <w:rFonts w:ascii="Times New Roman" w:hAnsi="Times New Roman" w:eastAsia="宋体"/>
          <w:sz w:val="22"/>
          <w:szCs w:val="22"/>
          <w:lang w:val="en-GB" w:eastAsia="zh-CN"/>
        </w:rPr>
        <w:t>, 2024</w:t>
      </w:r>
    </w:p>
    <w:p>
      <w:pPr>
        <w:pStyle w:val="15"/>
        <w:rPr>
          <w:rFonts w:ascii="Times New Roman" w:hAnsi="Times New Roman" w:eastAsia="宋体"/>
          <w:sz w:val="22"/>
          <w:szCs w:val="22"/>
          <w:lang w:val="en-GB" w:eastAsia="zh-CN"/>
        </w:rPr>
      </w:pPr>
    </w:p>
    <w:p>
      <w:pPr>
        <w:pStyle w:val="15"/>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 xml:space="preserve">Discussion on NR-NTN downlink coverage enhancement </w:t>
      </w:r>
    </w:p>
    <w:p>
      <w:pPr>
        <w:pStyle w:val="15"/>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9.11.1</w:t>
      </w:r>
    </w:p>
    <w:p>
      <w:pPr>
        <w:pStyle w:val="15"/>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pStyle w:val="3"/>
        <w:spacing w:line="252" w:lineRule="auto"/>
        <w:rPr>
          <w:rFonts w:eastAsia="等线"/>
          <w:szCs w:val="20"/>
          <w:lang w:eastAsia="zh-CN"/>
        </w:rPr>
      </w:pPr>
      <w:r>
        <w:rPr>
          <w:rFonts w:hint="eastAsia" w:eastAsia="等线"/>
          <w:szCs w:val="20"/>
          <w:lang w:eastAsia="zh-CN"/>
        </w:rPr>
        <w:t>R</w:t>
      </w:r>
      <w:r>
        <w:rPr>
          <w:rFonts w:eastAsia="等线"/>
          <w:szCs w:val="20"/>
          <w:lang w:eastAsia="zh-CN"/>
        </w:rPr>
        <w:t xml:space="preserve">19 NR-NTN </w:t>
      </w:r>
      <w:r>
        <w:rPr>
          <w:rFonts w:hint="eastAsia" w:eastAsia="等线"/>
          <w:szCs w:val="20"/>
          <w:lang w:eastAsia="zh-CN"/>
        </w:rPr>
        <w:t>strive</w:t>
      </w:r>
      <w:r>
        <w:rPr>
          <w:rFonts w:eastAsia="等线"/>
          <w:szCs w:val="20"/>
          <w:lang w:eastAsia="zh-CN"/>
        </w:rPr>
        <w:t>s to provide optimized performance w.r.t. downlink coverage, especially when considering more realistic satellite payload constrains such as Tx power limitation and limited feeder link bandwidth. According to the guidance of the WID [1], DL coverage enhancement at link level to improve the link margin of DL channels and system level to allow power sharing between satellite beams can be both considered. In RAN1#118</w:t>
      </w:r>
      <w:r>
        <w:rPr>
          <w:rFonts w:hint="eastAsia" w:eastAsia="等线"/>
          <w:szCs w:val="20"/>
          <w:lang w:eastAsia="zh-CN"/>
        </w:rPr>
        <w:t>bis</w:t>
      </w:r>
      <w:r>
        <w:rPr>
          <w:rFonts w:eastAsia="等线"/>
          <w:szCs w:val="20"/>
          <w:lang w:eastAsia="zh-CN"/>
        </w:rPr>
        <w:t xml:space="preserve"> meeting</w:t>
      </w:r>
      <w:r>
        <w:rPr>
          <w:rFonts w:hint="eastAsia" w:eastAsia="等线"/>
          <w:szCs w:val="20"/>
          <w:lang w:eastAsia="zh-CN"/>
        </w:rPr>
        <w:t>,</w:t>
      </w:r>
      <w:r>
        <w:rPr>
          <w:rFonts w:eastAsia="等线"/>
          <w:szCs w:val="20"/>
          <w:lang w:eastAsia="zh-CN"/>
        </w:rPr>
        <w:t xml:space="preserve"> the following agreements were made to enhance DL coverage from aspect of system level and link level respectively: </w:t>
      </w:r>
    </w:p>
    <w:tbl>
      <w:tblPr>
        <w:tblStyle w:val="20"/>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shd w:val="clear" w:color="auto" w:fill="auto"/>
          </w:tcPr>
          <w:p>
            <w:pPr>
              <w:snapToGrid w:val="0"/>
              <w:rPr>
                <w:rFonts w:eastAsia="Batang"/>
                <w:bCs/>
                <w:szCs w:val="20"/>
                <w:lang w:val="en-GB"/>
              </w:rPr>
            </w:pPr>
            <w:bookmarkStart w:id="0" w:name="_Hlk162443094"/>
            <w:r>
              <w:rPr>
                <w:rFonts w:eastAsia="Batang"/>
                <w:bCs/>
                <w:szCs w:val="20"/>
                <w:highlight w:val="green"/>
                <w:lang w:val="en-GB"/>
              </w:rPr>
              <w:t>Agreement</w:t>
            </w:r>
          </w:p>
          <w:p>
            <w:pPr>
              <w:snapToGrid w:val="0"/>
              <w:rPr>
                <w:rFonts w:eastAsia="Batang"/>
                <w:szCs w:val="20"/>
                <w:lang w:val="en-GB"/>
              </w:rPr>
            </w:pPr>
            <w:r>
              <w:rPr>
                <w:rFonts w:eastAsia="Batang"/>
                <w:szCs w:val="20"/>
                <w:lang w:val="en-GB"/>
              </w:rPr>
              <w:t xml:space="preserve">For NR NTN, support extended periodicity of the half frames with SS/PBCH blocks assumed by UE during initial access. </w:t>
            </w:r>
          </w:p>
          <w:p>
            <w:pPr>
              <w:numPr>
                <w:ilvl w:val="0"/>
                <w:numId w:val="7"/>
              </w:numPr>
              <w:suppressAutoHyphens/>
              <w:snapToGrid w:val="0"/>
              <w:rPr>
                <w:rFonts w:eastAsia="Batang"/>
                <w:szCs w:val="20"/>
                <w:lang w:val="en-GB" w:eastAsia="zh-CN"/>
              </w:rPr>
            </w:pPr>
            <w:r>
              <w:rPr>
                <w:rFonts w:eastAsia="Batang"/>
                <w:szCs w:val="20"/>
                <w:lang w:val="en-GB" w:eastAsia="zh-CN"/>
              </w:rPr>
              <w:t>The maximum of the additional default value (apart from the existing 20ms value) is at least 160ms.</w:t>
            </w:r>
          </w:p>
          <w:p>
            <w:pPr>
              <w:numPr>
                <w:ilvl w:val="1"/>
                <w:numId w:val="7"/>
              </w:numPr>
              <w:suppressAutoHyphens/>
              <w:snapToGrid w:val="0"/>
              <w:rPr>
                <w:rFonts w:eastAsia="Batang"/>
                <w:szCs w:val="20"/>
                <w:lang w:val="en-GB" w:eastAsia="zh-CN"/>
              </w:rPr>
            </w:pPr>
            <w:r>
              <w:rPr>
                <w:rFonts w:eastAsia="Batang"/>
                <w:szCs w:val="20"/>
                <w:lang w:val="en-GB" w:eastAsia="zh-CN"/>
              </w:rPr>
              <w:t>FFS: whether 320ms can be supported as the maximum of the additional default value instead of or in addition to 160ms.</w:t>
            </w:r>
          </w:p>
          <w:p>
            <w:pPr>
              <w:widowControl w:val="0"/>
              <w:suppressAutoHyphens/>
              <w:snapToGrid w:val="0"/>
              <w:jc w:val="both"/>
              <w:rPr>
                <w:rFonts w:eastAsia="Batang"/>
                <w:bCs/>
                <w:szCs w:val="20"/>
                <w:lang w:val="en-GB"/>
              </w:rPr>
            </w:pPr>
          </w:p>
          <w:p>
            <w:pPr>
              <w:snapToGrid w:val="0"/>
              <w:rPr>
                <w:rFonts w:eastAsia="Batang"/>
                <w:bCs/>
                <w:szCs w:val="20"/>
                <w:lang w:val="en-GB"/>
              </w:rPr>
            </w:pPr>
            <w:r>
              <w:rPr>
                <w:rFonts w:eastAsia="Batang"/>
                <w:bCs/>
                <w:szCs w:val="20"/>
                <w:highlight w:val="green"/>
                <w:lang w:val="en-GB"/>
              </w:rPr>
              <w:t>Agreement</w:t>
            </w:r>
          </w:p>
          <w:p>
            <w:pPr>
              <w:snapToGrid w:val="0"/>
              <w:rPr>
                <w:rFonts w:eastAsia="Batang"/>
                <w:szCs w:val="20"/>
                <w:lang w:val="en-GB"/>
              </w:rPr>
            </w:pPr>
            <w:r>
              <w:rPr>
                <w:rFonts w:eastAsia="Batang"/>
                <w:szCs w:val="20"/>
                <w:lang w:val="en-GB"/>
              </w:rPr>
              <w:t xml:space="preserve">Support PDCCH CSS Link level enhancement in Rel-19 for all CSS types except type 3. </w:t>
            </w:r>
          </w:p>
          <w:p>
            <w:pPr>
              <w:widowControl w:val="0"/>
              <w:numPr>
                <w:ilvl w:val="0"/>
                <w:numId w:val="8"/>
              </w:numPr>
              <w:tabs>
                <w:tab w:val="left" w:pos="0"/>
              </w:tabs>
              <w:suppressAutoHyphens/>
              <w:snapToGrid w:val="0"/>
              <w:jc w:val="both"/>
              <w:rPr>
                <w:rFonts w:eastAsia="Batang"/>
                <w:szCs w:val="20"/>
                <w:lang w:val="en-GB" w:eastAsia="zh-CN"/>
              </w:rPr>
            </w:pPr>
            <w:r>
              <w:rPr>
                <w:rFonts w:eastAsia="Batang"/>
                <w:szCs w:val="20"/>
                <w:lang w:val="en-GB" w:eastAsia="zh-CN"/>
              </w:rPr>
              <w:t>The following techniques are for further study:</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PDCCH repetition, including:</w:t>
            </w:r>
          </w:p>
          <w:p>
            <w:pPr>
              <w:widowControl w:val="0"/>
              <w:numPr>
                <w:ilvl w:val="2"/>
                <w:numId w:val="8"/>
              </w:numPr>
              <w:tabs>
                <w:tab w:val="left" w:pos="0"/>
              </w:tabs>
              <w:suppressAutoHyphens/>
              <w:snapToGrid w:val="0"/>
              <w:jc w:val="both"/>
              <w:rPr>
                <w:rFonts w:eastAsia="Batang"/>
                <w:szCs w:val="20"/>
                <w:lang w:val="en-GB" w:eastAsia="zh-CN"/>
              </w:rPr>
            </w:pPr>
            <w:r>
              <w:rPr>
                <w:rFonts w:eastAsia="Batang"/>
                <w:szCs w:val="20"/>
                <w:lang w:val="en-GB" w:eastAsia="zh-CN"/>
              </w:rPr>
              <w:t>Option 1: Intra-slot PDCCH repetition</w:t>
            </w:r>
          </w:p>
          <w:p>
            <w:pPr>
              <w:widowControl w:val="0"/>
              <w:numPr>
                <w:ilvl w:val="2"/>
                <w:numId w:val="8"/>
              </w:numPr>
              <w:tabs>
                <w:tab w:val="left" w:pos="0"/>
              </w:tabs>
              <w:suppressAutoHyphens/>
              <w:snapToGrid w:val="0"/>
              <w:jc w:val="both"/>
              <w:rPr>
                <w:rFonts w:eastAsia="Batang"/>
                <w:szCs w:val="20"/>
                <w:lang w:val="en-GB" w:eastAsia="zh-CN"/>
              </w:rPr>
            </w:pPr>
            <w:r>
              <w:rPr>
                <w:rFonts w:eastAsia="Batang"/>
                <w:szCs w:val="20"/>
                <w:lang w:val="en-GB" w:eastAsia="zh-CN"/>
              </w:rPr>
              <w:t>Option 2: Inter-slot PDCCH repetition</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 xml:space="preserve">CORESET length (i.e. number of OFDM symbols) extension </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DCI format optimization (e.g. size reduction, etc)</w:t>
            </w:r>
          </w:p>
          <w:p>
            <w:pPr>
              <w:widowControl w:val="0"/>
              <w:numPr>
                <w:ilvl w:val="0"/>
                <w:numId w:val="8"/>
              </w:numPr>
              <w:tabs>
                <w:tab w:val="left" w:pos="0"/>
              </w:tabs>
              <w:suppressAutoHyphens/>
              <w:snapToGrid w:val="0"/>
              <w:jc w:val="both"/>
              <w:rPr>
                <w:rFonts w:eastAsia="Batang"/>
                <w:szCs w:val="20"/>
                <w:lang w:val="en-GB" w:eastAsia="zh-CN"/>
              </w:rPr>
            </w:pPr>
            <w:r>
              <w:rPr>
                <w:rFonts w:hint="eastAsia" w:eastAsia="Batang"/>
                <w:szCs w:val="20"/>
                <w:lang w:val="en-GB" w:eastAsia="zh-CN"/>
              </w:rPr>
              <w:t>N</w:t>
            </w:r>
            <w:r>
              <w:rPr>
                <w:rFonts w:eastAsia="Batang"/>
                <w:szCs w:val="20"/>
                <w:lang w:val="en-GB" w:eastAsia="zh-CN"/>
              </w:rPr>
              <w:t>ote: the same technique is intended to apply to all search space types targeted for link level enhancements</w:t>
            </w:r>
          </w:p>
          <w:p>
            <w:pPr>
              <w:widowControl w:val="0"/>
              <w:numPr>
                <w:ilvl w:val="0"/>
                <w:numId w:val="8"/>
              </w:numPr>
              <w:tabs>
                <w:tab w:val="left" w:pos="0"/>
              </w:tabs>
              <w:suppressAutoHyphens/>
              <w:snapToGrid w:val="0"/>
              <w:jc w:val="both"/>
              <w:rPr>
                <w:rFonts w:eastAsia="Batang"/>
                <w:szCs w:val="20"/>
                <w:lang w:val="en-GB" w:eastAsia="zh-CN"/>
              </w:rPr>
            </w:pPr>
            <w:r>
              <w:rPr>
                <w:rFonts w:eastAsia="Batang"/>
                <w:szCs w:val="20"/>
                <w:lang w:val="en-GB" w:eastAsia="zh-CN"/>
              </w:rPr>
              <w:t>For the above techniques, at least the following aspects should be discussed for the relevant candidate techniques:</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Configuration</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Backward compatibility and UE behaviour of legacy UE</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Linked Search Space</w:t>
            </w:r>
          </w:p>
          <w:p>
            <w:pPr>
              <w:widowControl w:val="0"/>
              <w:numPr>
                <w:ilvl w:val="1"/>
                <w:numId w:val="8"/>
              </w:numPr>
              <w:tabs>
                <w:tab w:val="left" w:pos="0"/>
              </w:tabs>
              <w:suppressAutoHyphens/>
              <w:snapToGrid w:val="0"/>
              <w:jc w:val="both"/>
              <w:rPr>
                <w:rFonts w:eastAsia="Batang"/>
                <w:szCs w:val="20"/>
                <w:lang w:val="en-GB" w:eastAsia="zh-CN"/>
              </w:rPr>
            </w:pPr>
            <w:r>
              <w:rPr>
                <w:rFonts w:eastAsia="Batang"/>
                <w:szCs w:val="20"/>
                <w:lang w:val="en-GB" w:eastAsia="zh-CN"/>
              </w:rPr>
              <w:t>Blocking probability</w:t>
            </w:r>
          </w:p>
          <w:p>
            <w:pPr>
              <w:widowControl w:val="0"/>
              <w:numPr>
                <w:ilvl w:val="1"/>
                <w:numId w:val="8"/>
              </w:numPr>
              <w:tabs>
                <w:tab w:val="left" w:pos="0"/>
              </w:tabs>
              <w:suppressAutoHyphens/>
              <w:snapToGrid w:val="0"/>
              <w:jc w:val="both"/>
              <w:rPr>
                <w:rFonts w:eastAsia="Batang"/>
                <w:szCs w:val="20"/>
                <w:lang w:val="en-GB" w:eastAsia="zh-CN"/>
              </w:rPr>
            </w:pPr>
            <w:r>
              <w:rPr>
                <w:rFonts w:hint="eastAsia" w:eastAsia="Batang"/>
                <w:szCs w:val="20"/>
                <w:lang w:val="en-GB" w:eastAsia="zh-CN"/>
              </w:rPr>
              <w:t>D</w:t>
            </w:r>
            <w:r>
              <w:rPr>
                <w:rFonts w:eastAsia="Batang"/>
                <w:szCs w:val="20"/>
                <w:lang w:val="en-GB" w:eastAsia="zh-CN"/>
              </w:rPr>
              <w:t>CI format size budget</w:t>
            </w:r>
          </w:p>
          <w:p>
            <w:pPr>
              <w:widowControl w:val="0"/>
              <w:numPr>
                <w:ilvl w:val="1"/>
                <w:numId w:val="8"/>
              </w:numPr>
              <w:tabs>
                <w:tab w:val="left" w:pos="0"/>
              </w:tabs>
              <w:suppressAutoHyphens/>
              <w:snapToGrid w:val="0"/>
              <w:jc w:val="both"/>
              <w:rPr>
                <w:rFonts w:eastAsia="Batang"/>
                <w:szCs w:val="20"/>
                <w:lang w:val="en-GB" w:eastAsia="zh-CN"/>
              </w:rPr>
            </w:pPr>
            <w:r>
              <w:rPr>
                <w:rFonts w:hint="eastAsia" w:eastAsia="Batang"/>
                <w:szCs w:val="20"/>
                <w:lang w:val="en-GB" w:eastAsia="zh-CN"/>
              </w:rPr>
              <w:t>R</w:t>
            </w:r>
            <w:r>
              <w:rPr>
                <w:rFonts w:eastAsia="Batang"/>
                <w:szCs w:val="20"/>
                <w:lang w:val="en-GB" w:eastAsia="zh-CN"/>
              </w:rPr>
              <w:t>esource overhead</w:t>
            </w:r>
          </w:p>
          <w:p>
            <w:pPr>
              <w:widowControl w:val="0"/>
              <w:numPr>
                <w:ilvl w:val="1"/>
                <w:numId w:val="8"/>
              </w:numPr>
              <w:tabs>
                <w:tab w:val="left" w:pos="0"/>
              </w:tabs>
              <w:suppressAutoHyphens/>
              <w:snapToGrid w:val="0"/>
              <w:jc w:val="both"/>
              <w:rPr>
                <w:rFonts w:eastAsia="Batang"/>
                <w:szCs w:val="20"/>
                <w:lang w:val="en-GB" w:eastAsia="zh-CN"/>
              </w:rPr>
            </w:pPr>
            <w:r>
              <w:rPr>
                <w:rFonts w:hint="eastAsia" w:eastAsia="Batang"/>
                <w:szCs w:val="20"/>
                <w:lang w:val="en-GB" w:eastAsia="zh-CN"/>
              </w:rPr>
              <w:t>I</w:t>
            </w:r>
            <w:r>
              <w:rPr>
                <w:rFonts w:eastAsia="Batang"/>
                <w:szCs w:val="20"/>
                <w:lang w:val="en-GB" w:eastAsia="zh-CN"/>
              </w:rPr>
              <w:t>mpact on CORESET0</w:t>
            </w:r>
          </w:p>
          <w:p>
            <w:pPr>
              <w:widowControl w:val="0"/>
              <w:numPr>
                <w:ilvl w:val="0"/>
                <w:numId w:val="8"/>
              </w:numPr>
              <w:tabs>
                <w:tab w:val="left" w:pos="0"/>
              </w:tabs>
              <w:suppressAutoHyphens/>
              <w:snapToGrid w:val="0"/>
              <w:jc w:val="both"/>
              <w:rPr>
                <w:rFonts w:eastAsia="Batang"/>
                <w:szCs w:val="20"/>
                <w:lang w:val="en-GB" w:eastAsia="zh-CN"/>
              </w:rPr>
            </w:pPr>
            <w:r>
              <w:rPr>
                <w:rFonts w:eastAsia="Batang"/>
                <w:szCs w:val="20"/>
                <w:lang w:val="en-GB" w:eastAsia="zh-CN"/>
              </w:rPr>
              <w:t>Focus on coverage enhancement for set 1-3 with a target CNR of -8 dB for NR NTN DL coverage enhancements at link level.</w:t>
            </w:r>
          </w:p>
          <w:p>
            <w:pPr>
              <w:widowControl w:val="0"/>
              <w:numPr>
                <w:ilvl w:val="0"/>
                <w:numId w:val="8"/>
              </w:numPr>
              <w:tabs>
                <w:tab w:val="left" w:pos="0"/>
              </w:tabs>
              <w:suppressAutoHyphens/>
              <w:snapToGrid w:val="0"/>
              <w:jc w:val="both"/>
              <w:rPr>
                <w:rFonts w:eastAsia="Batang"/>
                <w:szCs w:val="20"/>
                <w:lang w:val="en-GB" w:eastAsia="zh-CN"/>
              </w:rPr>
            </w:pPr>
            <w:r>
              <w:rPr>
                <w:rFonts w:hint="eastAsia" w:eastAsia="Batang"/>
                <w:szCs w:val="20"/>
                <w:lang w:val="en-GB" w:eastAsia="zh-CN"/>
              </w:rPr>
              <w:t>F</w:t>
            </w:r>
            <w:r>
              <w:rPr>
                <w:rFonts w:eastAsia="Batang"/>
                <w:szCs w:val="20"/>
                <w:lang w:val="en-GB" w:eastAsia="zh-CN"/>
              </w:rPr>
              <w:t>FS: whether to apply the selected solution to PDCCH CSS type3 and PDCCH USS</w:t>
            </w:r>
          </w:p>
          <w:p>
            <w:pPr>
              <w:widowControl w:val="0"/>
              <w:suppressAutoHyphens/>
              <w:snapToGrid w:val="0"/>
              <w:jc w:val="both"/>
              <w:rPr>
                <w:rFonts w:eastAsia="Batang"/>
                <w:bCs/>
                <w:szCs w:val="20"/>
                <w:lang w:val="en-GB"/>
              </w:rPr>
            </w:pPr>
          </w:p>
          <w:p>
            <w:pPr>
              <w:rPr>
                <w:rFonts w:eastAsia="Batang"/>
                <w:szCs w:val="20"/>
                <w:lang w:val="en-GB"/>
              </w:rPr>
            </w:pPr>
            <w:r>
              <w:rPr>
                <w:rFonts w:eastAsia="Batang"/>
                <w:szCs w:val="20"/>
                <w:highlight w:val="green"/>
                <w:lang w:val="en-GB"/>
              </w:rPr>
              <w:t>Agreement</w:t>
            </w:r>
          </w:p>
          <w:p>
            <w:pPr>
              <w:rPr>
                <w:rFonts w:eastAsia="Batang"/>
                <w:szCs w:val="20"/>
                <w:lang w:val="en-GB"/>
              </w:rPr>
            </w:pPr>
            <w:r>
              <w:rPr>
                <w:rFonts w:eastAsia="Batang"/>
                <w:szCs w:val="20"/>
                <w:lang w:val="en-GB"/>
              </w:rPr>
              <w:t>For PDSCH with Msg4 Link level enhancement:</w:t>
            </w:r>
          </w:p>
          <w:p>
            <w:pPr>
              <w:widowControl w:val="0"/>
              <w:numPr>
                <w:ilvl w:val="0"/>
                <w:numId w:val="9"/>
              </w:numPr>
              <w:tabs>
                <w:tab w:val="left" w:pos="0"/>
              </w:tabs>
              <w:suppressAutoHyphens/>
              <w:jc w:val="both"/>
              <w:rPr>
                <w:rFonts w:eastAsia="Batang"/>
                <w:szCs w:val="20"/>
                <w:lang w:val="en-GB" w:eastAsia="zh-CN"/>
              </w:rPr>
            </w:pPr>
            <w:r>
              <w:rPr>
                <w:rFonts w:eastAsia="Batang"/>
                <w:szCs w:val="20"/>
                <w:lang w:val="en-GB" w:eastAsia="zh-CN"/>
              </w:rPr>
              <w:t>Continue studying PDSCH repetition</w:t>
            </w:r>
          </w:p>
          <w:p>
            <w:pPr>
              <w:widowControl w:val="0"/>
              <w:numPr>
                <w:ilvl w:val="1"/>
                <w:numId w:val="9"/>
              </w:numPr>
              <w:tabs>
                <w:tab w:val="left" w:pos="0"/>
              </w:tabs>
              <w:suppressAutoHyphens/>
              <w:jc w:val="both"/>
              <w:rPr>
                <w:rFonts w:eastAsia="Batang"/>
                <w:szCs w:val="20"/>
                <w:lang w:val="en-GB" w:eastAsia="zh-CN"/>
              </w:rPr>
            </w:pPr>
            <w:r>
              <w:rPr>
                <w:rFonts w:eastAsia="Batang"/>
                <w:szCs w:val="20"/>
                <w:lang w:val="en-GB" w:eastAsia="zh-CN"/>
              </w:rPr>
              <w:t>Further discuss the specification impact for at least the following:</w:t>
            </w:r>
          </w:p>
          <w:p>
            <w:pPr>
              <w:widowControl w:val="0"/>
              <w:numPr>
                <w:ilvl w:val="2"/>
                <w:numId w:val="9"/>
              </w:numPr>
              <w:tabs>
                <w:tab w:val="left" w:pos="0"/>
              </w:tabs>
              <w:suppressAutoHyphens/>
              <w:jc w:val="both"/>
              <w:rPr>
                <w:rFonts w:eastAsia="Batang"/>
                <w:szCs w:val="20"/>
                <w:lang w:val="en-GB" w:eastAsia="zh-CN"/>
              </w:rPr>
            </w:pPr>
            <w:r>
              <w:rPr>
                <w:rFonts w:eastAsia="Batang"/>
                <w:szCs w:val="20"/>
                <w:lang w:val="en-GB" w:eastAsia="zh-CN"/>
              </w:rPr>
              <w:t>Procedure and signaling</w:t>
            </w:r>
          </w:p>
          <w:p>
            <w:pPr>
              <w:widowControl w:val="0"/>
              <w:numPr>
                <w:ilvl w:val="2"/>
                <w:numId w:val="9"/>
              </w:numPr>
              <w:tabs>
                <w:tab w:val="left" w:pos="0"/>
              </w:tabs>
              <w:suppressAutoHyphens/>
              <w:jc w:val="both"/>
              <w:rPr>
                <w:rFonts w:eastAsia="Batang"/>
                <w:szCs w:val="20"/>
                <w:lang w:val="en-GB" w:eastAsia="zh-CN"/>
              </w:rPr>
            </w:pPr>
            <w:r>
              <w:rPr>
                <w:rFonts w:eastAsia="Batang"/>
                <w:szCs w:val="20"/>
                <w:lang w:val="en-GB" w:eastAsia="zh-CN"/>
              </w:rPr>
              <w:t>Repetition factor</w:t>
            </w:r>
          </w:p>
          <w:p>
            <w:pPr>
              <w:widowControl w:val="0"/>
              <w:numPr>
                <w:ilvl w:val="1"/>
                <w:numId w:val="9"/>
              </w:numPr>
              <w:tabs>
                <w:tab w:val="left" w:pos="0"/>
              </w:tabs>
              <w:suppressAutoHyphens/>
              <w:jc w:val="both"/>
              <w:rPr>
                <w:rFonts w:eastAsia="Batang"/>
                <w:szCs w:val="20"/>
                <w:lang w:val="en-GB" w:eastAsia="zh-CN"/>
              </w:rPr>
            </w:pPr>
            <w:r>
              <w:rPr>
                <w:rFonts w:eastAsia="Batang"/>
                <w:szCs w:val="20"/>
                <w:lang w:val="en-GB" w:eastAsia="zh-CN"/>
              </w:rPr>
              <w:t>Focus on coverage enhancement for set 1-3 with a target CNR of -8 dB for NR NTN DL coverage enhancements at link level.</w:t>
            </w:r>
          </w:p>
          <w:p>
            <w:pPr>
              <w:widowControl w:val="0"/>
              <w:suppressAutoHyphens/>
              <w:snapToGrid w:val="0"/>
              <w:jc w:val="both"/>
              <w:rPr>
                <w:rFonts w:eastAsia="Batang"/>
                <w:bCs/>
                <w:szCs w:val="20"/>
                <w:lang w:val="en-GB"/>
              </w:rPr>
            </w:pPr>
          </w:p>
        </w:tc>
      </w:tr>
      <w:bookmarkEnd w:id="0"/>
    </w:tbl>
    <w:p>
      <w:pPr>
        <w:pStyle w:val="3"/>
        <w:spacing w:after="0" w:line="252" w:lineRule="auto"/>
        <w:rPr>
          <w:rFonts w:eastAsia="等线"/>
          <w:szCs w:val="20"/>
          <w:lang w:eastAsia="zh-CN"/>
        </w:rPr>
      </w:pPr>
    </w:p>
    <w:p>
      <w:pPr>
        <w:pStyle w:val="3"/>
        <w:spacing w:after="0" w:line="252" w:lineRule="auto"/>
        <w:rPr>
          <w:rFonts w:eastAsia="等线"/>
          <w:szCs w:val="20"/>
          <w:lang w:eastAsia="zh-CN"/>
        </w:rPr>
      </w:pPr>
      <w:r>
        <w:rPr>
          <w:rFonts w:eastAsia="等线"/>
          <w:szCs w:val="20"/>
          <w:lang w:eastAsia="zh-CN"/>
        </w:rPr>
        <w:t xml:space="preserve">In this contribution, we firstly discuss the default value for the extended SSB periodicity based on the DL coverage evaluation results. Then, to facilitate beam hopping procedure, the potential enhancements on cell DTX/DRX are further identified. In addition, we provide our view and analysis on the targeted physical channels for link-level enhancements. </w:t>
      </w:r>
    </w:p>
    <w:p>
      <w:pPr>
        <w:pStyle w:val="3"/>
        <w:snapToGrid w:val="0"/>
        <w:spacing w:after="0"/>
        <w:rPr>
          <w:rFonts w:eastAsia="等线"/>
          <w:szCs w:val="20"/>
          <w:lang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Downlink coverage enhancement</w:t>
      </w: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System level enhancement</w:t>
      </w:r>
    </w:p>
    <w:p>
      <w:pPr>
        <w:pStyle w:val="5"/>
        <w:spacing w:before="120" w:after="120"/>
        <w:ind w:left="0" w:firstLine="0"/>
        <w:rPr>
          <w:rFonts w:ascii="Times New Roman" w:hAnsi="Times New Roman" w:cs="Times New Roman"/>
          <w:sz w:val="20"/>
          <w:szCs w:val="20"/>
          <w:lang w:eastAsia="zh-CN"/>
        </w:rPr>
      </w:pPr>
      <w:r>
        <w:rPr>
          <w:rFonts w:ascii="Times New Roman" w:hAnsi="Times New Roman" w:eastAsia="Batang" w:cs="Times New Roman"/>
          <w:sz w:val="20"/>
          <w:szCs w:val="20"/>
          <w:lang w:val="en-GB"/>
        </w:rPr>
        <w:t>SSB periodicity extension</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Under realistic satellite payload constraints, e.g., limited Tx power, RF and feeder link bandwidth, the satellite may be unable to illuminate all beam footprints simultaneously with the nominal EIRP density per beam provided in TR38.821 [2]. Thus, in RAN1#116 meeting, the following three sets of reference satellite parameters, considering different aspects of satellite payload constraints such as total DL power level and the number of simultaneously active beams, are defined for DL coverage study.</w:t>
      </w:r>
    </w:p>
    <w:p>
      <w:pPr>
        <w:pStyle w:val="3"/>
        <w:spacing w:after="0" w:line="252" w:lineRule="auto"/>
        <w:jc w:val="center"/>
        <w:rPr>
          <w:rFonts w:ascii="Times" w:hAnsi="Times" w:eastAsiaTheme="minorEastAsia"/>
          <w:bCs/>
          <w:lang w:val="en-GB" w:eastAsia="zh-CN"/>
        </w:rPr>
      </w:pPr>
      <w:r>
        <w:rPr>
          <w:rFonts w:eastAsia="等线"/>
          <w:kern w:val="2"/>
          <w:szCs w:val="20"/>
          <w:lang w:eastAsia="zh-CN"/>
        </w:rPr>
        <w:t xml:space="preserve">Table 1. </w:t>
      </w:r>
      <w:r>
        <w:rPr>
          <w:rFonts w:ascii="Times" w:hAnsi="Times" w:eastAsiaTheme="minorEastAsia"/>
          <w:bCs/>
          <w:lang w:val="en-GB" w:eastAsia="zh-CN"/>
        </w:rPr>
        <w:t>The additional reference satellite parameters for LEO600km set1 in FR1</w:t>
      </w:r>
    </w:p>
    <w:tbl>
      <w:tblPr>
        <w:tblStyle w:val="20"/>
        <w:tblW w:w="9211" w:type="dxa"/>
        <w:jc w:val="center"/>
        <w:tblInd w:w="0" w:type="dxa"/>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531"/>
        <w:gridCol w:w="1560"/>
        <w:gridCol w:w="1560"/>
        <w:gridCol w:w="1560"/>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300" w:hRule="atLeast"/>
          <w:jc w:val="center"/>
        </w:trPr>
        <w:tc>
          <w:tcPr>
            <w:tcW w:w="4531" w:type="dxa"/>
            <w:tcBorders>
              <w:bottom w:val="single" w:color="666666" w:sz="12" w:space="0"/>
            </w:tcBorders>
            <w:shd w:val="clear" w:color="auto" w:fill="00B0F0"/>
            <w:vAlign w:val="center"/>
          </w:tcPr>
          <w:p>
            <w:pPr>
              <w:snapToGrid w:val="0"/>
              <w:jc w:val="center"/>
              <w:rPr>
                <w:rFonts w:eastAsia="Batang"/>
                <w:b/>
                <w:bCs/>
                <w:szCs w:val="20"/>
                <w:lang w:val="en-GB"/>
              </w:rPr>
            </w:pPr>
          </w:p>
        </w:tc>
        <w:tc>
          <w:tcPr>
            <w:tcW w:w="1560" w:type="dxa"/>
            <w:tcBorders>
              <w:bottom w:val="single" w:color="666666" w:sz="12" w:space="0"/>
            </w:tcBorders>
            <w:shd w:val="clear" w:color="auto" w:fill="00B0F0"/>
          </w:tcPr>
          <w:p>
            <w:pPr>
              <w:snapToGrid w:val="0"/>
              <w:jc w:val="center"/>
              <w:rPr>
                <w:rFonts w:eastAsiaTheme="minorEastAsia"/>
                <w:b/>
                <w:kern w:val="24"/>
                <w:szCs w:val="20"/>
                <w:lang w:val="en-GB" w:eastAsia="zh-CN"/>
              </w:rPr>
            </w:pPr>
            <w:r>
              <w:rPr>
                <w:rFonts w:hint="eastAsia" w:eastAsiaTheme="minorEastAsia"/>
                <w:b/>
                <w:kern w:val="24"/>
                <w:szCs w:val="20"/>
                <w:lang w:val="en-GB" w:eastAsia="zh-CN"/>
              </w:rPr>
              <w:t>L</w:t>
            </w:r>
            <w:r>
              <w:rPr>
                <w:rFonts w:eastAsiaTheme="minorEastAsia"/>
                <w:b/>
                <w:kern w:val="24"/>
                <w:szCs w:val="20"/>
                <w:lang w:val="en-GB" w:eastAsia="zh-CN"/>
              </w:rPr>
              <w:t>EO600 set 1-1</w:t>
            </w:r>
          </w:p>
        </w:tc>
        <w:tc>
          <w:tcPr>
            <w:tcW w:w="1560" w:type="dxa"/>
            <w:tcBorders>
              <w:bottom w:val="single" w:color="666666" w:sz="12" w:space="0"/>
            </w:tcBorders>
            <w:shd w:val="clear" w:color="auto" w:fill="00B0F0"/>
          </w:tcPr>
          <w:p>
            <w:pPr>
              <w:snapToGrid w:val="0"/>
              <w:jc w:val="center"/>
              <w:rPr>
                <w:rFonts w:eastAsia="Batang"/>
                <w:b/>
                <w:kern w:val="24"/>
                <w:szCs w:val="20"/>
                <w:lang w:val="en-GB"/>
              </w:rPr>
            </w:pPr>
            <w:r>
              <w:rPr>
                <w:rFonts w:hint="eastAsia" w:eastAsiaTheme="minorEastAsia"/>
                <w:b/>
                <w:kern w:val="24"/>
                <w:szCs w:val="20"/>
                <w:lang w:val="en-GB" w:eastAsia="zh-CN"/>
              </w:rPr>
              <w:t>L</w:t>
            </w:r>
            <w:r>
              <w:rPr>
                <w:rFonts w:eastAsiaTheme="minorEastAsia"/>
                <w:b/>
                <w:kern w:val="24"/>
                <w:szCs w:val="20"/>
                <w:lang w:val="en-GB" w:eastAsia="zh-CN"/>
              </w:rPr>
              <w:t>EO600 set 1-2</w:t>
            </w:r>
          </w:p>
        </w:tc>
        <w:tc>
          <w:tcPr>
            <w:tcW w:w="1560" w:type="dxa"/>
            <w:tcBorders>
              <w:bottom w:val="single" w:color="666666" w:sz="12" w:space="0"/>
            </w:tcBorders>
            <w:shd w:val="clear" w:color="auto" w:fill="00B0F0"/>
          </w:tcPr>
          <w:p>
            <w:pPr>
              <w:snapToGrid w:val="0"/>
              <w:jc w:val="center"/>
              <w:rPr>
                <w:rFonts w:eastAsia="Batang"/>
                <w:b/>
                <w:kern w:val="24"/>
                <w:szCs w:val="20"/>
                <w:lang w:val="en-GB"/>
              </w:rPr>
            </w:pPr>
            <w:r>
              <w:rPr>
                <w:rFonts w:hint="eastAsia" w:eastAsiaTheme="minorEastAsia"/>
                <w:b/>
                <w:kern w:val="24"/>
                <w:szCs w:val="20"/>
                <w:lang w:val="en-GB" w:eastAsia="zh-CN"/>
              </w:rPr>
              <w:t>L</w:t>
            </w:r>
            <w:r>
              <w:rPr>
                <w:rFonts w:eastAsiaTheme="minorEastAsia"/>
                <w:b/>
                <w:kern w:val="24"/>
                <w:szCs w:val="20"/>
                <w:lang w:val="en-GB" w:eastAsia="zh-CN"/>
              </w:rPr>
              <w:t>EO600 set 1-3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79" w:hRule="atLeast"/>
          <w:jc w:val="center"/>
        </w:trPr>
        <w:tc>
          <w:tcPr>
            <w:tcW w:w="4531" w:type="dxa"/>
            <w:shd w:val="clear" w:color="auto" w:fill="auto"/>
            <w:vAlign w:val="center"/>
          </w:tcPr>
          <w:p>
            <w:pPr>
              <w:snapToGrid w:val="0"/>
              <w:rPr>
                <w:rFonts w:eastAsia="Batang"/>
                <w:b/>
                <w:bCs/>
                <w:szCs w:val="20"/>
                <w:lang w:val="en-GB"/>
              </w:rPr>
            </w:pPr>
            <w:r>
              <w:rPr>
                <w:rFonts w:eastAsia="Batang"/>
                <w:b/>
                <w:kern w:val="24"/>
                <w:szCs w:val="20"/>
                <w:lang w:val="fr-FR"/>
              </w:rPr>
              <w:t>Maximum Bandwidth per beam</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fr-FR"/>
              </w:rPr>
              <w:t>5 MHz</w:t>
            </w:r>
          </w:p>
        </w:tc>
        <w:tc>
          <w:tcPr>
            <w:tcW w:w="1560" w:type="dxa"/>
            <w:vAlign w:val="center"/>
          </w:tcPr>
          <w:p>
            <w:pPr>
              <w:snapToGrid w:val="0"/>
              <w:jc w:val="center"/>
              <w:rPr>
                <w:rFonts w:eastAsia="Batang"/>
                <w:kern w:val="24"/>
                <w:szCs w:val="20"/>
                <w:lang w:val="fr-FR"/>
              </w:rPr>
            </w:pPr>
            <w:r>
              <w:rPr>
                <w:rFonts w:eastAsia="Batang"/>
                <w:kern w:val="24"/>
                <w:szCs w:val="20"/>
                <w:lang w:val="en-GB"/>
              </w:rPr>
              <w:t>5 MHz</w:t>
            </w:r>
          </w:p>
        </w:tc>
        <w:tc>
          <w:tcPr>
            <w:tcW w:w="1560" w:type="dxa"/>
            <w:vAlign w:val="center"/>
          </w:tcPr>
          <w:p>
            <w:pPr>
              <w:snapToGrid w:val="0"/>
              <w:jc w:val="center"/>
              <w:rPr>
                <w:rFonts w:eastAsia="Batang"/>
                <w:kern w:val="24"/>
                <w:szCs w:val="20"/>
                <w:lang w:val="fr-FR"/>
              </w:rPr>
            </w:pPr>
            <w:r>
              <w:rPr>
                <w:rFonts w:eastAsia="Batang"/>
                <w:kern w:val="24"/>
                <w:szCs w:val="20"/>
                <w:lang w:val="en-GB"/>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37" w:hRule="atLeast"/>
          <w:jc w:val="center"/>
        </w:trPr>
        <w:tc>
          <w:tcPr>
            <w:tcW w:w="4531" w:type="dxa"/>
            <w:shd w:val="clear" w:color="auto" w:fill="auto"/>
            <w:vAlign w:val="center"/>
          </w:tcPr>
          <w:p>
            <w:pPr>
              <w:snapToGrid w:val="0"/>
              <w:rPr>
                <w:rFonts w:eastAsia="Batang"/>
                <w:b/>
                <w:bCs/>
                <w:szCs w:val="20"/>
                <w:lang w:val="en-GB"/>
              </w:rPr>
            </w:pPr>
            <w:r>
              <w:rPr>
                <w:rFonts w:eastAsia="Batang"/>
                <w:b/>
                <w:kern w:val="24"/>
                <w:szCs w:val="20"/>
                <w:lang w:val="en-GB"/>
              </w:rPr>
              <w:t>SCS</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en-GB"/>
              </w:rPr>
              <w:t>15 kHz</w:t>
            </w:r>
          </w:p>
        </w:tc>
        <w:tc>
          <w:tcPr>
            <w:tcW w:w="1560" w:type="dxa"/>
            <w:vAlign w:val="center"/>
          </w:tcPr>
          <w:p>
            <w:pPr>
              <w:snapToGrid w:val="0"/>
              <w:jc w:val="center"/>
              <w:rPr>
                <w:rFonts w:eastAsia="Batang"/>
                <w:kern w:val="24"/>
                <w:szCs w:val="20"/>
                <w:lang w:val="en-GB"/>
              </w:rPr>
            </w:pPr>
            <w:r>
              <w:rPr>
                <w:rFonts w:eastAsia="Batang"/>
                <w:kern w:val="24"/>
                <w:szCs w:val="20"/>
                <w:lang w:val="en-GB"/>
              </w:rPr>
              <w:t>15 kHz</w:t>
            </w:r>
          </w:p>
        </w:tc>
        <w:tc>
          <w:tcPr>
            <w:tcW w:w="1560" w:type="dxa"/>
            <w:vAlign w:val="center"/>
          </w:tcPr>
          <w:p>
            <w:pPr>
              <w:snapToGrid w:val="0"/>
              <w:jc w:val="center"/>
              <w:rPr>
                <w:rFonts w:eastAsia="Batang"/>
                <w:kern w:val="24"/>
                <w:szCs w:val="20"/>
                <w:lang w:val="en-GB"/>
              </w:rPr>
            </w:pPr>
            <w:r>
              <w:rPr>
                <w:rFonts w:eastAsia="Batang"/>
                <w:kern w:val="24"/>
                <w:szCs w:val="20"/>
                <w:lang w:val="en-GB"/>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24" w:hRule="atLeast"/>
          <w:jc w:val="center"/>
        </w:trPr>
        <w:tc>
          <w:tcPr>
            <w:tcW w:w="4531" w:type="dxa"/>
            <w:shd w:val="clear" w:color="auto" w:fill="auto"/>
            <w:vAlign w:val="center"/>
          </w:tcPr>
          <w:p>
            <w:pPr>
              <w:snapToGrid w:val="0"/>
              <w:rPr>
                <w:rFonts w:eastAsia="Batang"/>
                <w:b/>
                <w:bCs/>
                <w:szCs w:val="20"/>
                <w:lang w:val="en-GB"/>
              </w:rPr>
            </w:pPr>
            <w:r>
              <w:rPr>
                <w:rFonts w:eastAsia="等线"/>
                <w:b/>
                <w:kern w:val="24"/>
                <w:szCs w:val="20"/>
                <w:lang w:val="fr-FR"/>
              </w:rPr>
              <w:t>Beam size(Note 1)</w:t>
            </w:r>
          </w:p>
        </w:tc>
        <w:tc>
          <w:tcPr>
            <w:tcW w:w="1560" w:type="dxa"/>
            <w:shd w:val="clear" w:color="auto" w:fill="auto"/>
            <w:vAlign w:val="center"/>
          </w:tcPr>
          <w:p>
            <w:pPr>
              <w:snapToGrid w:val="0"/>
              <w:jc w:val="center"/>
              <w:rPr>
                <w:rFonts w:eastAsia="Batang"/>
                <w:szCs w:val="20"/>
                <w:lang w:val="en-GB"/>
              </w:rPr>
            </w:pPr>
            <w:r>
              <w:rPr>
                <w:rFonts w:eastAsia="等线"/>
                <w:kern w:val="24"/>
                <w:szCs w:val="20"/>
                <w:lang w:val="fr-FR"/>
              </w:rPr>
              <w:t>50km</w:t>
            </w:r>
          </w:p>
        </w:tc>
        <w:tc>
          <w:tcPr>
            <w:tcW w:w="1560" w:type="dxa"/>
            <w:vAlign w:val="center"/>
          </w:tcPr>
          <w:p>
            <w:pPr>
              <w:snapToGrid w:val="0"/>
              <w:jc w:val="center"/>
              <w:rPr>
                <w:rFonts w:eastAsia="等线"/>
                <w:kern w:val="24"/>
                <w:szCs w:val="20"/>
                <w:lang w:val="fr-FR"/>
              </w:rPr>
            </w:pPr>
            <w:r>
              <w:rPr>
                <w:rFonts w:eastAsia="等线"/>
                <w:kern w:val="24"/>
                <w:szCs w:val="20"/>
                <w:lang w:val="en-GB"/>
              </w:rPr>
              <w:t>50km</w:t>
            </w:r>
          </w:p>
        </w:tc>
        <w:tc>
          <w:tcPr>
            <w:tcW w:w="1560" w:type="dxa"/>
            <w:vAlign w:val="center"/>
          </w:tcPr>
          <w:p>
            <w:pPr>
              <w:snapToGrid w:val="0"/>
              <w:jc w:val="center"/>
              <w:rPr>
                <w:rFonts w:eastAsia="等线"/>
                <w:kern w:val="24"/>
                <w:szCs w:val="20"/>
                <w:lang w:val="fr-FR"/>
              </w:rPr>
            </w:pPr>
            <w:r>
              <w:rPr>
                <w:rFonts w:eastAsia="等线"/>
                <w:kern w:val="24"/>
                <w:szCs w:val="20"/>
                <w:lang w:val="en-GB"/>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00" w:hRule="atLeast"/>
          <w:jc w:val="center"/>
        </w:trPr>
        <w:tc>
          <w:tcPr>
            <w:tcW w:w="4531" w:type="dxa"/>
            <w:shd w:val="clear" w:color="auto" w:fill="auto"/>
            <w:vAlign w:val="center"/>
          </w:tcPr>
          <w:p>
            <w:pPr>
              <w:snapToGrid w:val="0"/>
              <w:rPr>
                <w:rFonts w:eastAsia="Batang"/>
                <w:b/>
                <w:bCs/>
                <w:szCs w:val="20"/>
                <w:lang w:val="en-GB"/>
              </w:rPr>
            </w:pPr>
            <w:r>
              <w:rPr>
                <w:rFonts w:eastAsia="等线"/>
                <w:b/>
                <w:kern w:val="24"/>
                <w:szCs w:val="20"/>
                <w:lang w:val="en-GB"/>
              </w:rPr>
              <w:t>Satellite EIRP density /beam (dBW/MHz)</w:t>
            </w:r>
          </w:p>
        </w:tc>
        <w:tc>
          <w:tcPr>
            <w:tcW w:w="1560" w:type="dxa"/>
            <w:shd w:val="clear" w:color="auto" w:fill="auto"/>
            <w:vAlign w:val="center"/>
          </w:tcPr>
          <w:p>
            <w:pPr>
              <w:snapToGrid w:val="0"/>
              <w:jc w:val="center"/>
              <w:rPr>
                <w:rFonts w:eastAsia="Batang"/>
                <w:szCs w:val="20"/>
                <w:lang w:val="en-GB"/>
              </w:rPr>
            </w:pPr>
            <w:r>
              <w:rPr>
                <w:rFonts w:eastAsia="等线"/>
                <w:kern w:val="24"/>
                <w:szCs w:val="20"/>
                <w:lang w:val="fr-FR"/>
              </w:rPr>
              <w:t>34</w:t>
            </w:r>
          </w:p>
        </w:tc>
        <w:tc>
          <w:tcPr>
            <w:tcW w:w="1560" w:type="dxa"/>
            <w:vAlign w:val="center"/>
          </w:tcPr>
          <w:p>
            <w:pPr>
              <w:snapToGrid w:val="0"/>
              <w:jc w:val="center"/>
              <w:rPr>
                <w:rFonts w:eastAsia="等线"/>
                <w:kern w:val="24"/>
                <w:szCs w:val="20"/>
                <w:lang w:val="fr-FR"/>
              </w:rPr>
            </w:pPr>
            <w:r>
              <w:rPr>
                <w:rFonts w:eastAsia="等线"/>
                <w:kern w:val="24"/>
                <w:szCs w:val="20"/>
                <w:lang w:val="en-GB"/>
              </w:rPr>
              <w:t>34</w:t>
            </w:r>
          </w:p>
        </w:tc>
        <w:tc>
          <w:tcPr>
            <w:tcW w:w="1560" w:type="dxa"/>
            <w:vAlign w:val="center"/>
          </w:tcPr>
          <w:p>
            <w:pPr>
              <w:snapToGrid w:val="0"/>
              <w:jc w:val="center"/>
              <w:rPr>
                <w:rFonts w:eastAsia="等线"/>
                <w:kern w:val="24"/>
                <w:szCs w:val="20"/>
                <w:lang w:val="fr-FR"/>
              </w:rPr>
            </w:pPr>
            <w:r>
              <w:rPr>
                <w:rFonts w:eastAsia="等线"/>
                <w:kern w:val="24"/>
                <w:szCs w:val="20"/>
                <w:lang w:val="en-GB"/>
              </w:rPr>
              <w:t>26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218" w:hRule="atLeast"/>
          <w:jc w:val="center"/>
        </w:trPr>
        <w:tc>
          <w:tcPr>
            <w:tcW w:w="4531" w:type="dxa"/>
            <w:shd w:val="clear" w:color="auto" w:fill="auto"/>
            <w:vAlign w:val="center"/>
          </w:tcPr>
          <w:p>
            <w:pPr>
              <w:snapToGrid w:val="0"/>
              <w:rPr>
                <w:rFonts w:eastAsia="Batang"/>
                <w:b/>
                <w:bCs/>
                <w:szCs w:val="20"/>
                <w:lang w:val="en-GB"/>
              </w:rPr>
            </w:pPr>
            <w:r>
              <w:rPr>
                <w:rFonts w:eastAsia="Batang"/>
                <w:b/>
                <w:kern w:val="24"/>
                <w:szCs w:val="20"/>
                <w:lang w:val="en-GB"/>
              </w:rPr>
              <w:t>Payload Total DL power level (dBW)</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en-GB"/>
              </w:rPr>
              <w:t>31.24</w:t>
            </w:r>
          </w:p>
        </w:tc>
        <w:tc>
          <w:tcPr>
            <w:tcW w:w="1560" w:type="dxa"/>
            <w:vAlign w:val="center"/>
          </w:tcPr>
          <w:p>
            <w:pPr>
              <w:snapToGrid w:val="0"/>
              <w:jc w:val="center"/>
              <w:rPr>
                <w:rFonts w:eastAsia="Batang"/>
                <w:kern w:val="24"/>
                <w:szCs w:val="20"/>
                <w:lang w:val="en-GB"/>
              </w:rPr>
            </w:pPr>
            <w:r>
              <w:rPr>
                <w:rFonts w:eastAsia="Batang"/>
                <w:kern w:val="24"/>
                <w:szCs w:val="20"/>
                <w:lang w:val="en-GB"/>
              </w:rPr>
              <w:t>23</w:t>
            </w:r>
          </w:p>
        </w:tc>
        <w:tc>
          <w:tcPr>
            <w:tcW w:w="1560" w:type="dxa"/>
            <w:vAlign w:val="center"/>
          </w:tcPr>
          <w:p>
            <w:pPr>
              <w:snapToGrid w:val="0"/>
              <w:jc w:val="center"/>
              <w:rPr>
                <w:rFonts w:eastAsia="Batang"/>
                <w:kern w:val="24"/>
                <w:szCs w:val="20"/>
                <w:lang w:val="en-GB"/>
              </w:rPr>
            </w:pPr>
            <w:r>
              <w:rPr>
                <w:rFonts w:eastAsia="Batang"/>
                <w:kern w:val="24"/>
                <w:szCs w:val="20"/>
                <w:lang w:val="en-GB"/>
              </w:rPr>
              <w:t>23.24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94" w:hRule="atLeast"/>
          <w:jc w:val="center"/>
        </w:trPr>
        <w:tc>
          <w:tcPr>
            <w:tcW w:w="4531" w:type="dxa"/>
            <w:shd w:val="clear" w:color="auto" w:fill="auto"/>
            <w:vAlign w:val="center"/>
          </w:tcPr>
          <w:p>
            <w:pPr>
              <w:snapToGrid w:val="0"/>
              <w:rPr>
                <w:rFonts w:eastAsia="Batang"/>
                <w:b/>
                <w:bCs/>
                <w:szCs w:val="20"/>
                <w:lang w:val="en-GB"/>
              </w:rPr>
            </w:pPr>
            <w:r>
              <w:rPr>
                <w:rFonts w:eastAsia="Batang"/>
                <w:b/>
                <w:kern w:val="24"/>
                <w:szCs w:val="20"/>
                <w:lang w:val="en-GB"/>
              </w:rPr>
              <w:t>Aggregated EIRP (Total) (dBW)</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en-GB"/>
              </w:rPr>
              <w:t>61.24*</w:t>
            </w:r>
          </w:p>
        </w:tc>
        <w:tc>
          <w:tcPr>
            <w:tcW w:w="1560" w:type="dxa"/>
            <w:vAlign w:val="center"/>
          </w:tcPr>
          <w:p>
            <w:pPr>
              <w:snapToGrid w:val="0"/>
              <w:jc w:val="center"/>
              <w:rPr>
                <w:rFonts w:eastAsia="Batang"/>
                <w:kern w:val="24"/>
                <w:szCs w:val="20"/>
                <w:lang w:val="en-GB"/>
              </w:rPr>
            </w:pPr>
            <w:r>
              <w:rPr>
                <w:rFonts w:eastAsia="Batang"/>
                <w:kern w:val="24"/>
                <w:szCs w:val="20"/>
                <w:lang w:val="en-GB"/>
              </w:rPr>
              <w:t>53*</w:t>
            </w:r>
          </w:p>
        </w:tc>
        <w:tc>
          <w:tcPr>
            <w:tcW w:w="1560" w:type="dxa"/>
            <w:vAlign w:val="center"/>
          </w:tcPr>
          <w:p>
            <w:pPr>
              <w:snapToGrid w:val="0"/>
              <w:jc w:val="center"/>
              <w:rPr>
                <w:rFonts w:eastAsia="Batang"/>
                <w:kern w:val="24"/>
                <w:szCs w:val="20"/>
                <w:lang w:val="en-GB"/>
              </w:rPr>
            </w:pPr>
            <w:r>
              <w:rPr>
                <w:rFonts w:eastAsia="Batang"/>
                <w:kern w:val="24"/>
                <w:szCs w:val="20"/>
                <w:lang w:val="en-GB"/>
              </w:rPr>
              <w:t>53.24*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228" w:hRule="atLeast"/>
          <w:jc w:val="center"/>
        </w:trPr>
        <w:tc>
          <w:tcPr>
            <w:tcW w:w="4531" w:type="dxa"/>
            <w:shd w:val="clear" w:color="auto" w:fill="auto"/>
            <w:vAlign w:val="center"/>
          </w:tcPr>
          <w:p>
            <w:pPr>
              <w:snapToGrid w:val="0"/>
              <w:rPr>
                <w:rFonts w:eastAsia="Batang"/>
                <w:b/>
                <w:bCs/>
                <w:szCs w:val="20"/>
                <w:lang w:val="en-GB"/>
              </w:rPr>
            </w:pPr>
            <w:r>
              <w:rPr>
                <w:rFonts w:eastAsia="Batang"/>
                <w:b/>
                <w:kern w:val="24"/>
                <w:szCs w:val="20"/>
                <w:lang w:val="en-GB"/>
              </w:rPr>
              <w:t>Satellite Tx max Gain</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en-GB"/>
              </w:rPr>
              <w:t>30 dBi</w:t>
            </w:r>
          </w:p>
        </w:tc>
        <w:tc>
          <w:tcPr>
            <w:tcW w:w="1560" w:type="dxa"/>
            <w:vAlign w:val="center"/>
          </w:tcPr>
          <w:p>
            <w:pPr>
              <w:snapToGrid w:val="0"/>
              <w:jc w:val="center"/>
              <w:rPr>
                <w:rFonts w:eastAsia="Batang"/>
                <w:kern w:val="24"/>
                <w:szCs w:val="20"/>
                <w:lang w:val="en-GB"/>
              </w:rPr>
            </w:pPr>
            <w:r>
              <w:rPr>
                <w:rFonts w:eastAsia="Batang"/>
                <w:kern w:val="24"/>
                <w:szCs w:val="20"/>
                <w:lang w:val="en-GB"/>
              </w:rPr>
              <w:t>30 dBi</w:t>
            </w:r>
          </w:p>
        </w:tc>
        <w:tc>
          <w:tcPr>
            <w:tcW w:w="1560" w:type="dxa"/>
            <w:vAlign w:val="center"/>
          </w:tcPr>
          <w:p>
            <w:pPr>
              <w:snapToGrid w:val="0"/>
              <w:jc w:val="center"/>
              <w:rPr>
                <w:rFonts w:eastAsia="Batang"/>
                <w:kern w:val="24"/>
                <w:szCs w:val="20"/>
                <w:lang w:val="en-GB"/>
              </w:rPr>
            </w:pPr>
            <w:r>
              <w:rPr>
                <w:rFonts w:eastAsia="Batang"/>
                <w:kern w:val="24"/>
                <w:szCs w:val="20"/>
                <w:lang w:val="en-GB"/>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20" w:hRule="atLeast"/>
          <w:jc w:val="center"/>
        </w:trPr>
        <w:tc>
          <w:tcPr>
            <w:tcW w:w="4531" w:type="dxa"/>
            <w:shd w:val="clear" w:color="auto" w:fill="auto"/>
            <w:vAlign w:val="center"/>
          </w:tcPr>
          <w:p>
            <w:pPr>
              <w:snapToGrid w:val="0"/>
              <w:rPr>
                <w:rFonts w:eastAsia="Batang"/>
                <w:b/>
                <w:bCs/>
                <w:szCs w:val="20"/>
                <w:lang w:val="de-DE"/>
              </w:rPr>
            </w:pPr>
            <w:r>
              <w:rPr>
                <w:rFonts w:eastAsia="Batang"/>
                <w:b/>
                <w:kern w:val="24"/>
                <w:szCs w:val="20"/>
                <w:lang w:val="de-DE"/>
              </w:rPr>
              <w:t>Maximum EIRP per Satellite beam (dBW)</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fr-FR"/>
              </w:rPr>
              <w:t>41</w:t>
            </w:r>
          </w:p>
        </w:tc>
        <w:tc>
          <w:tcPr>
            <w:tcW w:w="1560" w:type="dxa"/>
            <w:vAlign w:val="center"/>
          </w:tcPr>
          <w:p>
            <w:pPr>
              <w:snapToGrid w:val="0"/>
              <w:jc w:val="center"/>
              <w:rPr>
                <w:rFonts w:eastAsia="Batang"/>
                <w:kern w:val="24"/>
                <w:szCs w:val="20"/>
                <w:lang w:val="fr-FR"/>
              </w:rPr>
            </w:pPr>
            <w:r>
              <w:rPr>
                <w:rFonts w:eastAsia="Batang"/>
                <w:kern w:val="24"/>
                <w:szCs w:val="20"/>
                <w:lang w:val="fr-FR"/>
              </w:rPr>
              <w:t>41</w:t>
            </w:r>
          </w:p>
        </w:tc>
        <w:tc>
          <w:tcPr>
            <w:tcW w:w="1560" w:type="dxa"/>
            <w:vAlign w:val="center"/>
          </w:tcPr>
          <w:p>
            <w:pPr>
              <w:snapToGrid w:val="0"/>
              <w:jc w:val="center"/>
              <w:rPr>
                <w:rFonts w:eastAsia="Batang"/>
                <w:kern w:val="24"/>
                <w:szCs w:val="20"/>
                <w:lang w:val="fr-FR"/>
              </w:rPr>
            </w:pPr>
            <w:r>
              <w:rPr>
                <w:rFonts w:eastAsia="Batang"/>
                <w:kern w:val="24"/>
                <w:szCs w:val="20"/>
                <w:lang w:val="fr-FR"/>
              </w:rPr>
              <w:t>33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54" w:hRule="atLeast"/>
          <w:jc w:val="center"/>
        </w:trPr>
        <w:tc>
          <w:tcPr>
            <w:tcW w:w="4531" w:type="dxa"/>
            <w:shd w:val="clear" w:color="auto" w:fill="auto"/>
            <w:vAlign w:val="center"/>
          </w:tcPr>
          <w:p>
            <w:pPr>
              <w:snapToGrid w:val="0"/>
              <w:rPr>
                <w:rFonts w:eastAsia="Batang"/>
                <w:b/>
                <w:bCs/>
                <w:szCs w:val="20"/>
                <w:lang w:val="en-GB"/>
              </w:rPr>
            </w:pPr>
            <w:r>
              <w:rPr>
                <w:rFonts w:eastAsia="等线"/>
                <w:b/>
                <w:kern w:val="24"/>
                <w:szCs w:val="20"/>
                <w:lang w:val="en-GB"/>
              </w:rPr>
              <w:t>Total number of beam footprints***</w:t>
            </w:r>
          </w:p>
        </w:tc>
        <w:tc>
          <w:tcPr>
            <w:tcW w:w="1560" w:type="dxa"/>
            <w:shd w:val="clear" w:color="auto" w:fill="auto"/>
            <w:vAlign w:val="center"/>
          </w:tcPr>
          <w:p>
            <w:pPr>
              <w:snapToGrid w:val="0"/>
              <w:jc w:val="center"/>
              <w:rPr>
                <w:rFonts w:eastAsia="Batang"/>
                <w:szCs w:val="20"/>
                <w:lang w:val="en-GB"/>
              </w:rPr>
            </w:pPr>
            <w:r>
              <w:rPr>
                <w:rFonts w:eastAsia="等线"/>
                <w:kern w:val="24"/>
                <w:szCs w:val="20"/>
                <w:lang w:val="en-GB"/>
              </w:rPr>
              <w:t>1058</w:t>
            </w:r>
          </w:p>
        </w:tc>
        <w:tc>
          <w:tcPr>
            <w:tcW w:w="1560" w:type="dxa"/>
            <w:vAlign w:val="center"/>
          </w:tcPr>
          <w:p>
            <w:pPr>
              <w:snapToGrid w:val="0"/>
              <w:jc w:val="center"/>
              <w:rPr>
                <w:rFonts w:eastAsia="等线"/>
                <w:kern w:val="24"/>
                <w:szCs w:val="20"/>
                <w:lang w:val="en-GB"/>
              </w:rPr>
            </w:pPr>
            <w:r>
              <w:rPr>
                <w:rFonts w:eastAsia="等线"/>
                <w:kern w:val="24"/>
                <w:szCs w:val="20"/>
                <w:lang w:val="en-GB"/>
              </w:rPr>
              <w:t>1058</w:t>
            </w:r>
          </w:p>
        </w:tc>
        <w:tc>
          <w:tcPr>
            <w:tcW w:w="1560" w:type="dxa"/>
            <w:vAlign w:val="center"/>
          </w:tcPr>
          <w:p>
            <w:pPr>
              <w:snapToGrid w:val="0"/>
              <w:jc w:val="center"/>
              <w:rPr>
                <w:rFonts w:eastAsia="等线"/>
                <w:kern w:val="24"/>
                <w:szCs w:val="20"/>
                <w:lang w:val="en-GB"/>
              </w:rPr>
            </w:pPr>
            <w:r>
              <w:rPr>
                <w:rFonts w:eastAsia="等线"/>
                <w:kern w:val="24"/>
                <w:szCs w:val="20"/>
                <w:lang w:val="en-GB"/>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32" w:hRule="atLeast"/>
          <w:jc w:val="center"/>
        </w:trPr>
        <w:tc>
          <w:tcPr>
            <w:tcW w:w="4531" w:type="dxa"/>
            <w:shd w:val="clear" w:color="auto" w:fill="auto"/>
            <w:vAlign w:val="center"/>
          </w:tcPr>
          <w:p>
            <w:pPr>
              <w:snapToGrid w:val="0"/>
              <w:rPr>
                <w:rFonts w:eastAsia="Batang"/>
                <w:b/>
                <w:bCs/>
                <w:szCs w:val="20"/>
                <w:lang w:val="en-GB"/>
              </w:rPr>
            </w:pPr>
            <w:r>
              <w:rPr>
                <w:rFonts w:eastAsia="Batang"/>
                <w:b/>
                <w:kern w:val="24"/>
                <w:szCs w:val="20"/>
                <w:lang w:val="en-GB"/>
              </w:rPr>
              <w:t>Total number of simultaneously active beams **</w:t>
            </w:r>
          </w:p>
        </w:tc>
        <w:tc>
          <w:tcPr>
            <w:tcW w:w="1560" w:type="dxa"/>
            <w:shd w:val="clear" w:color="auto" w:fill="auto"/>
            <w:vAlign w:val="center"/>
          </w:tcPr>
          <w:p>
            <w:pPr>
              <w:snapToGrid w:val="0"/>
              <w:jc w:val="center"/>
              <w:rPr>
                <w:rFonts w:eastAsia="Batang"/>
                <w:szCs w:val="20"/>
                <w:lang w:val="en-GB"/>
              </w:rPr>
            </w:pPr>
            <w:r>
              <w:rPr>
                <w:rFonts w:eastAsia="Batang"/>
                <w:kern w:val="24"/>
                <w:szCs w:val="20"/>
                <w:lang w:val="fr-FR"/>
              </w:rPr>
              <w:t>106</w:t>
            </w:r>
          </w:p>
        </w:tc>
        <w:tc>
          <w:tcPr>
            <w:tcW w:w="1560" w:type="dxa"/>
            <w:vAlign w:val="center"/>
          </w:tcPr>
          <w:p>
            <w:pPr>
              <w:snapToGrid w:val="0"/>
              <w:jc w:val="center"/>
              <w:rPr>
                <w:rFonts w:eastAsia="Batang"/>
                <w:kern w:val="24"/>
                <w:szCs w:val="20"/>
                <w:lang w:val="fr-FR"/>
              </w:rPr>
            </w:pPr>
            <w:r>
              <w:rPr>
                <w:rFonts w:eastAsia="Batang"/>
                <w:kern w:val="24"/>
                <w:szCs w:val="20"/>
                <w:lang w:val="fr-FR"/>
              </w:rPr>
              <w:t>16</w:t>
            </w:r>
          </w:p>
        </w:tc>
        <w:tc>
          <w:tcPr>
            <w:tcW w:w="1560" w:type="dxa"/>
            <w:vAlign w:val="center"/>
          </w:tcPr>
          <w:p>
            <w:pPr>
              <w:snapToGrid w:val="0"/>
              <w:jc w:val="center"/>
              <w:rPr>
                <w:rFonts w:eastAsia="Batang"/>
                <w:kern w:val="24"/>
                <w:szCs w:val="20"/>
                <w:lang w:val="fr-FR"/>
              </w:rPr>
            </w:pPr>
            <w:r>
              <w:rPr>
                <w:rFonts w:eastAsia="Batang"/>
                <w:kern w:val="24"/>
                <w:szCs w:val="20"/>
                <w:lang w:val="fr-FR"/>
              </w:rPr>
              <w:t>106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Ex>
        <w:trPr>
          <w:trHeight w:val="110" w:hRule="atLeast"/>
          <w:jc w:val="center"/>
        </w:trPr>
        <w:tc>
          <w:tcPr>
            <w:tcW w:w="4531" w:type="dxa"/>
            <w:shd w:val="clear" w:color="auto" w:fill="auto"/>
            <w:vAlign w:val="center"/>
          </w:tcPr>
          <w:p>
            <w:pPr>
              <w:snapToGrid w:val="0"/>
              <w:rPr>
                <w:rFonts w:eastAsia="Batang"/>
                <w:b/>
                <w:bCs/>
                <w:szCs w:val="20"/>
                <w:lang w:val="en-GB"/>
              </w:rPr>
            </w:pPr>
            <w:r>
              <w:rPr>
                <w:rFonts w:eastAsia="等线"/>
                <w:b/>
                <w:kern w:val="24"/>
                <w:szCs w:val="20"/>
                <w:lang w:val="fr-FR"/>
              </w:rPr>
              <w:t>% simultaneously active beams**</w:t>
            </w:r>
          </w:p>
        </w:tc>
        <w:tc>
          <w:tcPr>
            <w:tcW w:w="1560" w:type="dxa"/>
            <w:shd w:val="clear" w:color="auto" w:fill="auto"/>
            <w:vAlign w:val="center"/>
          </w:tcPr>
          <w:p>
            <w:pPr>
              <w:snapToGrid w:val="0"/>
              <w:jc w:val="center"/>
              <w:rPr>
                <w:rFonts w:eastAsia="Batang"/>
                <w:szCs w:val="20"/>
                <w:lang w:val="en-GB"/>
              </w:rPr>
            </w:pPr>
            <w:r>
              <w:rPr>
                <w:rFonts w:eastAsia="等线"/>
                <w:kern w:val="24"/>
                <w:szCs w:val="20"/>
                <w:lang w:val="fr-FR"/>
              </w:rPr>
              <w:t>10.02 %</w:t>
            </w:r>
          </w:p>
        </w:tc>
        <w:tc>
          <w:tcPr>
            <w:tcW w:w="1560" w:type="dxa"/>
            <w:vAlign w:val="center"/>
          </w:tcPr>
          <w:p>
            <w:pPr>
              <w:snapToGrid w:val="0"/>
              <w:jc w:val="center"/>
              <w:rPr>
                <w:rFonts w:eastAsia="等线"/>
                <w:kern w:val="24"/>
                <w:szCs w:val="20"/>
                <w:lang w:val="fr-FR"/>
              </w:rPr>
            </w:pPr>
            <w:r>
              <w:rPr>
                <w:rFonts w:eastAsia="等线"/>
                <w:kern w:val="24"/>
                <w:szCs w:val="20"/>
                <w:lang w:val="en-GB"/>
              </w:rPr>
              <w:t>1.5 %</w:t>
            </w:r>
          </w:p>
        </w:tc>
        <w:tc>
          <w:tcPr>
            <w:tcW w:w="1560" w:type="dxa"/>
            <w:vAlign w:val="center"/>
          </w:tcPr>
          <w:p>
            <w:pPr>
              <w:snapToGrid w:val="0"/>
              <w:jc w:val="center"/>
              <w:rPr>
                <w:rFonts w:eastAsia="等线"/>
                <w:kern w:val="24"/>
                <w:szCs w:val="20"/>
                <w:lang w:val="fr-FR"/>
              </w:rPr>
            </w:pPr>
            <w:r>
              <w:rPr>
                <w:rFonts w:eastAsia="等线"/>
                <w:kern w:val="24"/>
                <w:szCs w:val="20"/>
                <w:lang w:val="fr-FR"/>
              </w:rPr>
              <w:t>10.02 %</w:t>
            </w:r>
          </w:p>
        </w:tc>
      </w:tr>
    </w:tbl>
    <w:p>
      <w:pPr>
        <w:pStyle w:val="3"/>
        <w:spacing w:after="0" w:line="252" w:lineRule="auto"/>
        <w:rPr>
          <w:rFonts w:ascii="Times" w:hAnsi="Times" w:eastAsiaTheme="minorEastAsia"/>
          <w:bCs/>
          <w:lang w:val="en-GB" w:eastAsia="zh-CN"/>
        </w:rPr>
      </w:pP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According to the above satellite parameters, LEO600 set 1-2 provides the same EIRP density per beam as LEO600 set 1-1 but a smaller number of simultaneously active </w:t>
      </w:r>
      <w:r>
        <w:rPr>
          <w:rFonts w:hint="eastAsia" w:ascii="Times" w:hAnsi="Times" w:eastAsiaTheme="minorEastAsia"/>
          <w:bCs/>
          <w:lang w:val="en-GB" w:eastAsia="zh-CN"/>
        </w:rPr>
        <w:t>beams</w:t>
      </w:r>
      <w:r>
        <w:rPr>
          <w:rFonts w:ascii="Times" w:hAnsi="Times" w:eastAsiaTheme="minorEastAsia"/>
          <w:bCs/>
          <w:lang w:val="en-GB" w:eastAsia="zh-CN"/>
        </w:rPr>
        <w:t xml:space="preserve">, while LEO600 set 1-3 provides the same number of simultaneously active </w:t>
      </w:r>
      <w:r>
        <w:rPr>
          <w:rFonts w:hint="eastAsia" w:ascii="Times" w:hAnsi="Times" w:eastAsiaTheme="minorEastAsia"/>
          <w:bCs/>
          <w:lang w:val="en-GB" w:eastAsia="zh-CN"/>
        </w:rPr>
        <w:t>beams</w:t>
      </w:r>
      <w:r>
        <w:rPr>
          <w:rFonts w:ascii="Times" w:hAnsi="Times" w:eastAsiaTheme="minorEastAsia"/>
          <w:bCs/>
          <w:lang w:val="en-GB" w:eastAsia="zh-CN"/>
        </w:rPr>
        <w:t xml:space="preserve"> as LEO600 set 1-1 but a lower EIRP density per beam. In order to provide a comprehensive observation on the DL coverage for NR NTN, these three scenarios are all considered in our DL </w:t>
      </w:r>
      <w:r>
        <w:rPr>
          <w:rFonts w:hint="eastAsia" w:ascii="Times" w:hAnsi="Times" w:eastAsiaTheme="minorEastAsia"/>
          <w:bCs/>
          <w:lang w:val="en-GB" w:eastAsia="zh-CN"/>
        </w:rPr>
        <w:t>cove</w:t>
      </w:r>
      <w:r>
        <w:rPr>
          <w:rFonts w:ascii="Times" w:hAnsi="Times" w:eastAsiaTheme="minorEastAsia"/>
          <w:bCs/>
          <w:lang w:val="en-GB" w:eastAsia="zh-CN"/>
        </w:rPr>
        <w:t>rage evaluation.</w:t>
      </w:r>
    </w:p>
    <w:p>
      <w:pPr>
        <w:pStyle w:val="3"/>
        <w:spacing w:line="252" w:lineRule="auto"/>
        <w:rPr>
          <w:rFonts w:ascii="Times" w:hAnsi="Times" w:eastAsiaTheme="minorEastAsia"/>
          <w:bCs/>
          <w:lang w:eastAsia="zh-CN"/>
        </w:rPr>
      </w:pPr>
      <w:r>
        <w:rPr>
          <w:rFonts w:ascii="Times" w:hAnsi="Times" w:eastAsiaTheme="minorEastAsia"/>
          <w:bCs/>
          <w:lang w:val="en-GB" w:eastAsia="zh-CN"/>
        </w:rPr>
        <w:t>Based on the system-level evaluation methodology agreed in RAN1#116 meeting, t</w:t>
      </w:r>
      <w:r>
        <w:rPr>
          <w:rFonts w:ascii="Times" w:hAnsi="Times" w:eastAsiaTheme="minorEastAsia"/>
          <w:bCs/>
          <w:lang w:eastAsia="zh-CN"/>
        </w:rPr>
        <w:t>he total number of beam footprints consists of N1 beam footprints in state “off”, N2 beam footprints in state “common message only” and N3 beam footprints in state “active traffic”, as shown in Fig 1. The N2 beam footprints in state “common message only” and N3 beam footprints in state “active traffic” have chance to be illuminated. Thus, the coverage ratio is defined as (</w:t>
      </w:r>
      <w:r>
        <w:rPr>
          <w:rFonts w:ascii="Times" w:hAnsi="Times" w:eastAsia="Batang"/>
          <w:lang w:val="en-GB" w:eastAsia="zh-CN"/>
        </w:rPr>
        <w:t>N2+N3)/total number of beam footprints, as in the system-level Observation in RAN1#117 meeting</w:t>
      </w:r>
      <w:r>
        <w:rPr>
          <w:rFonts w:ascii="Times" w:hAnsi="Times" w:eastAsiaTheme="minorEastAsia"/>
          <w:bCs/>
          <w:lang w:eastAsia="zh-CN"/>
        </w:rPr>
        <w:t xml:space="preserve">. </w:t>
      </w:r>
    </w:p>
    <w:p>
      <w:pPr>
        <w:pStyle w:val="3"/>
        <w:spacing w:line="252" w:lineRule="auto"/>
      </w:pPr>
      <w:r>
        <w:object>
          <v:shape id="_x0000_i1025" o:spt="75" type="#_x0000_t75" style="height:199.8pt;width:453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3"/>
        <w:spacing w:line="252" w:lineRule="auto"/>
        <w:jc w:val="center"/>
        <w:rPr>
          <w:rFonts w:eastAsiaTheme="minorEastAsia"/>
          <w:bCs/>
          <w:lang w:val="en-GB" w:eastAsia="zh-CN"/>
        </w:rPr>
      </w:pPr>
      <w:r>
        <w:rPr>
          <w:rFonts w:eastAsia="等线"/>
          <w:kern w:val="2"/>
          <w:szCs w:val="20"/>
          <w:lang w:eastAsia="zh-CN"/>
        </w:rPr>
        <w:t xml:space="preserve">Fig 1. </w:t>
      </w:r>
      <w:r>
        <w:rPr>
          <w:rFonts w:eastAsiaTheme="minorEastAsia"/>
          <w:bCs/>
          <w:lang w:val="en-GB" w:eastAsia="zh-CN"/>
        </w:rPr>
        <w:t>N1, N2, N3 beam footprints and beam illumination within satellite footprint</w:t>
      </w:r>
    </w:p>
    <w:p>
      <w:pPr>
        <w:pStyle w:val="3"/>
        <w:spacing w:line="252" w:lineRule="auto"/>
        <w:rPr>
          <w:rFonts w:ascii="Times" w:hAnsi="Times" w:eastAsiaTheme="minorEastAsia"/>
          <w:bCs/>
          <w:lang w:eastAsia="zh-CN"/>
        </w:rPr>
      </w:pPr>
      <w:r>
        <w:rPr>
          <w:rFonts w:ascii="Times" w:hAnsi="Times" w:eastAsiaTheme="minorEastAsia"/>
          <w:bCs/>
          <w:lang w:eastAsia="zh-CN"/>
        </w:rPr>
        <w:t xml:space="preserve">Beam hopping can </w:t>
      </w:r>
      <w:r>
        <w:rPr>
          <w:rFonts w:hint="eastAsia" w:ascii="Times" w:hAnsi="Times" w:eastAsiaTheme="minorEastAsia"/>
          <w:bCs/>
          <w:lang w:eastAsia="zh-CN"/>
        </w:rPr>
        <w:t>effectively</w:t>
      </w:r>
      <w:r>
        <w:rPr>
          <w:rFonts w:ascii="Times" w:hAnsi="Times" w:eastAsiaTheme="minorEastAsia"/>
          <w:bCs/>
          <w:lang w:eastAsia="zh-CN"/>
        </w:rPr>
        <w:t xml:space="preserve"> improve the coverage ratio in NTN scenario through illuminating beam footprints in TDM manner. Theoretically, with beam hopping, the coverage ratio can reach 100% when the dwell time and revisit time per beam footprint are configured properly. However, there are some restrictions on the beam dwell time and revisit time in current NR-NTN system. Firstly, the N2 beam footprints in state “common messages only” and the N3 beam footprints in state “active traffic” both need to deliver common message, e.g., SSB, SIB1 and SIB19, for cell discovery and synchronization. As illustrated in Fig.2, the dwell time should be at least 5ms for N</w:t>
      </w:r>
      <w:r>
        <w:rPr>
          <w:rFonts w:ascii="Times" w:hAnsi="Times" w:eastAsiaTheme="minorEastAsia"/>
          <w:bCs/>
          <w:vertAlign w:val="subscript"/>
          <w:lang w:eastAsia="zh-CN"/>
        </w:rPr>
        <w:t>SSB</w:t>
      </w:r>
      <w:r>
        <w:rPr>
          <w:rFonts w:ascii="Times" w:hAnsi="Times" w:eastAsiaTheme="minorEastAsia"/>
          <w:bCs/>
          <w:lang w:eastAsia="zh-CN"/>
        </w:rPr>
        <w:t xml:space="preserve"> = 1 and 20ms for N</w:t>
      </w:r>
      <w:r>
        <w:rPr>
          <w:rFonts w:ascii="Times" w:hAnsi="Times" w:eastAsiaTheme="minorEastAsia"/>
          <w:bCs/>
          <w:vertAlign w:val="subscript"/>
          <w:lang w:eastAsia="zh-CN"/>
        </w:rPr>
        <w:t>SSB</w:t>
      </w:r>
      <w:r>
        <w:rPr>
          <w:rFonts w:ascii="Times" w:hAnsi="Times" w:eastAsiaTheme="minorEastAsia"/>
          <w:bCs/>
          <w:lang w:eastAsia="zh-CN"/>
        </w:rPr>
        <w:t xml:space="preserve"> = 4 respectively to ensure the common message overhead less than 50%. Actually, the common message overhead can be further reduced when SIBs are transmitted with a periodicity larger than 20ms. Regarding the revisit time, RAN1 agreed to extend the SSB periodicity to at least 160ms in the last meeting, so the revisit time of 160ms is taken as baseline in our evaluation.</w:t>
      </w:r>
    </w:p>
    <w:p>
      <w:pPr>
        <w:pStyle w:val="3"/>
        <w:spacing w:line="252" w:lineRule="auto"/>
        <w:jc w:val="center"/>
      </w:pPr>
      <w:r>
        <w:object>
          <v:shape id="_x0000_i1026" o:spt="75" type="#_x0000_t75" style="height:99pt;width:342.6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3"/>
        <w:spacing w:line="252" w:lineRule="auto"/>
        <w:jc w:val="center"/>
        <w:rPr>
          <w:rFonts w:eastAsiaTheme="minorEastAsia"/>
          <w:bCs/>
          <w:lang w:val="en-GB" w:eastAsia="zh-CN"/>
        </w:rPr>
      </w:pPr>
      <w:r>
        <w:rPr>
          <w:rFonts w:eastAsia="等线"/>
          <w:kern w:val="2"/>
          <w:szCs w:val="20"/>
          <w:lang w:eastAsia="zh-CN"/>
        </w:rPr>
        <w:t xml:space="preserve">Fig 2. </w:t>
      </w:r>
      <w:r>
        <w:rPr>
          <w:rFonts w:eastAsiaTheme="minorEastAsia"/>
          <w:bCs/>
          <w:lang w:val="en-GB" w:eastAsia="zh-CN"/>
        </w:rPr>
        <w:t xml:space="preserve">SSB, SIB1, SIB19 transmission for </w:t>
      </w:r>
      <w:r>
        <w:rPr>
          <w:rFonts w:ascii="Times" w:hAnsi="Times" w:eastAsiaTheme="minorEastAsia"/>
          <w:bCs/>
          <w:lang w:eastAsia="zh-CN"/>
        </w:rPr>
        <w:t>N</w:t>
      </w:r>
      <w:r>
        <w:rPr>
          <w:rFonts w:ascii="Times" w:hAnsi="Times" w:eastAsiaTheme="minorEastAsia"/>
          <w:bCs/>
          <w:vertAlign w:val="subscript"/>
          <w:lang w:eastAsia="zh-CN"/>
        </w:rPr>
        <w:t>SSB</w:t>
      </w:r>
      <w:r>
        <w:rPr>
          <w:rFonts w:ascii="Times" w:hAnsi="Times" w:eastAsiaTheme="minorEastAsia"/>
          <w:bCs/>
          <w:lang w:eastAsia="zh-CN"/>
        </w:rPr>
        <w:t xml:space="preserve"> = 1 and N</w:t>
      </w:r>
      <w:r>
        <w:rPr>
          <w:rFonts w:ascii="Times" w:hAnsi="Times" w:eastAsiaTheme="minorEastAsia"/>
          <w:bCs/>
          <w:vertAlign w:val="subscript"/>
          <w:lang w:eastAsia="zh-CN"/>
        </w:rPr>
        <w:t>SSB</w:t>
      </w:r>
      <w:r>
        <w:rPr>
          <w:rFonts w:ascii="Times" w:hAnsi="Times" w:eastAsiaTheme="minorEastAsia"/>
          <w:bCs/>
          <w:lang w:eastAsia="zh-CN"/>
        </w:rPr>
        <w:t xml:space="preserve"> = 4</w:t>
      </w:r>
    </w:p>
    <w:p>
      <w:pPr>
        <w:pStyle w:val="3"/>
        <w:spacing w:line="252" w:lineRule="auto"/>
        <w:rPr>
          <w:rFonts w:ascii="Times" w:hAnsi="Times" w:eastAsiaTheme="minorEastAsia"/>
          <w:bCs/>
          <w:lang w:eastAsia="zh-CN"/>
        </w:rPr>
      </w:pPr>
      <w:r>
        <w:rPr>
          <w:rFonts w:ascii="Times" w:hAnsi="Times" w:eastAsiaTheme="minorEastAsia"/>
          <w:bCs/>
          <w:lang w:val="en-GB" w:eastAsia="zh-CN"/>
        </w:rPr>
        <w:t>T</w:t>
      </w:r>
      <w:r>
        <w:rPr>
          <w:rFonts w:ascii="Times" w:hAnsi="Times" w:eastAsiaTheme="minorEastAsia"/>
          <w:bCs/>
          <w:lang w:eastAsia="zh-CN"/>
        </w:rPr>
        <w:t>o maximize the coverage ratio, we assume the dwell time is 5ms for N</w:t>
      </w:r>
      <w:r>
        <w:rPr>
          <w:rFonts w:ascii="Times" w:hAnsi="Times" w:eastAsiaTheme="minorEastAsia"/>
          <w:bCs/>
          <w:vertAlign w:val="subscript"/>
          <w:lang w:eastAsia="zh-CN"/>
        </w:rPr>
        <w:t>SSB</w:t>
      </w:r>
      <w:r>
        <w:rPr>
          <w:rFonts w:ascii="Times" w:hAnsi="Times" w:eastAsiaTheme="minorEastAsia"/>
          <w:bCs/>
          <w:lang w:eastAsia="zh-CN"/>
        </w:rPr>
        <w:t xml:space="preserve"> = 1 and 20ms for N</w:t>
      </w:r>
      <w:r>
        <w:rPr>
          <w:rFonts w:ascii="Times" w:hAnsi="Times" w:eastAsiaTheme="minorEastAsia"/>
          <w:bCs/>
          <w:vertAlign w:val="subscript"/>
          <w:lang w:eastAsia="zh-CN"/>
        </w:rPr>
        <w:t>SSB</w:t>
      </w:r>
      <w:r>
        <w:rPr>
          <w:rFonts w:ascii="Times" w:hAnsi="Times" w:eastAsiaTheme="minorEastAsia"/>
          <w:bCs/>
          <w:lang w:eastAsia="zh-CN"/>
        </w:rPr>
        <w:t xml:space="preserve"> = 4 respectively. The preliminary DL coverage evaluation results for LEO600 set 1 are provided in Table 2.</w:t>
      </w:r>
    </w:p>
    <w:p>
      <w:pPr>
        <w:pStyle w:val="3"/>
        <w:spacing w:after="0" w:line="252" w:lineRule="auto"/>
        <w:jc w:val="center"/>
        <w:rPr>
          <w:rFonts w:ascii="Times" w:hAnsi="Times" w:eastAsiaTheme="minorEastAsia"/>
          <w:bCs/>
          <w:lang w:val="en-GB" w:eastAsia="zh-CN"/>
        </w:rPr>
      </w:pPr>
      <w:r>
        <w:rPr>
          <w:rFonts w:eastAsia="等线"/>
          <w:kern w:val="2"/>
          <w:szCs w:val="20"/>
          <w:lang w:eastAsia="zh-CN"/>
        </w:rPr>
        <w:t xml:space="preserve">Table 2. </w:t>
      </w:r>
      <w:r>
        <w:rPr>
          <w:rFonts w:ascii="Times" w:hAnsi="Times" w:eastAsiaTheme="minorEastAsia"/>
          <w:bCs/>
          <w:lang w:val="en-GB" w:eastAsia="zh-CN"/>
        </w:rPr>
        <w:t>DL coverage evaluation results for LEO600 set 1</w:t>
      </w:r>
    </w:p>
    <w:tbl>
      <w:tblPr>
        <w:tblStyle w:val="21"/>
        <w:tblW w:w="90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81"/>
        <w:gridCol w:w="1211"/>
        <w:gridCol w:w="993"/>
        <w:gridCol w:w="993"/>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4881" w:type="dxa"/>
            <w:shd w:val="clear" w:color="auto" w:fill="00B0F0"/>
            <w:vAlign w:val="center"/>
          </w:tcPr>
          <w:p>
            <w:pPr>
              <w:snapToGrid w:val="0"/>
              <w:jc w:val="center"/>
              <w:rPr>
                <w:rFonts w:eastAsia="楷体"/>
                <w:szCs w:val="20"/>
              </w:rPr>
            </w:pPr>
            <w:r>
              <w:rPr>
                <w:rFonts w:eastAsia="楷体"/>
                <w:szCs w:val="20"/>
              </w:rPr>
              <w:t>Scenario</w:t>
            </w:r>
          </w:p>
        </w:tc>
        <w:tc>
          <w:tcPr>
            <w:tcW w:w="2204" w:type="dxa"/>
            <w:gridSpan w:val="2"/>
            <w:shd w:val="clear" w:color="auto" w:fill="00B0F0"/>
            <w:vAlign w:val="center"/>
          </w:tcPr>
          <w:p>
            <w:pPr>
              <w:snapToGrid w:val="0"/>
              <w:jc w:val="center"/>
              <w:rPr>
                <w:rFonts w:eastAsia="楷体"/>
                <w:szCs w:val="20"/>
              </w:rPr>
            </w:pPr>
            <w:r>
              <w:rPr>
                <w:rFonts w:ascii="Times" w:hAnsi="Times" w:eastAsiaTheme="minorEastAsia"/>
                <w:bCs/>
                <w:lang w:val="en-GB" w:eastAsia="zh-CN"/>
              </w:rPr>
              <w:t>LEO600 set 1-1/set 1-3</w:t>
            </w:r>
          </w:p>
        </w:tc>
        <w:tc>
          <w:tcPr>
            <w:tcW w:w="1977" w:type="dxa"/>
            <w:gridSpan w:val="2"/>
            <w:shd w:val="clear" w:color="auto" w:fill="00B0F0"/>
            <w:vAlign w:val="center"/>
          </w:tcPr>
          <w:p>
            <w:pPr>
              <w:snapToGrid w:val="0"/>
              <w:jc w:val="center"/>
              <w:rPr>
                <w:rFonts w:eastAsia="楷体"/>
                <w:szCs w:val="20"/>
              </w:rPr>
            </w:pPr>
            <w:r>
              <w:rPr>
                <w:rFonts w:ascii="Times" w:hAnsi="Times" w:eastAsiaTheme="minorEastAsia"/>
                <w:bCs/>
                <w:lang w:val="en-GB" w:eastAsia="zh-CN"/>
              </w:rPr>
              <w:t>LEO600 set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tcPr>
          <w:p>
            <w:pPr>
              <w:snapToGrid w:val="0"/>
              <w:rPr>
                <w:rFonts w:eastAsia="楷体"/>
                <w:szCs w:val="20"/>
              </w:rPr>
            </w:pPr>
            <w:r>
              <w:rPr>
                <w:rFonts w:eastAsia="楷体"/>
                <w:szCs w:val="20"/>
              </w:rPr>
              <w:t>Total number of beam footprints (N</w:t>
            </w:r>
            <w:r>
              <w:rPr>
                <w:rFonts w:eastAsia="楷体"/>
                <w:szCs w:val="20"/>
                <w:vertAlign w:val="subscript"/>
              </w:rPr>
              <w:t>total_beam</w:t>
            </w:r>
            <w:r>
              <w:rPr>
                <w:rFonts w:eastAsia="楷体"/>
                <w:szCs w:val="20"/>
              </w:rPr>
              <w:t>)</w:t>
            </w:r>
          </w:p>
        </w:tc>
        <w:tc>
          <w:tcPr>
            <w:tcW w:w="2204" w:type="dxa"/>
            <w:gridSpan w:val="2"/>
            <w:vAlign w:val="center"/>
          </w:tcPr>
          <w:p>
            <w:pPr>
              <w:snapToGrid w:val="0"/>
              <w:jc w:val="center"/>
              <w:rPr>
                <w:rFonts w:eastAsia="楷体"/>
                <w:szCs w:val="20"/>
              </w:rPr>
            </w:pPr>
            <w:r>
              <w:rPr>
                <w:rFonts w:eastAsia="楷体"/>
                <w:szCs w:val="20"/>
              </w:rPr>
              <w:t>1058</w:t>
            </w:r>
          </w:p>
        </w:tc>
        <w:tc>
          <w:tcPr>
            <w:tcW w:w="1977" w:type="dxa"/>
            <w:gridSpan w:val="2"/>
            <w:vAlign w:val="center"/>
          </w:tcPr>
          <w:p>
            <w:pPr>
              <w:snapToGrid w:val="0"/>
              <w:jc w:val="center"/>
              <w:rPr>
                <w:szCs w:val="20"/>
              </w:rPr>
            </w:pPr>
            <w:r>
              <w:rPr>
                <w:szCs w:val="20"/>
              </w:rPr>
              <w:t>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tcPr>
          <w:p>
            <w:pPr>
              <w:snapToGrid w:val="0"/>
              <w:rPr>
                <w:rFonts w:eastAsia="楷体"/>
                <w:szCs w:val="20"/>
              </w:rPr>
            </w:pPr>
            <w:r>
              <w:rPr>
                <w:rFonts w:eastAsia="楷体"/>
                <w:szCs w:val="20"/>
              </w:rPr>
              <w:t>simultaneously active beam number (M</w:t>
            </w:r>
            <w:r>
              <w:rPr>
                <w:rFonts w:eastAsia="楷体"/>
                <w:szCs w:val="20"/>
                <w:vertAlign w:val="subscript"/>
              </w:rPr>
              <w:t>simul_active_beam</w:t>
            </w:r>
            <w:r>
              <w:rPr>
                <w:rFonts w:eastAsia="楷体"/>
                <w:szCs w:val="20"/>
              </w:rPr>
              <w:t>)</w:t>
            </w:r>
          </w:p>
        </w:tc>
        <w:tc>
          <w:tcPr>
            <w:tcW w:w="2204" w:type="dxa"/>
            <w:gridSpan w:val="2"/>
            <w:vAlign w:val="center"/>
          </w:tcPr>
          <w:p>
            <w:pPr>
              <w:snapToGrid w:val="0"/>
              <w:jc w:val="center"/>
              <w:rPr>
                <w:rFonts w:eastAsia="楷体"/>
                <w:szCs w:val="20"/>
              </w:rPr>
            </w:pPr>
            <w:r>
              <w:rPr>
                <w:rFonts w:eastAsia="楷体"/>
                <w:szCs w:val="20"/>
              </w:rPr>
              <w:t>106</w:t>
            </w:r>
          </w:p>
        </w:tc>
        <w:tc>
          <w:tcPr>
            <w:tcW w:w="1977" w:type="dxa"/>
            <w:gridSpan w:val="2"/>
            <w:vAlign w:val="center"/>
          </w:tcPr>
          <w:p>
            <w:pPr>
              <w:snapToGrid w:val="0"/>
              <w:jc w:val="center"/>
              <w:rPr>
                <w:szCs w:val="20"/>
              </w:rPr>
            </w:pPr>
            <w:r>
              <w:rPr>
                <w:szCs w:val="20"/>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tcPr>
          <w:p>
            <w:pPr>
              <w:snapToGrid w:val="0"/>
              <w:rPr>
                <w:rFonts w:eastAsia="楷体"/>
                <w:szCs w:val="20"/>
              </w:rPr>
            </w:pPr>
            <w:r>
              <w:rPr>
                <w:rFonts w:eastAsia="楷体"/>
                <w:szCs w:val="20"/>
              </w:rPr>
              <w:t xml:space="preserve">SSB </w:t>
            </w:r>
            <w:r>
              <w:rPr>
                <w:rFonts w:hint="eastAsia" w:eastAsia="楷体"/>
                <w:szCs w:val="20"/>
              </w:rPr>
              <w:t>n</w:t>
            </w:r>
            <w:r>
              <w:rPr>
                <w:rFonts w:eastAsia="楷体"/>
                <w:szCs w:val="20"/>
              </w:rPr>
              <w:t>umber per cell (N</w:t>
            </w:r>
            <w:r>
              <w:rPr>
                <w:rFonts w:eastAsia="楷体"/>
                <w:szCs w:val="20"/>
                <w:vertAlign w:val="subscript"/>
              </w:rPr>
              <w:t>SSB</w:t>
            </w:r>
            <w:r>
              <w:rPr>
                <w:rFonts w:eastAsia="楷体"/>
                <w:szCs w:val="20"/>
              </w:rPr>
              <w:t>)</w:t>
            </w:r>
          </w:p>
        </w:tc>
        <w:tc>
          <w:tcPr>
            <w:tcW w:w="1211" w:type="dxa"/>
            <w:vAlign w:val="center"/>
          </w:tcPr>
          <w:p>
            <w:pPr>
              <w:snapToGrid w:val="0"/>
              <w:jc w:val="center"/>
              <w:rPr>
                <w:rFonts w:eastAsia="楷体"/>
                <w:szCs w:val="20"/>
              </w:rPr>
            </w:pPr>
            <w:r>
              <w:rPr>
                <w:rFonts w:eastAsia="等线"/>
                <w:color w:val="000000"/>
                <w:szCs w:val="20"/>
              </w:rPr>
              <w:t>1</w:t>
            </w:r>
          </w:p>
        </w:tc>
        <w:tc>
          <w:tcPr>
            <w:tcW w:w="993" w:type="dxa"/>
            <w:vAlign w:val="center"/>
          </w:tcPr>
          <w:p>
            <w:pPr>
              <w:snapToGrid w:val="0"/>
              <w:jc w:val="center"/>
              <w:rPr>
                <w:rFonts w:eastAsia="楷体"/>
                <w:szCs w:val="20"/>
              </w:rPr>
            </w:pPr>
            <w:r>
              <w:rPr>
                <w:rFonts w:eastAsia="等线"/>
                <w:color w:val="000000"/>
                <w:szCs w:val="20"/>
              </w:rPr>
              <w:t>4</w:t>
            </w:r>
          </w:p>
        </w:tc>
        <w:tc>
          <w:tcPr>
            <w:tcW w:w="993" w:type="dxa"/>
            <w:vAlign w:val="center"/>
          </w:tcPr>
          <w:p>
            <w:pPr>
              <w:snapToGrid w:val="0"/>
              <w:jc w:val="center"/>
              <w:rPr>
                <w:rFonts w:eastAsia="等线"/>
                <w:color w:val="000000"/>
                <w:szCs w:val="20"/>
              </w:rPr>
            </w:pPr>
            <w:r>
              <w:rPr>
                <w:rFonts w:eastAsia="等线"/>
                <w:color w:val="000000"/>
                <w:szCs w:val="20"/>
              </w:rPr>
              <w:t>1</w:t>
            </w:r>
          </w:p>
        </w:tc>
        <w:tc>
          <w:tcPr>
            <w:tcW w:w="984" w:type="dxa"/>
            <w:vAlign w:val="center"/>
          </w:tcPr>
          <w:p>
            <w:pPr>
              <w:snapToGrid w:val="0"/>
              <w:jc w:val="center"/>
              <w:rPr>
                <w:rFonts w:eastAsia="等线"/>
                <w:color w:val="000000"/>
                <w:szCs w:val="20"/>
              </w:rPr>
            </w:pPr>
            <w:r>
              <w:rPr>
                <w:rFonts w:eastAsia="等线"/>
                <w:color w:val="00000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tcPr>
          <w:p>
            <w:pPr>
              <w:snapToGrid w:val="0"/>
              <w:rPr>
                <w:rFonts w:eastAsia="楷体"/>
                <w:szCs w:val="20"/>
              </w:rPr>
            </w:pPr>
            <w:r>
              <w:rPr>
                <w:rFonts w:eastAsia="楷体"/>
                <w:szCs w:val="20"/>
              </w:rPr>
              <w:t>Dwell time per cell (T</w:t>
            </w:r>
            <w:r>
              <w:rPr>
                <w:rFonts w:eastAsia="楷体"/>
                <w:szCs w:val="20"/>
                <w:vertAlign w:val="subscript"/>
              </w:rPr>
              <w:t>dwell_time</w:t>
            </w:r>
            <w:r>
              <w:rPr>
                <w:rFonts w:eastAsia="楷体"/>
                <w:szCs w:val="20"/>
              </w:rPr>
              <w:t xml:space="preserve">) </w:t>
            </w:r>
            <w:r>
              <w:rPr>
                <w:rFonts w:hint="eastAsia" w:eastAsia="楷体"/>
                <w:szCs w:val="20"/>
              </w:rPr>
              <w:t>[</w:t>
            </w:r>
            <w:r>
              <w:rPr>
                <w:rFonts w:eastAsia="楷体"/>
                <w:szCs w:val="20"/>
              </w:rPr>
              <w:t>ms]</w:t>
            </w:r>
          </w:p>
        </w:tc>
        <w:tc>
          <w:tcPr>
            <w:tcW w:w="1211" w:type="dxa"/>
            <w:vAlign w:val="center"/>
          </w:tcPr>
          <w:p>
            <w:pPr>
              <w:snapToGrid w:val="0"/>
              <w:jc w:val="center"/>
              <w:rPr>
                <w:rFonts w:eastAsia="楷体"/>
                <w:szCs w:val="20"/>
                <w:lang w:eastAsia="zh-CN"/>
              </w:rPr>
            </w:pPr>
            <w:r>
              <w:rPr>
                <w:rFonts w:eastAsia="楷体"/>
                <w:szCs w:val="20"/>
                <w:lang w:eastAsia="zh-CN"/>
              </w:rPr>
              <w:t>5</w:t>
            </w:r>
          </w:p>
        </w:tc>
        <w:tc>
          <w:tcPr>
            <w:tcW w:w="993" w:type="dxa"/>
            <w:vAlign w:val="center"/>
          </w:tcPr>
          <w:p>
            <w:pPr>
              <w:snapToGrid w:val="0"/>
              <w:jc w:val="center"/>
              <w:rPr>
                <w:rFonts w:eastAsia="楷体"/>
                <w:szCs w:val="20"/>
                <w:lang w:eastAsia="zh-CN"/>
              </w:rPr>
            </w:pPr>
            <w:r>
              <w:rPr>
                <w:rFonts w:eastAsia="楷体"/>
                <w:szCs w:val="20"/>
                <w:lang w:eastAsia="zh-CN"/>
              </w:rPr>
              <w:t>20</w:t>
            </w:r>
          </w:p>
        </w:tc>
        <w:tc>
          <w:tcPr>
            <w:tcW w:w="993" w:type="dxa"/>
            <w:vAlign w:val="center"/>
          </w:tcPr>
          <w:p>
            <w:pPr>
              <w:snapToGrid w:val="0"/>
              <w:jc w:val="center"/>
              <w:rPr>
                <w:rFonts w:eastAsia="等线"/>
                <w:color w:val="000000"/>
                <w:szCs w:val="20"/>
                <w:lang w:eastAsia="zh-CN"/>
              </w:rPr>
            </w:pPr>
            <w:r>
              <w:rPr>
                <w:rFonts w:eastAsia="等线"/>
                <w:color w:val="000000"/>
                <w:szCs w:val="20"/>
                <w:lang w:eastAsia="zh-CN"/>
              </w:rPr>
              <w:t>5</w:t>
            </w:r>
          </w:p>
        </w:tc>
        <w:tc>
          <w:tcPr>
            <w:tcW w:w="984" w:type="dxa"/>
            <w:vAlign w:val="center"/>
          </w:tcPr>
          <w:p>
            <w:pPr>
              <w:snapToGrid w:val="0"/>
              <w:jc w:val="center"/>
              <w:rPr>
                <w:rFonts w:eastAsia="等线"/>
                <w:color w:val="000000"/>
                <w:szCs w:val="20"/>
              </w:rPr>
            </w:pPr>
            <w:r>
              <w:rPr>
                <w:rFonts w:eastAsia="楷体"/>
                <w:szCs w:val="20"/>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tcPr>
          <w:p>
            <w:pPr>
              <w:snapToGrid w:val="0"/>
              <w:rPr>
                <w:rFonts w:eastAsia="楷体"/>
                <w:szCs w:val="20"/>
              </w:rPr>
            </w:pPr>
            <w:r>
              <w:rPr>
                <w:rFonts w:eastAsia="楷体"/>
                <w:szCs w:val="20"/>
              </w:rPr>
              <w:t>Revisit time per cell (T</w:t>
            </w:r>
            <w:r>
              <w:rPr>
                <w:rFonts w:eastAsia="楷体"/>
                <w:szCs w:val="20"/>
                <w:vertAlign w:val="subscript"/>
              </w:rPr>
              <w:t>revisit_time</w:t>
            </w:r>
            <w:r>
              <w:rPr>
                <w:rFonts w:eastAsia="楷体"/>
                <w:szCs w:val="20"/>
              </w:rPr>
              <w:t>) [ms]</w:t>
            </w:r>
          </w:p>
        </w:tc>
        <w:tc>
          <w:tcPr>
            <w:tcW w:w="2204" w:type="dxa"/>
            <w:gridSpan w:val="2"/>
            <w:vAlign w:val="center"/>
          </w:tcPr>
          <w:p>
            <w:pPr>
              <w:snapToGrid w:val="0"/>
              <w:jc w:val="center"/>
              <w:rPr>
                <w:rFonts w:eastAsia="楷体"/>
                <w:szCs w:val="20"/>
              </w:rPr>
            </w:pPr>
            <w:r>
              <w:rPr>
                <w:rFonts w:eastAsia="等线"/>
                <w:color w:val="000000"/>
                <w:szCs w:val="20"/>
              </w:rPr>
              <w:t>160</w:t>
            </w:r>
          </w:p>
        </w:tc>
        <w:tc>
          <w:tcPr>
            <w:tcW w:w="1977" w:type="dxa"/>
            <w:gridSpan w:val="2"/>
            <w:vAlign w:val="center"/>
          </w:tcPr>
          <w:p>
            <w:pPr>
              <w:snapToGrid w:val="0"/>
              <w:jc w:val="center"/>
              <w:rPr>
                <w:rFonts w:eastAsia="等线"/>
                <w:color w:val="000000"/>
                <w:szCs w:val="20"/>
              </w:rPr>
            </w:pPr>
            <w:r>
              <w:rPr>
                <w:rFonts w:eastAsia="等线"/>
                <w:color w:val="000000"/>
                <w:szCs w:val="20"/>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shd w:val="clear" w:color="auto" w:fill="92D050"/>
          </w:tcPr>
          <w:p>
            <w:pPr>
              <w:snapToGrid w:val="0"/>
              <w:rPr>
                <w:rFonts w:eastAsia="楷体"/>
                <w:szCs w:val="20"/>
              </w:rPr>
            </w:pPr>
            <w:r>
              <w:rPr>
                <w:rFonts w:eastAsia="楷体"/>
                <w:szCs w:val="20"/>
              </w:rPr>
              <w:t>The number of served beam footprints (N</w:t>
            </w:r>
            <w:r>
              <w:rPr>
                <w:rFonts w:eastAsia="楷体"/>
                <w:szCs w:val="20"/>
                <w:vertAlign w:val="subscript"/>
              </w:rPr>
              <w:t>served_ beam_number</w:t>
            </w:r>
            <w:r>
              <w:rPr>
                <w:rFonts w:eastAsia="楷体"/>
                <w:szCs w:val="20"/>
              </w:rPr>
              <w:t>)</w:t>
            </w:r>
          </w:p>
        </w:tc>
        <w:tc>
          <w:tcPr>
            <w:tcW w:w="1211" w:type="dxa"/>
            <w:shd w:val="clear" w:color="auto" w:fill="92D050"/>
            <w:vAlign w:val="center"/>
          </w:tcPr>
          <w:p>
            <w:pPr>
              <w:snapToGrid w:val="0"/>
              <w:jc w:val="center"/>
              <w:rPr>
                <w:rFonts w:eastAsia="楷体"/>
                <w:szCs w:val="20"/>
                <w:lang w:eastAsia="zh-CN"/>
              </w:rPr>
            </w:pPr>
            <w:r>
              <w:rPr>
                <w:rFonts w:eastAsia="楷体"/>
                <w:szCs w:val="20"/>
                <w:lang w:eastAsia="zh-CN"/>
              </w:rPr>
              <w:t>3392</w:t>
            </w:r>
          </w:p>
        </w:tc>
        <w:tc>
          <w:tcPr>
            <w:tcW w:w="993" w:type="dxa"/>
            <w:shd w:val="clear" w:color="auto" w:fill="92D050"/>
            <w:vAlign w:val="center"/>
          </w:tcPr>
          <w:p>
            <w:pPr>
              <w:snapToGrid w:val="0"/>
              <w:jc w:val="center"/>
              <w:rPr>
                <w:rFonts w:eastAsia="楷体"/>
                <w:szCs w:val="20"/>
                <w:lang w:eastAsia="zh-CN"/>
              </w:rPr>
            </w:pPr>
            <w:r>
              <w:rPr>
                <w:rFonts w:eastAsia="楷体"/>
                <w:szCs w:val="20"/>
                <w:lang w:eastAsia="zh-CN"/>
              </w:rPr>
              <w:t>3392</w:t>
            </w:r>
          </w:p>
        </w:tc>
        <w:tc>
          <w:tcPr>
            <w:tcW w:w="993" w:type="dxa"/>
            <w:shd w:val="clear" w:color="auto" w:fill="92D050"/>
            <w:vAlign w:val="center"/>
          </w:tcPr>
          <w:p>
            <w:pPr>
              <w:snapToGrid w:val="0"/>
              <w:jc w:val="center"/>
              <w:rPr>
                <w:rFonts w:eastAsia="等线"/>
                <w:color w:val="000000"/>
                <w:szCs w:val="20"/>
              </w:rPr>
            </w:pPr>
            <w:r>
              <w:rPr>
                <w:rFonts w:eastAsia="等线"/>
                <w:color w:val="000000"/>
                <w:szCs w:val="20"/>
              </w:rPr>
              <w:t>512</w:t>
            </w:r>
          </w:p>
        </w:tc>
        <w:tc>
          <w:tcPr>
            <w:tcW w:w="984" w:type="dxa"/>
            <w:shd w:val="clear" w:color="auto" w:fill="92D050"/>
            <w:vAlign w:val="center"/>
          </w:tcPr>
          <w:p>
            <w:pPr>
              <w:snapToGrid w:val="0"/>
              <w:jc w:val="center"/>
              <w:rPr>
                <w:rFonts w:eastAsia="等线"/>
                <w:color w:val="000000"/>
                <w:szCs w:val="20"/>
                <w:lang w:eastAsia="zh-CN"/>
              </w:rPr>
            </w:pPr>
            <w:r>
              <w:rPr>
                <w:rFonts w:eastAsia="等线"/>
                <w:color w:val="000000"/>
                <w:szCs w:val="20"/>
                <w:lang w:eastAsia="zh-CN"/>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881" w:type="dxa"/>
            <w:shd w:val="clear" w:color="auto" w:fill="92D050"/>
          </w:tcPr>
          <w:p>
            <w:pPr>
              <w:snapToGrid w:val="0"/>
              <w:rPr>
                <w:rFonts w:eastAsia="楷体"/>
                <w:szCs w:val="20"/>
              </w:rPr>
            </w:pPr>
            <w:r>
              <w:rPr>
                <w:rFonts w:eastAsia="楷体"/>
                <w:szCs w:val="20"/>
              </w:rPr>
              <w:t>Coverage ratio (P</w:t>
            </w:r>
            <w:r>
              <w:rPr>
                <w:rFonts w:eastAsia="楷体"/>
                <w:szCs w:val="20"/>
                <w:vertAlign w:val="subscript"/>
              </w:rPr>
              <w:t>cov</w:t>
            </w:r>
            <w:r>
              <w:rPr>
                <w:rFonts w:eastAsia="楷体"/>
                <w:szCs w:val="20"/>
              </w:rPr>
              <w:t>)</w:t>
            </w:r>
          </w:p>
        </w:tc>
        <w:tc>
          <w:tcPr>
            <w:tcW w:w="1211" w:type="dxa"/>
            <w:shd w:val="clear" w:color="auto" w:fill="92D050"/>
            <w:vAlign w:val="center"/>
          </w:tcPr>
          <w:p>
            <w:pPr>
              <w:snapToGrid w:val="0"/>
              <w:jc w:val="center"/>
              <w:rPr>
                <w:rFonts w:eastAsia="楷体"/>
                <w:color w:val="FF0000"/>
                <w:szCs w:val="20"/>
              </w:rPr>
            </w:pPr>
            <w:r>
              <w:rPr>
                <w:rFonts w:eastAsia="等线"/>
                <w:color w:val="000000"/>
                <w:szCs w:val="20"/>
              </w:rPr>
              <w:t>&gt;100%</w:t>
            </w:r>
          </w:p>
        </w:tc>
        <w:tc>
          <w:tcPr>
            <w:tcW w:w="993" w:type="dxa"/>
            <w:shd w:val="clear" w:color="auto" w:fill="92D050"/>
            <w:vAlign w:val="center"/>
          </w:tcPr>
          <w:p>
            <w:pPr>
              <w:snapToGrid w:val="0"/>
              <w:jc w:val="center"/>
              <w:rPr>
                <w:rFonts w:eastAsia="楷体"/>
                <w:color w:val="FF0000"/>
                <w:szCs w:val="20"/>
              </w:rPr>
            </w:pPr>
            <w:r>
              <w:rPr>
                <w:rFonts w:eastAsia="等线"/>
                <w:color w:val="000000"/>
                <w:szCs w:val="20"/>
              </w:rPr>
              <w:t>&gt;100%</w:t>
            </w:r>
          </w:p>
        </w:tc>
        <w:tc>
          <w:tcPr>
            <w:tcW w:w="993" w:type="dxa"/>
            <w:shd w:val="clear" w:color="auto" w:fill="92D050"/>
            <w:vAlign w:val="center"/>
          </w:tcPr>
          <w:p>
            <w:pPr>
              <w:snapToGrid w:val="0"/>
              <w:jc w:val="center"/>
              <w:rPr>
                <w:rFonts w:eastAsia="等线"/>
                <w:color w:val="000000"/>
                <w:szCs w:val="20"/>
              </w:rPr>
            </w:pPr>
            <w:r>
              <w:rPr>
                <w:rFonts w:eastAsia="等线"/>
                <w:color w:val="000000"/>
                <w:szCs w:val="20"/>
              </w:rPr>
              <w:t>48%</w:t>
            </w:r>
          </w:p>
        </w:tc>
        <w:tc>
          <w:tcPr>
            <w:tcW w:w="984" w:type="dxa"/>
            <w:shd w:val="clear" w:color="auto" w:fill="92D050"/>
            <w:vAlign w:val="center"/>
          </w:tcPr>
          <w:p>
            <w:pPr>
              <w:snapToGrid w:val="0"/>
              <w:jc w:val="center"/>
              <w:rPr>
                <w:rFonts w:eastAsia="等线"/>
                <w:color w:val="000000"/>
                <w:szCs w:val="20"/>
              </w:rPr>
            </w:pPr>
            <w:r>
              <w:rPr>
                <w:rFonts w:eastAsia="等线"/>
                <w:color w:val="000000"/>
                <w:szCs w:val="20"/>
              </w:rPr>
              <w:t>48%</w:t>
            </w:r>
          </w:p>
        </w:tc>
      </w:tr>
    </w:tbl>
    <w:p>
      <w:pPr>
        <w:pStyle w:val="3"/>
        <w:spacing w:after="0" w:line="252" w:lineRule="auto"/>
        <w:rPr>
          <w:rFonts w:ascii="Times" w:hAnsi="Times" w:eastAsiaTheme="minorEastAsia"/>
          <w:bCs/>
          <w:lang w:val="en-GB" w:eastAsia="zh-CN"/>
        </w:rPr>
      </w:pP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As shown in Table 2, when beam hopping is assumed and </w:t>
      </w:r>
      <w:bookmarkStart w:id="1" w:name="_Hlk178237856"/>
      <w:r>
        <w:rPr>
          <w:rFonts w:ascii="Times" w:hAnsi="Times" w:eastAsiaTheme="minorEastAsia"/>
          <w:bCs/>
          <w:lang w:val="en-GB" w:eastAsia="zh-CN"/>
        </w:rPr>
        <w:t xml:space="preserve">SSB periodicity is </w:t>
      </w:r>
      <w:bookmarkEnd w:id="1"/>
      <w:r>
        <w:rPr>
          <w:rFonts w:ascii="Times" w:hAnsi="Times" w:eastAsiaTheme="minorEastAsia"/>
          <w:bCs/>
          <w:lang w:val="en-GB" w:eastAsia="zh-CN"/>
        </w:rPr>
        <w:t xml:space="preserve">extended to 160ms in the system-level evaluation, the coverage ratio is larger than 100% for LEO600 set 1-1/set 1-3 and 48% for LEO600 set 1-2, whether </w:t>
      </w:r>
      <w:r>
        <w:rPr>
          <w:rFonts w:ascii="Times" w:hAnsi="Times" w:eastAsiaTheme="minorEastAsia"/>
          <w:bCs/>
          <w:lang w:eastAsia="zh-CN"/>
        </w:rPr>
        <w:t>N</w:t>
      </w:r>
      <w:r>
        <w:rPr>
          <w:rFonts w:ascii="Times" w:hAnsi="Times" w:eastAsiaTheme="minorEastAsia"/>
          <w:bCs/>
          <w:vertAlign w:val="subscript"/>
          <w:lang w:eastAsia="zh-CN"/>
        </w:rPr>
        <w:t>SSB</w:t>
      </w:r>
      <w:r>
        <w:rPr>
          <w:rFonts w:ascii="Times" w:hAnsi="Times" w:eastAsiaTheme="minorEastAsia"/>
          <w:bCs/>
          <w:lang w:eastAsia="zh-CN"/>
        </w:rPr>
        <w:t xml:space="preserve"> = 1</w:t>
      </w:r>
      <w:r>
        <w:rPr>
          <w:rFonts w:ascii="Times" w:hAnsi="Times" w:eastAsiaTheme="minorEastAsia"/>
          <w:bCs/>
          <w:lang w:val="en-GB" w:eastAsia="zh-CN"/>
        </w:rPr>
        <w:t xml:space="preserve"> or </w:t>
      </w:r>
      <w:r>
        <w:rPr>
          <w:rFonts w:ascii="Times" w:hAnsi="Times" w:eastAsiaTheme="minorEastAsia"/>
          <w:bCs/>
          <w:lang w:eastAsia="zh-CN"/>
        </w:rPr>
        <w:t>N</w:t>
      </w:r>
      <w:r>
        <w:rPr>
          <w:rFonts w:ascii="Times" w:hAnsi="Times" w:eastAsiaTheme="minorEastAsia"/>
          <w:bCs/>
          <w:vertAlign w:val="subscript"/>
          <w:lang w:eastAsia="zh-CN"/>
        </w:rPr>
        <w:t>SSB</w:t>
      </w:r>
      <w:r>
        <w:rPr>
          <w:rFonts w:ascii="Times" w:hAnsi="Times" w:eastAsiaTheme="minorEastAsia"/>
          <w:bCs/>
          <w:lang w:eastAsia="zh-CN"/>
        </w:rPr>
        <w:t xml:space="preserve"> = 4</w:t>
      </w:r>
      <w:r>
        <w:rPr>
          <w:rFonts w:ascii="Times" w:hAnsi="Times" w:eastAsiaTheme="minorEastAsia"/>
          <w:bCs/>
          <w:lang w:val="en-GB" w:eastAsia="zh-CN"/>
        </w:rPr>
        <w:t>.</w:t>
      </w:r>
    </w:p>
    <w:p>
      <w:pPr>
        <w:pStyle w:val="3"/>
        <w:spacing w:line="252" w:lineRule="auto"/>
        <w:rPr>
          <w:rFonts w:ascii="Times" w:hAnsi="Times" w:eastAsia="Batang"/>
          <w:b/>
          <w:lang w:val="en-GB"/>
        </w:rPr>
      </w:pPr>
      <w:r>
        <w:rPr>
          <w:rFonts w:ascii="Times" w:hAnsi="Times" w:eastAsia="Batang"/>
          <w:b/>
          <w:lang w:val="en-GB"/>
        </w:rPr>
        <w:t>Observation 1</w:t>
      </w:r>
      <w:r>
        <w:rPr>
          <w:rFonts w:hint="eastAsia" w:ascii="Times" w:hAnsi="Times" w:eastAsia="Batang"/>
          <w:b/>
          <w:lang w:val="en-GB"/>
        </w:rPr>
        <w:t>:</w:t>
      </w:r>
      <w:r>
        <w:rPr>
          <w:rFonts w:ascii="Times" w:hAnsi="Times" w:eastAsia="Batang"/>
          <w:b/>
          <w:lang w:val="en-GB"/>
        </w:rPr>
        <w:t xml:space="preserve"> When SSB periodicity is extended to 160ms, the coverage ratio is larger than 100% for LEO600 set 1-1/set 1-3 and 48% for LEO600 set 1-2.</w:t>
      </w:r>
    </w:p>
    <w:p>
      <w:pPr>
        <w:pStyle w:val="3"/>
        <w:spacing w:line="252" w:lineRule="auto"/>
        <w:rPr>
          <w:rFonts w:ascii="Times" w:hAnsi="Times" w:eastAsia="Batang"/>
          <w:bCs/>
          <w:lang w:val="en-GB"/>
        </w:rPr>
      </w:pPr>
      <w:r>
        <w:rPr>
          <w:rFonts w:ascii="Times" w:hAnsi="Times" w:eastAsia="Batang"/>
          <w:bCs/>
          <w:lang w:val="en-GB"/>
        </w:rPr>
        <w:t xml:space="preserve">Considering LEO600 set 1-2 still cannot achieve 100% coverage ratio, some companies proposed to further extend the SSB periodicity to 320ms. However, the </w:t>
      </w:r>
      <w:r>
        <w:rPr>
          <w:rFonts w:ascii="Times" w:hAnsi="Times" w:eastAsiaTheme="minorEastAsia"/>
          <w:bCs/>
          <w:lang w:val="en-GB" w:eastAsia="zh-CN"/>
        </w:rPr>
        <w:t xml:space="preserve">extended SSB periodicity of 320ms leads to backward compatibility issue for several reasons. Firstly, the current SSB periodicity can be configured by </w:t>
      </w:r>
      <w:r>
        <w:rPr>
          <w:rFonts w:eastAsia="宋体"/>
          <w:i/>
          <w:iCs/>
          <w:szCs w:val="20"/>
          <w:lang w:eastAsia="zh-CN"/>
        </w:rPr>
        <w:t>ssb-periodicityServingCell</w:t>
      </w:r>
      <w:r>
        <w:rPr>
          <w:rFonts w:ascii="Times" w:hAnsi="Times" w:eastAsiaTheme="minorEastAsia"/>
          <w:bCs/>
          <w:lang w:val="en-GB" w:eastAsia="zh-CN"/>
        </w:rPr>
        <w:t xml:space="preserve"> with one value from {5ms, 10ms, 20ms, 40ms, 80ms, 160ms}, so the SSB periodicity larger than 160ms cannot be interpreted by the legacy UE prior to R19. Besides that, RAN4 specifies that “</w:t>
      </w:r>
      <w:r>
        <w:rPr>
          <w:rFonts w:eastAsia="宋体" w:cs="v4.2.0"/>
        </w:rPr>
        <w:t>The UE shall meet the T</w:t>
      </w:r>
      <w:r>
        <w:rPr>
          <w:rFonts w:eastAsia="宋体" w:cs="v4.2.0"/>
          <w:vertAlign w:val="subscript"/>
        </w:rPr>
        <w:t>e_NTN</w:t>
      </w:r>
      <w:r>
        <w:rPr>
          <w:rFonts w:eastAsia="宋体" w:cs="v4.2.0"/>
        </w:rPr>
        <w:t xml:space="preserve"> requirement for an initial transmission provided that at least one SSB is available at the UE during the last 160 ms</w:t>
      </w:r>
      <w:r>
        <w:rPr>
          <w:rFonts w:ascii="Times" w:hAnsi="Times" w:eastAsiaTheme="minorEastAsia"/>
          <w:bCs/>
          <w:lang w:val="en-GB" w:eastAsia="zh-CN"/>
        </w:rPr>
        <w:t>” in TS 38.133. In this matter, if no SSB is available during 160ms, the requirement for an initial transmission timing cannot be satisfied by the legacy UE and whether the transmission beyond 160ms can be performed may need RAN4’s discussion. Therefore, as least from the perspective of the backward compatibility, the extended SSB periodicity of 320ms should not be considered.</w:t>
      </w:r>
    </w:p>
    <w:p>
      <w:pPr>
        <w:pStyle w:val="3"/>
        <w:spacing w:line="252" w:lineRule="auto"/>
        <w:rPr>
          <w:rFonts w:ascii="Times" w:hAnsi="Times" w:eastAsia="Batang"/>
          <w:b/>
          <w:lang w:val="en-GB"/>
        </w:rPr>
      </w:pPr>
      <w:r>
        <w:rPr>
          <w:rFonts w:ascii="Times" w:hAnsi="Times" w:eastAsia="Batang"/>
          <w:b/>
          <w:lang w:val="en-GB"/>
        </w:rPr>
        <w:t>Observation 2</w:t>
      </w:r>
      <w:r>
        <w:rPr>
          <w:rFonts w:hint="eastAsia" w:ascii="Times" w:hAnsi="Times" w:eastAsia="Batang"/>
          <w:b/>
          <w:lang w:val="en-GB"/>
        </w:rPr>
        <w:t>:</w:t>
      </w:r>
      <w:r>
        <w:rPr>
          <w:rFonts w:ascii="Times" w:hAnsi="Times" w:eastAsia="Batang"/>
          <w:b/>
          <w:lang w:val="en-GB"/>
        </w:rPr>
        <w:t xml:space="preserve"> The extended SSB periodicity of 320ms leads to backward compatibility issue from the aspect of SSB periodicity configuration and initial transmission timing requirement.</w:t>
      </w:r>
      <w:r>
        <w:rPr>
          <w:rFonts w:hint="eastAsia" w:ascii="Times" w:hAnsi="Times" w:eastAsia="宋体"/>
          <w:b/>
          <w:lang w:val="en-US" w:eastAsia="zh-CN"/>
        </w:rPr>
        <w:t xml:space="preserve"> While extending SSB periodicity to 160 ms does not have such issue. </w:t>
      </w:r>
    </w:p>
    <w:p>
      <w:pPr>
        <w:pStyle w:val="3"/>
        <w:spacing w:line="252" w:lineRule="auto"/>
        <w:rPr>
          <w:rFonts w:ascii="Times" w:hAnsi="Times" w:eastAsia="Batang"/>
          <w:b/>
          <w:lang w:val="en-GB"/>
        </w:rPr>
      </w:pPr>
      <w:r>
        <w:rPr>
          <w:rFonts w:ascii="Times" w:hAnsi="Times" w:eastAsia="Batang"/>
          <w:b/>
          <w:lang w:val="en-GB"/>
        </w:rPr>
        <w:t>Proposal 1</w:t>
      </w:r>
      <w:r>
        <w:rPr>
          <w:rFonts w:hint="eastAsia" w:ascii="Times" w:hAnsi="Times" w:eastAsia="Batang"/>
          <w:b/>
          <w:lang w:val="en-GB"/>
        </w:rPr>
        <w:t>:</w:t>
      </w:r>
      <w:r>
        <w:rPr>
          <w:rFonts w:ascii="Times" w:hAnsi="Times" w:eastAsia="Batang"/>
          <w:b/>
          <w:lang w:val="en-GB"/>
        </w:rPr>
        <w:t xml:space="preserve"> Extending SSB periodicity </w:t>
      </w:r>
      <w:r>
        <w:rPr>
          <w:rFonts w:hint="eastAsia" w:ascii="Times" w:hAnsi="Times" w:eastAsia="宋体"/>
          <w:b/>
          <w:lang w:val="en-US" w:eastAsia="zh-CN"/>
        </w:rPr>
        <w:t>larger than 160 ms</w:t>
      </w:r>
      <w:r>
        <w:rPr>
          <w:rFonts w:ascii="Times" w:hAnsi="Times" w:eastAsia="Batang"/>
          <w:b/>
          <w:lang w:val="en-GB"/>
        </w:rPr>
        <w:t xml:space="preserve"> is not considered in R19 NR NTN. </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Due to the small number of simultaneously active beams for LEO600 set 1-2, some companies proposed an NTN deployment scenario with wider beam footprint in the previous meetings. In our previous contribution [3], when a wider beam footprint covering 4 narrow beams is implemented, SSB periodicity of 80ms can provide 96.6% coverage ratio. Furthermore, when SSB periodicity of 160ms is used, the coverage ratio will be much larger than 100% for LEO600 set 1-2. </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Using a wider beam footprint covering 4 narrow beams will result in DL CNR loss of 6dB. However, for LEO600 set 1-2, even with DL CNR reduction of 6dB, there is still 2dB margin compared to LEO600 set 1-3, so the observations on link-level evaluation and the targeted link-level enhancements agreed in the previous meetings still hold. Thus, the wide beam footprint can be left for gNB implementation.</w:t>
      </w:r>
    </w:p>
    <w:p>
      <w:pPr>
        <w:pStyle w:val="3"/>
        <w:spacing w:line="252" w:lineRule="auto"/>
        <w:rPr>
          <w:rFonts w:ascii="Times" w:hAnsi="Times" w:eastAsia="Batang"/>
          <w:b/>
          <w:lang w:val="en-GB"/>
        </w:rPr>
      </w:pPr>
      <w:r>
        <w:rPr>
          <w:rFonts w:ascii="Times" w:hAnsi="Times" w:eastAsia="Batang"/>
          <w:b/>
          <w:lang w:val="en-GB"/>
        </w:rPr>
        <w:t>Observation 3</w:t>
      </w:r>
      <w:r>
        <w:rPr>
          <w:rFonts w:hint="eastAsia" w:ascii="Times" w:hAnsi="Times" w:eastAsia="Batang"/>
          <w:b/>
          <w:lang w:val="en-GB"/>
        </w:rPr>
        <w:t>:</w:t>
      </w:r>
      <w:r>
        <w:rPr>
          <w:rFonts w:ascii="Times" w:hAnsi="Times" w:eastAsia="Batang"/>
          <w:b/>
          <w:lang w:val="en-GB"/>
        </w:rPr>
        <w:t xml:space="preserve"> When a wider beam footprint covering 4 narrow beams is used, which can be left for gNB implementation, a SSB periodicity of 160ms can achieve 100% coverage ratio for LEO600 set 1-2, and the SSB periodicity of 320ms is not needed.</w:t>
      </w:r>
    </w:p>
    <w:p>
      <w:pPr>
        <w:pStyle w:val="3"/>
        <w:spacing w:after="0" w:line="252" w:lineRule="auto"/>
        <w:rPr>
          <w:rFonts w:ascii="Times" w:hAnsi="Times" w:eastAsiaTheme="minorEastAsia"/>
          <w:bCs/>
          <w:lang w:val="en-GB" w:eastAsia="zh-CN"/>
        </w:rPr>
      </w:pPr>
    </w:p>
    <w:p>
      <w:pPr>
        <w:pStyle w:val="5"/>
        <w:spacing w:before="120" w:after="120"/>
        <w:ind w:left="0" w:firstLine="0"/>
        <w:rPr>
          <w:rFonts w:ascii="Times New Roman" w:hAnsi="Times New Roman" w:cs="Times New Roman"/>
          <w:sz w:val="20"/>
          <w:szCs w:val="20"/>
          <w:lang w:eastAsia="zh-CN"/>
        </w:rPr>
      </w:pPr>
      <w:r>
        <w:rPr>
          <w:rFonts w:ascii="Times New Roman" w:hAnsi="Times New Roman" w:eastAsia="Batang" w:cs="Times New Roman"/>
          <w:sz w:val="20"/>
          <w:szCs w:val="20"/>
          <w:lang w:val="en-GB"/>
        </w:rPr>
        <w:t>Cell DTX/DRX</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System-level enhancement to improve the DL coverage ratio leans on the beam hopping mechanism, even for SSB periodicity extension. Also, we note that the system-level evaluations from companies are all conducted based on beam hopping procedure. That is why the WID points out Rel-18 network energy saving techniques should be considered as baseline in the system level study. However, R18 cell DTX / DRX only control the UE’s monitoring activity of PDCCH and configured downlink assignments / Scheduling Request and configured uplink grant transmission in RRC connected state, and other transmissions (e.g., dynamic scheduled transmissions/repetitions, random access procedure) are not impacted. In our understanding, when beam hopping is implemented in NR NTN, the UE cannot receive/transmit any signal/channel </w:t>
      </w:r>
      <w:bookmarkStart w:id="2" w:name="_Hlk178325494"/>
      <w:r>
        <w:rPr>
          <w:rFonts w:ascii="Times" w:hAnsi="Times" w:eastAsiaTheme="minorEastAsia"/>
          <w:bCs/>
          <w:lang w:val="en-GB" w:eastAsia="zh-CN"/>
        </w:rPr>
        <w:t>during non-active periods of cell DTX/DRX</w:t>
      </w:r>
      <w:bookmarkEnd w:id="2"/>
      <w:r>
        <w:rPr>
          <w:rFonts w:ascii="Times" w:hAnsi="Times" w:eastAsiaTheme="minorEastAsia"/>
          <w:bCs/>
          <w:lang w:val="en-GB" w:eastAsia="zh-CN"/>
        </w:rPr>
        <w:t xml:space="preserve">, regardless of the UEs in connected mode or idle mode. Thus, </w:t>
      </w:r>
      <w:bookmarkStart w:id="3" w:name="_Hlk178325395"/>
      <w:r>
        <w:rPr>
          <w:rFonts w:ascii="Times" w:hAnsi="Times" w:eastAsiaTheme="minorEastAsia"/>
          <w:bCs/>
          <w:lang w:val="en-GB" w:eastAsia="zh-CN"/>
        </w:rPr>
        <w:t>enhancements on cell DTX/DRX should be considered as the targeted system-level enhancements in R19 NR NTN.</w:t>
      </w:r>
      <w:bookmarkEnd w:id="3"/>
    </w:p>
    <w:p>
      <w:pPr>
        <w:pStyle w:val="3"/>
        <w:spacing w:after="0" w:line="252" w:lineRule="auto"/>
        <w:rPr>
          <w:rFonts w:ascii="Times" w:hAnsi="Times" w:eastAsia="Batang"/>
          <w:b/>
          <w:lang w:val="en-GB"/>
        </w:rPr>
      </w:pPr>
      <w:r>
        <w:rPr>
          <w:rFonts w:ascii="Times" w:hAnsi="Times" w:eastAsia="Batang"/>
          <w:b/>
          <w:lang w:val="en-GB"/>
        </w:rPr>
        <w:t>Proposal 2</w:t>
      </w:r>
      <w:r>
        <w:rPr>
          <w:rFonts w:hint="eastAsia" w:ascii="Times" w:hAnsi="Times" w:eastAsia="Batang"/>
          <w:b/>
          <w:lang w:val="en-GB"/>
        </w:rPr>
        <w:t>:</w:t>
      </w:r>
      <w:r>
        <w:rPr>
          <w:rFonts w:ascii="Times" w:hAnsi="Times" w:eastAsia="Batang"/>
          <w:b/>
          <w:lang w:val="en-GB"/>
        </w:rPr>
        <w:t xml:space="preserve"> Enhancements on cell DTX/DRX should be considered as the targeted system-level enhancements in R19 NR NTN.</w:t>
      </w:r>
    </w:p>
    <w:p>
      <w:pPr>
        <w:pStyle w:val="3"/>
        <w:numPr>
          <w:ilvl w:val="0"/>
          <w:numId w:val="10"/>
        </w:numPr>
        <w:spacing w:after="0" w:line="252" w:lineRule="auto"/>
        <w:rPr>
          <w:rFonts w:ascii="Times" w:hAnsi="Times" w:eastAsia="Batang"/>
          <w:b/>
          <w:lang w:val="en-GB"/>
        </w:rPr>
      </w:pPr>
      <w:r>
        <w:rPr>
          <w:rFonts w:ascii="Times" w:hAnsi="Times" w:eastAsiaTheme="minorEastAsia"/>
          <w:b/>
          <w:lang w:val="en-GB" w:eastAsia="zh-CN"/>
        </w:rPr>
        <w:t>Support a new cell DTX/DRX mechanism, during non-active periods of cell DTX/DRX, the UE does not expect to receive/transmit any signal/channel.</w:t>
      </w:r>
    </w:p>
    <w:p>
      <w:pPr>
        <w:pStyle w:val="3"/>
        <w:numPr>
          <w:ilvl w:val="0"/>
          <w:numId w:val="10"/>
        </w:numPr>
        <w:spacing w:line="252" w:lineRule="auto"/>
        <w:rPr>
          <w:rFonts w:ascii="Times" w:hAnsi="Times" w:eastAsia="Batang"/>
          <w:b/>
          <w:lang w:val="en-GB"/>
        </w:rPr>
      </w:pPr>
      <w:r>
        <w:rPr>
          <w:rFonts w:ascii="Times" w:hAnsi="Times" w:eastAsiaTheme="minorEastAsia"/>
          <w:b/>
          <w:lang w:val="en-GB" w:eastAsia="zh-CN"/>
        </w:rPr>
        <w:t>The cell DTX/DRX pattern supported in R19 NR NTN apply to UE in idle mode and connected mode.</w:t>
      </w:r>
    </w:p>
    <w:p>
      <w:pPr>
        <w:pStyle w:val="3"/>
        <w:spacing w:after="0" w:line="252" w:lineRule="auto"/>
        <w:rPr>
          <w:rFonts w:eastAsiaTheme="minorEastAsia"/>
          <w:lang w:val="en-GB" w:eastAsia="zh-CN"/>
        </w:rPr>
      </w:pPr>
    </w:p>
    <w:p>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Link level enhancement</w:t>
      </w:r>
    </w:p>
    <w:p>
      <w:pPr>
        <w:pStyle w:val="3"/>
        <w:spacing w:line="252" w:lineRule="auto"/>
        <w:rPr>
          <w:rFonts w:ascii="Times" w:hAnsi="Times" w:eastAsiaTheme="minorEastAsia"/>
          <w:bCs/>
          <w:lang w:eastAsia="zh-CN"/>
        </w:rPr>
      </w:pPr>
      <w:r>
        <w:rPr>
          <w:rFonts w:hint="eastAsia" w:ascii="Times" w:hAnsi="Times" w:eastAsiaTheme="minorEastAsia"/>
          <w:bCs/>
          <w:lang w:eastAsia="zh-CN"/>
        </w:rPr>
        <w:t>I</w:t>
      </w:r>
      <w:r>
        <w:rPr>
          <w:rFonts w:ascii="Times" w:hAnsi="Times" w:eastAsiaTheme="minorEastAsia"/>
          <w:bCs/>
          <w:lang w:eastAsia="zh-CN"/>
        </w:rPr>
        <w:t xml:space="preserve">n RAN1#118bis meeting, it was firstly agreed to support PDCCH CSS except Type3 as the targeted physical channel for link level enhancements, and a CNR of -8dB is determined as the target of link-level enhancement in R19 NR NTN DL CovEnh. In RAN1#117 meeting, a series of observations w.r.t. different DL physical channels have been made, and the required SNRs in average are summarized in Table 3. The coverage gap is -6dB – (-8dB) = 2dB, so 2 PDCCH repetitions is enough to compensate the coverage gap. Other solutions to enhance PDCCH coverage need greater spec effort and should be deprioritized. For example, CORESET length extension requires to re-design the CCE-REG mapping and REG bundles, and </w:t>
      </w:r>
      <w:r>
        <w:rPr>
          <w:rFonts w:eastAsia="Batang"/>
          <w:szCs w:val="20"/>
          <w:lang w:val="en-GB" w:eastAsia="zh-CN"/>
        </w:rPr>
        <w:t>DCI format optimization needs further discussion for each RNTI and is not feasible for some RNTIs (e.g., TC-RNTI). Thus, PDCCH repetition should be considered in priority.</w:t>
      </w:r>
    </w:p>
    <w:p>
      <w:pPr>
        <w:pStyle w:val="3"/>
        <w:spacing w:after="0" w:line="252" w:lineRule="auto"/>
        <w:jc w:val="center"/>
        <w:rPr>
          <w:rFonts w:ascii="Times" w:hAnsi="Times" w:eastAsiaTheme="minorEastAsia"/>
          <w:bCs/>
          <w:lang w:val="en-GB" w:eastAsia="zh-CN"/>
        </w:rPr>
      </w:pPr>
      <w:r>
        <w:rPr>
          <w:rFonts w:eastAsia="等线"/>
          <w:kern w:val="2"/>
          <w:szCs w:val="20"/>
          <w:lang w:eastAsia="zh-CN"/>
        </w:rPr>
        <w:t xml:space="preserve">Table 3. </w:t>
      </w:r>
      <w:r>
        <w:rPr>
          <w:rFonts w:ascii="Times" w:hAnsi="Times" w:eastAsiaTheme="minorEastAsia"/>
          <w:bCs/>
          <w:lang w:val="en-GB" w:eastAsia="zh-CN"/>
        </w:rPr>
        <w:t>Required SNR in average w.r.t. different DL physical channels</w:t>
      </w:r>
    </w:p>
    <w:tbl>
      <w:tblPr>
        <w:tblStyle w:val="21"/>
        <w:tblW w:w="3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shd w:val="clear" w:color="auto" w:fill="00B0F0"/>
          </w:tcPr>
          <w:p>
            <w:pPr>
              <w:jc w:val="center"/>
              <w:rPr>
                <w:rFonts w:eastAsia="楷体"/>
              </w:rPr>
            </w:pPr>
            <w:r>
              <w:rPr>
                <w:rFonts w:eastAsia="楷体"/>
              </w:rPr>
              <w:t>Physical channel</w:t>
            </w:r>
          </w:p>
        </w:tc>
        <w:tc>
          <w:tcPr>
            <w:tcW w:w="1637" w:type="dxa"/>
            <w:shd w:val="clear" w:color="auto" w:fill="00B0F0"/>
          </w:tcPr>
          <w:p>
            <w:pPr>
              <w:jc w:val="center"/>
              <w:rPr>
                <w:rFonts w:eastAsia="楷体"/>
              </w:rPr>
            </w:pPr>
            <w:r>
              <w:rPr>
                <w:rFonts w:eastAsia="楷体"/>
              </w:rPr>
              <w:t>Required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rPr>
            </w:pPr>
            <w:r>
              <w:rPr>
                <w:rFonts w:eastAsia="楷体"/>
              </w:rPr>
              <w:t>PDCCH</w:t>
            </w:r>
          </w:p>
        </w:tc>
        <w:tc>
          <w:tcPr>
            <w:tcW w:w="1637" w:type="dxa"/>
            <w:vAlign w:val="center"/>
          </w:tcPr>
          <w:p>
            <w:pPr>
              <w:jc w:val="center"/>
              <w:rPr>
                <w:rFonts w:eastAsia="楷体"/>
              </w:rPr>
            </w:pPr>
            <w:r>
              <w:rPr>
                <w:rFonts w:eastAsia="Batang"/>
                <w:color w:val="FF0000"/>
                <w:szCs w:val="20"/>
                <w:lang w:val="en-GB" w:eastAsia="zh-CN"/>
              </w:rPr>
              <w:t xml:space="preserve">– </w:t>
            </w:r>
            <w:r>
              <w:rPr>
                <w:rFonts w:eastAsia="楷体"/>
                <w:color w:val="FF0000"/>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rPr>
            </w:pPr>
            <w:r>
              <w:rPr>
                <w:rFonts w:eastAsia="楷体"/>
              </w:rPr>
              <w:t>PDSCH Msg2</w:t>
            </w:r>
          </w:p>
        </w:tc>
        <w:tc>
          <w:tcPr>
            <w:tcW w:w="1637" w:type="dxa"/>
            <w:vAlign w:val="center"/>
          </w:tcPr>
          <w:p>
            <w:pPr>
              <w:jc w:val="center"/>
              <w:rPr>
                <w:rFonts w:eastAsia="楷体"/>
              </w:rPr>
            </w:pPr>
            <w:r>
              <w:rPr>
                <w:rFonts w:eastAsia="Batang"/>
                <w:szCs w:val="20"/>
                <w:lang w:val="en-GB" w:eastAsia="zh-CN"/>
              </w:rPr>
              <w:t>– 10.9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rPr>
            </w:pPr>
            <w:r>
              <w:rPr>
                <w:rFonts w:eastAsia="楷体"/>
              </w:rPr>
              <w:t>PDSCH Msg4</w:t>
            </w:r>
          </w:p>
        </w:tc>
        <w:tc>
          <w:tcPr>
            <w:tcW w:w="1637" w:type="dxa"/>
            <w:vAlign w:val="center"/>
          </w:tcPr>
          <w:p>
            <w:pPr>
              <w:jc w:val="center"/>
              <w:rPr>
                <w:rFonts w:eastAsia="楷体"/>
              </w:rPr>
            </w:pPr>
            <w:r>
              <w:rPr>
                <w:rFonts w:eastAsia="Batang"/>
                <w:color w:val="FF0000"/>
                <w:szCs w:val="20"/>
                <w:lang w:val="en-GB" w:eastAsia="zh-CN"/>
              </w:rPr>
              <w:t>– 5.2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rPr>
            </w:pPr>
            <w:r>
              <w:rPr>
                <w:rFonts w:eastAsia="楷体"/>
              </w:rPr>
              <w:t>PDSCH SIB1 opt 1</w:t>
            </w:r>
          </w:p>
        </w:tc>
        <w:tc>
          <w:tcPr>
            <w:tcW w:w="1637" w:type="dxa"/>
            <w:vAlign w:val="center"/>
          </w:tcPr>
          <w:p>
            <w:pPr>
              <w:jc w:val="center"/>
              <w:rPr>
                <w:rFonts w:eastAsia="楷体"/>
                <w:color w:val="FF0000"/>
              </w:rPr>
            </w:pPr>
            <w:r>
              <w:rPr>
                <w:rFonts w:eastAsia="Batang"/>
                <w:color w:val="FF0000"/>
                <w:szCs w:val="20"/>
                <w:lang w:val="en-GB" w:eastAsia="zh-CN"/>
              </w:rPr>
              <w:t>– 5.8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rPr>
            </w:pPr>
            <w:r>
              <w:rPr>
                <w:rFonts w:eastAsia="楷体"/>
              </w:rPr>
              <w:t>PDSCH SIB1 opt 2</w:t>
            </w:r>
          </w:p>
        </w:tc>
        <w:tc>
          <w:tcPr>
            <w:tcW w:w="1637" w:type="dxa"/>
            <w:vAlign w:val="center"/>
          </w:tcPr>
          <w:p>
            <w:pPr>
              <w:jc w:val="center"/>
              <w:rPr>
                <w:rFonts w:eastAsia="楷体"/>
                <w:color w:val="FF0000"/>
              </w:rPr>
            </w:pPr>
            <w:r>
              <w:rPr>
                <w:rFonts w:eastAsia="Batang"/>
                <w:color w:val="FF0000"/>
                <w:szCs w:val="20"/>
                <w:lang w:val="en-GB" w:eastAsia="zh-CN"/>
              </w:rPr>
              <w:t>– 3.4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lang w:eastAsia="zh-CN"/>
              </w:rPr>
            </w:pPr>
            <w:r>
              <w:rPr>
                <w:rFonts w:eastAsia="楷体"/>
                <w:lang w:eastAsia="zh-CN"/>
              </w:rPr>
              <w:t xml:space="preserve">PDSCH </w:t>
            </w:r>
            <w:r>
              <w:rPr>
                <w:rFonts w:hint="eastAsia" w:eastAsia="楷体"/>
                <w:lang w:eastAsia="zh-CN"/>
              </w:rPr>
              <w:t>S</w:t>
            </w:r>
            <w:r>
              <w:rPr>
                <w:rFonts w:eastAsia="楷体"/>
                <w:lang w:eastAsia="zh-CN"/>
              </w:rPr>
              <w:t>IB19</w:t>
            </w:r>
          </w:p>
        </w:tc>
        <w:tc>
          <w:tcPr>
            <w:tcW w:w="1637" w:type="dxa"/>
            <w:vAlign w:val="center"/>
          </w:tcPr>
          <w:p>
            <w:pPr>
              <w:jc w:val="center"/>
              <w:rPr>
                <w:rFonts w:eastAsia="楷体"/>
                <w:color w:val="FF0000"/>
              </w:rPr>
            </w:pPr>
            <w:r>
              <w:rPr>
                <w:rFonts w:eastAsia="Batang"/>
                <w:color w:val="FF0000"/>
                <w:szCs w:val="20"/>
                <w:lang w:val="en-GB" w:eastAsia="zh-CN"/>
              </w:rPr>
              <w:t>– 6.9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lang w:eastAsia="zh-CN"/>
              </w:rPr>
            </w:pPr>
            <w:r>
              <w:rPr>
                <w:rFonts w:hint="eastAsia" w:eastAsia="楷体"/>
                <w:lang w:eastAsia="zh-CN"/>
              </w:rPr>
              <w:t>P</w:t>
            </w:r>
            <w:r>
              <w:rPr>
                <w:rFonts w:eastAsia="楷体"/>
                <w:lang w:eastAsia="zh-CN"/>
              </w:rPr>
              <w:t>DSCH for VoIP</w:t>
            </w:r>
          </w:p>
        </w:tc>
        <w:tc>
          <w:tcPr>
            <w:tcW w:w="1637" w:type="dxa"/>
            <w:vAlign w:val="center"/>
          </w:tcPr>
          <w:p>
            <w:pPr>
              <w:jc w:val="center"/>
              <w:rPr>
                <w:rFonts w:eastAsia="楷体"/>
              </w:rPr>
            </w:pPr>
            <w:r>
              <w:rPr>
                <w:rFonts w:eastAsia="Batang"/>
                <w:szCs w:val="20"/>
                <w:lang w:val="en-GB" w:eastAsia="zh-CN"/>
              </w:rPr>
              <w:t>– 11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8" w:type="dxa"/>
            <w:vAlign w:val="center"/>
          </w:tcPr>
          <w:p>
            <w:pPr>
              <w:jc w:val="center"/>
              <w:rPr>
                <w:rFonts w:eastAsia="楷体"/>
                <w:lang w:eastAsia="zh-CN"/>
              </w:rPr>
            </w:pPr>
            <w:r>
              <w:rPr>
                <w:rFonts w:eastAsia="楷体"/>
                <w:lang w:eastAsia="zh-CN"/>
              </w:rPr>
              <w:t>PDSCH 3kbps</w:t>
            </w:r>
          </w:p>
        </w:tc>
        <w:tc>
          <w:tcPr>
            <w:tcW w:w="1637" w:type="dxa"/>
            <w:vAlign w:val="center"/>
          </w:tcPr>
          <w:p>
            <w:pPr>
              <w:jc w:val="center"/>
              <w:rPr>
                <w:rFonts w:eastAsia="楷体"/>
              </w:rPr>
            </w:pPr>
            <w:r>
              <w:rPr>
                <w:rFonts w:eastAsia="Batang"/>
                <w:szCs w:val="20"/>
                <w:lang w:val="en-GB" w:eastAsia="zh-CN"/>
              </w:rPr>
              <w:t>– 11 dB</w:t>
            </w:r>
          </w:p>
        </w:tc>
      </w:tr>
    </w:tbl>
    <w:p>
      <w:pPr>
        <w:pStyle w:val="3"/>
        <w:spacing w:after="0" w:line="252" w:lineRule="auto"/>
        <w:rPr>
          <w:rFonts w:ascii="Times" w:hAnsi="Times" w:eastAsia="Batang"/>
          <w:b/>
          <w:lang w:val="en-GB"/>
        </w:rPr>
      </w:pPr>
    </w:p>
    <w:p>
      <w:pPr>
        <w:pStyle w:val="3"/>
        <w:spacing w:line="252" w:lineRule="auto"/>
        <w:rPr>
          <w:rFonts w:ascii="Times" w:hAnsi="Times" w:eastAsia="Batang"/>
          <w:b/>
          <w:lang w:val="en-GB"/>
        </w:rPr>
      </w:pPr>
      <w:r>
        <w:rPr>
          <w:rFonts w:ascii="Times" w:hAnsi="Times" w:eastAsia="Batang"/>
          <w:b/>
          <w:lang w:val="en-GB"/>
        </w:rPr>
        <w:t>Proposal 3</w:t>
      </w:r>
      <w:r>
        <w:rPr>
          <w:rFonts w:hint="eastAsia" w:ascii="Times" w:hAnsi="Times" w:eastAsia="Batang"/>
          <w:b/>
          <w:lang w:val="en-GB"/>
        </w:rPr>
        <w:t>:</w:t>
      </w:r>
      <w:r>
        <w:rPr>
          <w:rFonts w:ascii="Times" w:hAnsi="Times" w:eastAsia="Batang"/>
          <w:b/>
          <w:lang w:val="en-GB"/>
        </w:rPr>
        <w:t xml:space="preserve"> For PDCCH CSS link level enhancement, support PDCCH repetition with repetition factor of 2.</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In R19 NR NTN, the downlink transmission resource per beam footprint is limited due to the great difference between the total number of beam footprints and the number of simultaneously active beams. In our system-level evaluation, the dwell time is 5ms and revisit time is 160ms, which means that each beam footprint can only be served for 5ms per 160ms. Given the limited transmission resource, configuring dedicated resource for PDCCH repetition should be avoided. Thus, we propose to perform PDCCH repetition between the existing P</w:t>
      </w:r>
      <w:bookmarkStart w:id="4" w:name="_Hlk181898341"/>
      <w:r>
        <w:rPr>
          <w:rFonts w:ascii="Times" w:hAnsi="Times" w:eastAsiaTheme="minorEastAsia"/>
          <w:bCs/>
          <w:lang w:val="en-GB" w:eastAsia="zh-CN"/>
        </w:rPr>
        <w:t>DCCH monitoring occasions associated with the same SSB index</w:t>
      </w:r>
      <w:bookmarkEnd w:id="4"/>
      <w:r>
        <w:rPr>
          <w:rFonts w:ascii="Times" w:hAnsi="Times" w:eastAsiaTheme="minorEastAsia"/>
          <w:bCs/>
          <w:lang w:val="en-GB" w:eastAsia="zh-CN"/>
        </w:rPr>
        <w:t xml:space="preserve">. </w:t>
      </w:r>
    </w:p>
    <w:p>
      <w:pPr>
        <w:pStyle w:val="3"/>
        <w:spacing w:line="252" w:lineRule="auto"/>
        <w:rPr>
          <w:rFonts w:ascii="Times" w:hAnsi="Times" w:eastAsiaTheme="minorEastAsia"/>
          <w:bCs/>
          <w:lang w:val="en-GB" w:eastAsia="zh-CN"/>
        </w:rPr>
      </w:pPr>
      <w:r>
        <w:rPr>
          <w:rFonts w:ascii="Times" w:hAnsi="Times" w:eastAsiaTheme="minorEastAsia"/>
          <w:bCs/>
          <w:lang w:val="en-GB" w:eastAsia="zh-CN"/>
        </w:rPr>
        <w:t xml:space="preserve">For example, for Type0-PDCCH, a UE </w:t>
      </w:r>
      <w:r>
        <w:rPr>
          <w:rFonts w:eastAsia="宋体"/>
          <w:szCs w:val="20"/>
          <w:lang w:eastAsia="zh-CN"/>
        </w:rPr>
        <w:t xml:space="preserve">monitors PDCCH in the Type0-PDCCH CSS set over slot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n</m:t>
            </m:r>
            <m:ctrlPr>
              <w:rPr>
                <w:rFonts w:ascii="Cambria Math" w:hAnsi="Cambria Math" w:eastAsia="宋体"/>
                <w:i/>
                <w:szCs w:val="20"/>
                <w:lang w:val="en-GB" w:eastAsia="zh-CN"/>
              </w:rPr>
            </m:ctrlPr>
          </m:e>
          <m:sub>
            <m:r>
              <w:rPr>
                <w:rFonts w:ascii="Cambria Math" w:hAnsi="Cambria Math" w:eastAsia="宋体"/>
                <w:szCs w:val="20"/>
                <w:lang w:val="en-GB" w:eastAsia="zh-CN"/>
              </w:rPr>
              <m:t>0</m:t>
            </m:r>
            <m:ctrlPr>
              <w:rPr>
                <w:rFonts w:ascii="Cambria Math" w:hAnsi="Cambria Math" w:eastAsia="宋体"/>
                <w:i/>
                <w:szCs w:val="20"/>
                <w:lang w:val="en-GB" w:eastAsia="zh-CN"/>
              </w:rPr>
            </m:ctrlPr>
          </m:sub>
        </m:sSub>
      </m:oMath>
      <w:r>
        <w:rPr>
          <w:rFonts w:eastAsia="宋体"/>
          <w:szCs w:val="20"/>
          <w:lang w:val="en-GB" w:eastAsia="zh-CN"/>
        </w:rPr>
        <w:t xml:space="preserve"> and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n</m:t>
            </m:r>
            <m:ctrlPr>
              <w:rPr>
                <w:rFonts w:ascii="Cambria Math" w:hAnsi="Cambria Math" w:eastAsia="宋体"/>
                <w:i/>
                <w:szCs w:val="20"/>
                <w:lang w:val="en-GB" w:eastAsia="zh-CN"/>
              </w:rPr>
            </m:ctrlPr>
          </m:e>
          <m:sub>
            <m:r>
              <w:rPr>
                <w:rFonts w:ascii="Cambria Math" w:hAnsi="Cambria Math" w:eastAsia="宋体"/>
                <w:szCs w:val="20"/>
                <w:lang w:val="en-GB" w:eastAsia="zh-CN"/>
              </w:rPr>
              <m:t>0</m:t>
            </m:r>
            <m:ctrlPr>
              <w:rPr>
                <w:rFonts w:ascii="Cambria Math" w:hAnsi="Cambria Math" w:eastAsia="宋体"/>
                <w:i/>
                <w:szCs w:val="20"/>
                <w:lang w:val="en-GB" w:eastAsia="zh-CN"/>
              </w:rPr>
            </m:ctrlPr>
          </m:sub>
        </m:sSub>
        <m:r>
          <w:rPr>
            <w:rFonts w:ascii="Cambria Math" w:hAnsi="Cambria Math" w:eastAsia="宋体"/>
            <w:szCs w:val="20"/>
            <w:lang w:val="en-GB" w:eastAsia="zh-CN"/>
          </w:rPr>
          <m:t>+1</m:t>
        </m:r>
      </m:oMath>
      <w:r>
        <w:rPr>
          <w:rFonts w:eastAsia="宋体"/>
          <w:szCs w:val="20"/>
          <w:lang w:val="en-GB" w:eastAsia="zh-CN"/>
        </w:rPr>
        <w:t xml:space="preserve"> as specified in TS38.213. In this case, the PDCCH monitoring occasions on </w:t>
      </w:r>
      <w:r>
        <w:rPr>
          <w:rFonts w:eastAsia="宋体"/>
          <w:szCs w:val="20"/>
          <w:lang w:eastAsia="zh-CN"/>
        </w:rPr>
        <w:t xml:space="preserve">slot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n</m:t>
            </m:r>
            <m:ctrlPr>
              <w:rPr>
                <w:rFonts w:ascii="Cambria Math" w:hAnsi="Cambria Math" w:eastAsia="宋体"/>
                <w:i/>
                <w:szCs w:val="20"/>
                <w:lang w:val="en-GB" w:eastAsia="zh-CN"/>
              </w:rPr>
            </m:ctrlPr>
          </m:e>
          <m:sub>
            <m:r>
              <w:rPr>
                <w:rFonts w:ascii="Cambria Math" w:hAnsi="Cambria Math" w:eastAsia="宋体"/>
                <w:szCs w:val="20"/>
                <w:lang w:val="en-GB" w:eastAsia="zh-CN"/>
              </w:rPr>
              <m:t>0</m:t>
            </m:r>
            <m:ctrlPr>
              <w:rPr>
                <w:rFonts w:ascii="Cambria Math" w:hAnsi="Cambria Math" w:eastAsia="宋体"/>
                <w:i/>
                <w:szCs w:val="20"/>
                <w:lang w:val="en-GB" w:eastAsia="zh-CN"/>
              </w:rPr>
            </m:ctrlPr>
          </m:sub>
        </m:sSub>
      </m:oMath>
      <w:r>
        <w:rPr>
          <w:rFonts w:eastAsia="宋体"/>
          <w:szCs w:val="20"/>
          <w:lang w:val="en-GB" w:eastAsia="zh-CN"/>
        </w:rPr>
        <w:t xml:space="preserve"> and </w:t>
      </w:r>
      <m:oMath>
        <m:sSub>
          <m:sSubPr>
            <m:ctrlPr>
              <w:rPr>
                <w:rFonts w:ascii="Cambria Math" w:hAnsi="Cambria Math" w:eastAsia="宋体"/>
                <w:i/>
                <w:szCs w:val="20"/>
                <w:lang w:val="en-GB" w:eastAsia="zh-CN"/>
              </w:rPr>
            </m:ctrlPr>
          </m:sSubPr>
          <m:e>
            <m:r>
              <w:rPr>
                <w:rFonts w:ascii="Cambria Math" w:hAnsi="Cambria Math" w:eastAsia="宋体"/>
                <w:szCs w:val="20"/>
                <w:lang w:val="en-GB" w:eastAsia="zh-CN"/>
              </w:rPr>
              <m:t>n</m:t>
            </m:r>
            <m:ctrlPr>
              <w:rPr>
                <w:rFonts w:ascii="Cambria Math" w:hAnsi="Cambria Math" w:eastAsia="宋体"/>
                <w:i/>
                <w:szCs w:val="20"/>
                <w:lang w:val="en-GB" w:eastAsia="zh-CN"/>
              </w:rPr>
            </m:ctrlPr>
          </m:e>
          <m:sub>
            <m:r>
              <w:rPr>
                <w:rFonts w:ascii="Cambria Math" w:hAnsi="Cambria Math" w:eastAsia="宋体"/>
                <w:szCs w:val="20"/>
                <w:lang w:val="en-GB" w:eastAsia="zh-CN"/>
              </w:rPr>
              <m:t>0</m:t>
            </m:r>
            <m:ctrlPr>
              <w:rPr>
                <w:rFonts w:ascii="Cambria Math" w:hAnsi="Cambria Math" w:eastAsia="宋体"/>
                <w:i/>
                <w:szCs w:val="20"/>
                <w:lang w:val="en-GB" w:eastAsia="zh-CN"/>
              </w:rPr>
            </m:ctrlPr>
          </m:sub>
        </m:sSub>
        <m:r>
          <w:rPr>
            <w:rFonts w:ascii="Cambria Math" w:hAnsi="Cambria Math" w:eastAsia="宋体"/>
            <w:szCs w:val="20"/>
            <w:lang w:val="en-GB" w:eastAsia="zh-CN"/>
          </w:rPr>
          <m:t>+1</m:t>
        </m:r>
      </m:oMath>
      <w:r>
        <w:rPr>
          <w:rFonts w:hint="eastAsia" w:eastAsia="宋体"/>
          <w:szCs w:val="20"/>
          <w:lang w:val="en-GB" w:eastAsia="zh-CN"/>
        </w:rPr>
        <w:t xml:space="preserve"> </w:t>
      </w:r>
      <w:r>
        <w:rPr>
          <w:rFonts w:eastAsia="宋体"/>
          <w:szCs w:val="20"/>
          <w:lang w:val="en-GB" w:eastAsia="zh-CN"/>
        </w:rPr>
        <w:t>can be used to perform PDCCH repetition. Alternatively, similar to SSB combination, the PDCCH repetition can be performed across SSB periodicity, i.e., the Type0-PDCCH repetition periodicity is equal to the SSB periodicity. Other PDCCH CSS can follow the similar philosophy to save the resource for PDCCH repetition as much as possible.</w:t>
      </w:r>
    </w:p>
    <w:p>
      <w:pPr>
        <w:pStyle w:val="3"/>
        <w:spacing w:line="252" w:lineRule="auto"/>
        <w:rPr>
          <w:rFonts w:ascii="Times" w:hAnsi="Times" w:eastAsia="Batang"/>
          <w:b/>
          <w:lang w:val="en-GB"/>
        </w:rPr>
      </w:pPr>
      <w:r>
        <w:rPr>
          <w:rFonts w:ascii="Times" w:hAnsi="Times" w:eastAsia="Batang"/>
          <w:b/>
          <w:lang w:val="en-GB"/>
        </w:rPr>
        <w:t>Proposal 4</w:t>
      </w:r>
      <w:r>
        <w:rPr>
          <w:rFonts w:hint="eastAsia" w:ascii="Times" w:hAnsi="Times" w:eastAsia="Batang"/>
          <w:b/>
          <w:lang w:val="en-GB"/>
        </w:rPr>
        <w:t>:</w:t>
      </w:r>
      <w:r>
        <w:rPr>
          <w:rFonts w:ascii="Times" w:hAnsi="Times" w:eastAsia="Batang"/>
          <w:b/>
          <w:lang w:val="en-GB"/>
        </w:rPr>
        <w:t xml:space="preserve"> RAN1 to consider to perform PDCCH repetition between the PDCCH monitoring occasions associated with the same SSB index to save the transmission resource.</w:t>
      </w:r>
    </w:p>
    <w:p>
      <w:pPr>
        <w:pStyle w:val="3"/>
        <w:spacing w:line="252" w:lineRule="auto"/>
        <w:rPr>
          <w:rFonts w:eastAsiaTheme="minorEastAsia"/>
          <w:lang w:eastAsia="zh-CN"/>
        </w:rPr>
      </w:pPr>
      <w:r>
        <w:rPr>
          <w:rFonts w:eastAsiaTheme="minorEastAsia"/>
          <w:lang w:eastAsia="zh-CN"/>
        </w:rPr>
        <w:t xml:space="preserve">In addition, as shown in Table 3, Msg4 PDSCH shows 2.8 dB coverage gap compared to -8dB CNR, so 2 Msg4 PDSCH repetitions is needed to bridge the coverage gap. Msg4 PDSCH retransmission can improve the DL coverage performance, but it will cause unnecessary delay for Msg4 PDSCH reception and additional power consumption for PDCCH monitoring. Especially when beam hopping is used in R19 NR NTN, the Msg4 PDSCH retransmission may be performed until next dwell time, resulting in the Msg4 PDSCH reception time will be longer than the revisit time, e.g., 160ms. </w:t>
      </w:r>
    </w:p>
    <w:p>
      <w:pPr>
        <w:pStyle w:val="3"/>
        <w:spacing w:line="252" w:lineRule="auto"/>
        <w:rPr>
          <w:rFonts w:eastAsiaTheme="minorEastAsia"/>
          <w:lang w:eastAsia="zh-CN"/>
        </w:rPr>
      </w:pPr>
      <w:r>
        <w:rPr>
          <w:rFonts w:eastAsiaTheme="minorEastAsia"/>
          <w:lang w:eastAsia="zh-CN"/>
        </w:rPr>
        <w:t>Moreover, we note that the required SNR of Msg4 PDSCH is close to that of PDCCH. It means that when the UE requests PDCCH repetition, it also requires Msg4 PDSCH repetition. Thus, it is straightforward to perform PDCCH repetition and Msg4 PDSCH repetition simultaneously to close the coverage gap.</w:t>
      </w: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w:t>
      </w:r>
      <w:r>
        <w:rPr>
          <w:rFonts w:ascii="Times" w:hAnsi="Times" w:eastAsiaTheme="minorEastAsia"/>
          <w:b/>
          <w:lang w:val="en-GB" w:eastAsia="zh-CN"/>
        </w:rPr>
        <w:t xml:space="preserve">roposal 5: RAN1 to report </w:t>
      </w:r>
      <w:r>
        <w:rPr>
          <w:rFonts w:ascii="Times" w:hAnsi="Times" w:eastAsia="Batang"/>
          <w:b/>
          <w:lang w:val="en-GB"/>
        </w:rPr>
        <w:t>Msg4 PDSCH as the targeted physical channels for link level enhancement.</w:t>
      </w:r>
    </w:p>
    <w:p>
      <w:pPr>
        <w:pStyle w:val="3"/>
        <w:spacing w:after="0" w:line="252" w:lineRule="auto"/>
        <w:rPr>
          <w:rFonts w:ascii="Times" w:hAnsi="Times" w:eastAsiaTheme="minorEastAsia"/>
          <w:b/>
          <w:lang w:val="en-GB" w:eastAsia="zh-CN"/>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pPr>
        <w:pStyle w:val="3"/>
        <w:rPr>
          <w:szCs w:val="20"/>
        </w:rPr>
      </w:pPr>
      <w:r>
        <w:rPr>
          <w:szCs w:val="20"/>
        </w:rPr>
        <w:t>In this contribution, we provide our view</w:t>
      </w:r>
      <w:r>
        <w:rPr>
          <w:rFonts w:eastAsia="等线"/>
          <w:szCs w:val="20"/>
          <w:lang w:eastAsia="zh-CN"/>
        </w:rPr>
        <w:t xml:space="preserve"> and analysis on the link level and system level evaluation for downlink coverage in NTN scenario</w:t>
      </w:r>
      <w:r>
        <w:rPr>
          <w:szCs w:val="20"/>
        </w:rPr>
        <w:t>. The following proposals and observations are made:</w:t>
      </w:r>
    </w:p>
    <w:p>
      <w:pPr>
        <w:pStyle w:val="3"/>
        <w:spacing w:line="252" w:lineRule="auto"/>
        <w:rPr>
          <w:rFonts w:ascii="Times" w:hAnsi="Times" w:eastAsia="Batang"/>
          <w:b/>
          <w:lang w:val="en-GB"/>
        </w:rPr>
      </w:pPr>
      <w:r>
        <w:rPr>
          <w:rFonts w:ascii="Times" w:hAnsi="Times" w:eastAsia="Batang"/>
          <w:b/>
          <w:lang w:val="en-GB"/>
        </w:rPr>
        <w:t>Observation 1</w:t>
      </w:r>
      <w:r>
        <w:rPr>
          <w:rFonts w:hint="eastAsia" w:ascii="Times" w:hAnsi="Times" w:eastAsia="Batang"/>
          <w:b/>
          <w:lang w:val="en-GB"/>
        </w:rPr>
        <w:t>:</w:t>
      </w:r>
      <w:r>
        <w:rPr>
          <w:rFonts w:ascii="Times" w:hAnsi="Times" w:eastAsia="Batang"/>
          <w:b/>
          <w:lang w:val="en-GB"/>
        </w:rPr>
        <w:t xml:space="preserve"> When SSB periodicity is extended to 160ms, the coverage ratio is larger than 100% for LEO600 set 1-1/set 1-3 and 48% for LEO600 set 1-2.</w:t>
      </w:r>
    </w:p>
    <w:p>
      <w:pPr>
        <w:pStyle w:val="3"/>
        <w:spacing w:line="252" w:lineRule="auto"/>
        <w:rPr>
          <w:rFonts w:ascii="Times" w:hAnsi="Times" w:eastAsia="Batang"/>
          <w:b/>
          <w:lang w:val="en-GB"/>
        </w:rPr>
      </w:pPr>
      <w:r>
        <w:rPr>
          <w:rFonts w:ascii="Times" w:hAnsi="Times" w:eastAsia="Batang"/>
          <w:b/>
          <w:lang w:val="en-GB"/>
        </w:rPr>
        <w:t>Observation 2</w:t>
      </w:r>
      <w:r>
        <w:rPr>
          <w:rFonts w:hint="eastAsia" w:ascii="Times" w:hAnsi="Times" w:eastAsia="Batang"/>
          <w:b/>
          <w:lang w:val="en-GB"/>
        </w:rPr>
        <w:t>:</w:t>
      </w:r>
      <w:r>
        <w:rPr>
          <w:rFonts w:ascii="Times" w:hAnsi="Times" w:eastAsia="Batang"/>
          <w:b/>
          <w:lang w:val="en-GB"/>
        </w:rPr>
        <w:t xml:space="preserve"> The extended SSB periodicity of 320ms leads to backward compatibility issue from the aspect of SSB periodicity configuration and initial transmission timing requirement.</w:t>
      </w:r>
      <w:r>
        <w:rPr>
          <w:rFonts w:hint="eastAsia" w:ascii="Times" w:hAnsi="Times" w:eastAsia="宋体"/>
          <w:b/>
          <w:lang w:val="en-US" w:eastAsia="zh-CN"/>
        </w:rPr>
        <w:t xml:space="preserve"> While extending SSB periodicity to 160 ms does not have such issue. </w:t>
      </w:r>
    </w:p>
    <w:p>
      <w:pPr>
        <w:pStyle w:val="3"/>
        <w:spacing w:line="252" w:lineRule="auto"/>
        <w:rPr>
          <w:rFonts w:ascii="Times" w:hAnsi="Times" w:eastAsia="Batang"/>
          <w:b/>
          <w:lang w:val="en-GB"/>
        </w:rPr>
      </w:pPr>
      <w:r>
        <w:rPr>
          <w:rFonts w:ascii="Times" w:hAnsi="Times" w:eastAsia="Batang"/>
          <w:b/>
          <w:lang w:val="en-GB"/>
        </w:rPr>
        <w:t>Observation 3</w:t>
      </w:r>
      <w:r>
        <w:rPr>
          <w:rFonts w:hint="eastAsia" w:ascii="Times" w:hAnsi="Times" w:eastAsia="Batang"/>
          <w:b/>
          <w:lang w:val="en-GB"/>
        </w:rPr>
        <w:t>:</w:t>
      </w:r>
      <w:r>
        <w:rPr>
          <w:rFonts w:ascii="Times" w:hAnsi="Times" w:eastAsia="Batang"/>
          <w:b/>
          <w:lang w:val="en-GB"/>
        </w:rPr>
        <w:t xml:space="preserve"> When a wider beam footprint covering 4 narrow beams is used, which can be left for gNB implementation, a SSB periodicity of 160ms can achieve 100% coverage ratio for LEO600 set 1-2, and the SSB periodicity of 320ms is not needed.</w:t>
      </w:r>
    </w:p>
    <w:p>
      <w:pPr>
        <w:pStyle w:val="3"/>
        <w:spacing w:line="252" w:lineRule="auto"/>
        <w:rPr>
          <w:rFonts w:ascii="Times" w:hAnsi="Times" w:eastAsia="Batang"/>
          <w:b/>
          <w:lang w:val="en-GB"/>
        </w:rPr>
      </w:pPr>
    </w:p>
    <w:p>
      <w:pPr>
        <w:pStyle w:val="3"/>
        <w:spacing w:after="0" w:line="252" w:lineRule="auto"/>
        <w:rPr>
          <w:rFonts w:ascii="Times" w:hAnsi="Times" w:eastAsia="Batang"/>
          <w:b/>
          <w:lang w:val="en-GB"/>
        </w:rPr>
      </w:pPr>
      <w:r>
        <w:rPr>
          <w:rFonts w:ascii="Times" w:hAnsi="Times" w:eastAsia="Batang"/>
          <w:b/>
          <w:lang w:val="en-GB"/>
        </w:rPr>
        <w:t>Proposal 1</w:t>
      </w:r>
      <w:r>
        <w:rPr>
          <w:rFonts w:hint="eastAsia" w:ascii="Times" w:hAnsi="Times" w:eastAsia="Batang"/>
          <w:b/>
          <w:lang w:val="en-GB"/>
        </w:rPr>
        <w:t>:</w:t>
      </w:r>
      <w:r>
        <w:rPr>
          <w:rFonts w:ascii="Times" w:hAnsi="Times" w:eastAsia="Batang"/>
          <w:b/>
          <w:lang w:val="en-GB"/>
        </w:rPr>
        <w:t xml:space="preserve"> Extending SSB periodicity </w:t>
      </w:r>
      <w:r>
        <w:rPr>
          <w:rFonts w:hint="eastAsia" w:ascii="Times" w:hAnsi="Times" w:eastAsia="宋体"/>
          <w:b/>
          <w:lang w:val="en-US" w:eastAsia="zh-CN"/>
        </w:rPr>
        <w:t>larger than 160 ms</w:t>
      </w:r>
      <w:r>
        <w:rPr>
          <w:rFonts w:ascii="Times" w:hAnsi="Times" w:eastAsia="Batang"/>
          <w:b/>
          <w:lang w:val="en-GB"/>
        </w:rPr>
        <w:t xml:space="preserve"> is not considered in R19 NR NTN. </w:t>
      </w:r>
    </w:p>
    <w:p>
      <w:pPr>
        <w:pStyle w:val="3"/>
        <w:spacing w:after="0" w:line="252" w:lineRule="auto"/>
        <w:rPr>
          <w:rFonts w:ascii="Times" w:hAnsi="Times" w:eastAsia="Batang"/>
          <w:b/>
          <w:lang w:val="en-GB"/>
        </w:rPr>
      </w:pPr>
      <w:r>
        <w:rPr>
          <w:rFonts w:ascii="Times" w:hAnsi="Times" w:eastAsia="Batang"/>
          <w:b/>
          <w:lang w:val="en-GB"/>
        </w:rPr>
        <w:t>Proposal</w:t>
      </w:r>
      <w:r>
        <w:rPr>
          <w:rFonts w:hint="eastAsia" w:ascii="Times" w:hAnsi="Times" w:eastAsia="宋体"/>
          <w:b/>
          <w:lang w:val="en-US" w:eastAsia="zh-CN"/>
        </w:rPr>
        <w:t xml:space="preserve"> </w:t>
      </w:r>
      <w:bookmarkStart w:id="5" w:name="_GoBack"/>
      <w:bookmarkEnd w:id="5"/>
      <w:r>
        <w:rPr>
          <w:rFonts w:ascii="Times" w:hAnsi="Times" w:eastAsia="Batang"/>
          <w:b/>
          <w:lang w:val="en-GB"/>
        </w:rPr>
        <w:t>2</w:t>
      </w:r>
      <w:r>
        <w:rPr>
          <w:rFonts w:hint="eastAsia" w:ascii="Times" w:hAnsi="Times" w:eastAsia="Batang"/>
          <w:b/>
          <w:lang w:val="en-GB"/>
        </w:rPr>
        <w:t>:</w:t>
      </w:r>
      <w:r>
        <w:rPr>
          <w:rFonts w:ascii="Times" w:hAnsi="Times" w:eastAsia="Batang"/>
          <w:b/>
          <w:lang w:val="en-GB"/>
        </w:rPr>
        <w:t xml:space="preserve"> Enhancements on cell DTX/DRX should be considered as the targeted system-level enhancements in R19 NR NTN.</w:t>
      </w:r>
    </w:p>
    <w:p>
      <w:pPr>
        <w:pStyle w:val="3"/>
        <w:numPr>
          <w:ilvl w:val="0"/>
          <w:numId w:val="10"/>
        </w:numPr>
        <w:spacing w:after="0" w:line="252" w:lineRule="auto"/>
        <w:rPr>
          <w:rFonts w:ascii="Times" w:hAnsi="Times" w:eastAsia="Batang"/>
          <w:b/>
          <w:lang w:val="en-GB"/>
        </w:rPr>
      </w:pPr>
      <w:r>
        <w:rPr>
          <w:rFonts w:ascii="Times" w:hAnsi="Times" w:eastAsiaTheme="minorEastAsia"/>
          <w:b/>
          <w:lang w:val="en-GB" w:eastAsia="zh-CN"/>
        </w:rPr>
        <w:t>Support a new cell DTX/DRX mechanism, during non-active periods of cell DTX/DRX, the UE does not expect to receive/transmit any signal/channel.</w:t>
      </w:r>
    </w:p>
    <w:p>
      <w:pPr>
        <w:pStyle w:val="3"/>
        <w:numPr>
          <w:ilvl w:val="0"/>
          <w:numId w:val="10"/>
        </w:numPr>
        <w:spacing w:line="252" w:lineRule="auto"/>
        <w:rPr>
          <w:rFonts w:ascii="Times" w:hAnsi="Times" w:eastAsia="Batang"/>
          <w:b/>
          <w:lang w:val="en-GB"/>
        </w:rPr>
      </w:pPr>
      <w:r>
        <w:rPr>
          <w:rFonts w:ascii="Times" w:hAnsi="Times" w:eastAsiaTheme="minorEastAsia"/>
          <w:b/>
          <w:lang w:val="en-GB" w:eastAsia="zh-CN"/>
        </w:rPr>
        <w:t>The cell DTX/DRX pattern supported in R19 NR NTN apply to UE in idle mode and connected mode.</w:t>
      </w:r>
    </w:p>
    <w:p>
      <w:pPr>
        <w:pStyle w:val="3"/>
        <w:spacing w:line="252" w:lineRule="auto"/>
        <w:rPr>
          <w:rFonts w:ascii="Times" w:hAnsi="Times" w:eastAsia="Batang"/>
          <w:b/>
          <w:lang w:val="en-GB"/>
        </w:rPr>
      </w:pPr>
      <w:r>
        <w:rPr>
          <w:rFonts w:ascii="Times" w:hAnsi="Times" w:eastAsia="Batang"/>
          <w:b/>
          <w:lang w:val="en-GB"/>
        </w:rPr>
        <w:t>Proposal 3</w:t>
      </w:r>
      <w:r>
        <w:rPr>
          <w:rFonts w:hint="eastAsia" w:ascii="Times" w:hAnsi="Times" w:eastAsia="Batang"/>
          <w:b/>
          <w:lang w:val="en-GB"/>
        </w:rPr>
        <w:t>:</w:t>
      </w:r>
      <w:r>
        <w:rPr>
          <w:rFonts w:ascii="Times" w:hAnsi="Times" w:eastAsia="Batang"/>
          <w:b/>
          <w:lang w:val="en-GB"/>
        </w:rPr>
        <w:t xml:space="preserve"> For PDCCH CSS link level enhancement, support PDCCH repetition with repetition factor of 2.</w:t>
      </w:r>
    </w:p>
    <w:p>
      <w:pPr>
        <w:pStyle w:val="3"/>
        <w:spacing w:line="252" w:lineRule="auto"/>
        <w:rPr>
          <w:rFonts w:ascii="Times" w:hAnsi="Times" w:eastAsia="Batang"/>
          <w:b/>
          <w:lang w:val="en-GB"/>
        </w:rPr>
      </w:pPr>
      <w:r>
        <w:rPr>
          <w:rFonts w:ascii="Times" w:hAnsi="Times" w:eastAsia="Batang"/>
          <w:b/>
          <w:lang w:val="en-GB"/>
        </w:rPr>
        <w:t>Proposal 4</w:t>
      </w:r>
      <w:r>
        <w:rPr>
          <w:rFonts w:hint="eastAsia" w:ascii="Times" w:hAnsi="Times" w:eastAsia="Batang"/>
          <w:b/>
          <w:lang w:val="en-GB"/>
        </w:rPr>
        <w:t>:</w:t>
      </w:r>
      <w:r>
        <w:rPr>
          <w:rFonts w:ascii="Times" w:hAnsi="Times" w:eastAsia="Batang"/>
          <w:b/>
          <w:lang w:val="en-GB"/>
        </w:rPr>
        <w:t xml:space="preserve"> RAN1 to consider to perform PDCCH repetition between the PDCCH monitoring occasions associated with the same SSB index to save the transmission resource.</w:t>
      </w:r>
    </w:p>
    <w:p>
      <w:pPr>
        <w:pStyle w:val="3"/>
        <w:spacing w:line="252" w:lineRule="auto"/>
        <w:rPr>
          <w:rFonts w:ascii="Times" w:hAnsi="Times" w:eastAsiaTheme="minorEastAsia"/>
          <w:b/>
          <w:lang w:val="en-GB" w:eastAsia="zh-CN"/>
        </w:rPr>
      </w:pPr>
      <w:r>
        <w:rPr>
          <w:rFonts w:hint="eastAsia" w:ascii="Times" w:hAnsi="Times" w:eastAsiaTheme="minorEastAsia"/>
          <w:b/>
          <w:lang w:val="en-GB" w:eastAsia="zh-CN"/>
        </w:rPr>
        <w:t>P</w:t>
      </w:r>
      <w:r>
        <w:rPr>
          <w:rFonts w:ascii="Times" w:hAnsi="Times" w:eastAsiaTheme="minorEastAsia"/>
          <w:b/>
          <w:lang w:val="en-GB" w:eastAsia="zh-CN"/>
        </w:rPr>
        <w:t xml:space="preserve">roposal 5: RAN1 to report </w:t>
      </w:r>
      <w:r>
        <w:rPr>
          <w:rFonts w:ascii="Times" w:hAnsi="Times" w:eastAsia="Batang"/>
          <w:b/>
          <w:lang w:val="en-GB"/>
        </w:rPr>
        <w:t>Msg4 PDSCH as the targeted physical channels for link level enhancement.</w:t>
      </w:r>
    </w:p>
    <w:p>
      <w:pPr>
        <w:pStyle w:val="3"/>
        <w:spacing w:line="252" w:lineRule="auto"/>
        <w:rPr>
          <w:rFonts w:ascii="Times" w:hAnsi="Times" w:eastAsia="Batang"/>
          <w:b/>
          <w:lang w:val="en-GB"/>
        </w:rPr>
      </w:pPr>
    </w:p>
    <w:p>
      <w:pPr>
        <w:pStyle w:val="3"/>
        <w:spacing w:line="252" w:lineRule="auto"/>
        <w:rPr>
          <w:rFonts w:ascii="Times" w:hAnsi="Times" w:eastAsia="Batang"/>
          <w:b/>
          <w:lang w:val="en-GB"/>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pPr>
        <w:pStyle w:val="3"/>
        <w:ind w:left="600" w:hanging="600" w:hangingChars="300"/>
        <w:rPr>
          <w:rFonts w:eastAsia="宋体"/>
          <w:szCs w:val="20"/>
          <w:lang w:val="en-GB" w:eastAsia="zh-CN"/>
        </w:rPr>
      </w:pPr>
      <w:r>
        <w:rPr>
          <w:rFonts w:eastAsia="宋体"/>
          <w:szCs w:val="20"/>
          <w:lang w:eastAsia="zh-CN"/>
        </w:rPr>
        <w:t>[1]       RP-241789, “</w:t>
      </w:r>
      <w:r>
        <w:rPr>
          <w:rFonts w:eastAsia="宋体"/>
          <w:szCs w:val="20"/>
          <w:lang w:val="en-GB" w:eastAsia="zh-CN"/>
        </w:rPr>
        <w:t>Revised WID: Non-Terrestrial Networks (NTN) for NR Phase 3</w:t>
      </w:r>
      <w:r>
        <w:rPr>
          <w:rFonts w:eastAsia="宋体"/>
          <w:szCs w:val="20"/>
          <w:lang w:eastAsia="zh-CN"/>
        </w:rPr>
        <w:t xml:space="preserve">”, Thales, CATT, RAN#105, </w:t>
      </w:r>
      <w:r>
        <w:rPr>
          <w:rFonts w:eastAsia="宋体"/>
          <w:szCs w:val="20"/>
          <w:lang w:val="en-GB" w:eastAsia="zh-CN"/>
        </w:rPr>
        <w:t>September 9-12, 2024</w:t>
      </w:r>
    </w:p>
    <w:p>
      <w:pPr>
        <w:pStyle w:val="3"/>
        <w:ind w:left="600" w:hanging="600" w:hangingChars="300"/>
        <w:rPr>
          <w:rFonts w:eastAsia="宋体"/>
          <w:szCs w:val="20"/>
          <w:lang w:eastAsia="zh-CN"/>
        </w:rPr>
      </w:pPr>
      <w:r>
        <w:rPr>
          <w:rFonts w:eastAsia="宋体"/>
          <w:szCs w:val="20"/>
          <w:lang w:eastAsia="zh-CN"/>
        </w:rPr>
        <w:t>[2]       3GPP TR 38.821, Solutions for NR to support non-terrestrial networks (NTN)</w:t>
      </w:r>
    </w:p>
    <w:p>
      <w:pPr>
        <w:pStyle w:val="3"/>
        <w:ind w:left="600" w:hanging="600" w:hangingChars="300"/>
        <w:rPr>
          <w:rFonts w:eastAsia="宋体"/>
          <w:szCs w:val="20"/>
          <w:lang w:eastAsia="zh-CN"/>
        </w:rPr>
      </w:pPr>
      <w:r>
        <w:rPr>
          <w:rFonts w:eastAsia="宋体"/>
          <w:szCs w:val="20"/>
          <w:lang w:eastAsia="zh-CN"/>
        </w:rPr>
        <w:t>[3]       R1-2408135, “</w:t>
      </w:r>
      <w:r>
        <w:rPr>
          <w:rFonts w:eastAsia="宋体"/>
          <w:szCs w:val="20"/>
          <w:lang w:val="en-GB" w:eastAsia="zh-CN"/>
        </w:rPr>
        <w:t>Discussion on NR-NTN downlink coverage enhancement</w:t>
      </w:r>
      <w:r>
        <w:rPr>
          <w:rFonts w:eastAsia="宋体"/>
          <w:szCs w:val="20"/>
          <w:lang w:eastAsia="zh-CN"/>
        </w:rPr>
        <w:t>”, OPPO, RAN1#118</w:t>
      </w:r>
      <w:r>
        <w:rPr>
          <w:rFonts w:hint="eastAsia" w:eastAsia="宋体"/>
          <w:szCs w:val="20"/>
          <w:lang w:eastAsia="zh-CN"/>
        </w:rPr>
        <w:t>bis</w:t>
      </w:r>
      <w:r>
        <w:rPr>
          <w:rFonts w:eastAsia="宋体"/>
          <w:szCs w:val="20"/>
          <w:lang w:eastAsia="zh-CN"/>
        </w:rPr>
        <w:t xml:space="preserve">, </w:t>
      </w:r>
      <w:r>
        <w:rPr>
          <w:rFonts w:eastAsia="宋体"/>
          <w:bCs/>
          <w:szCs w:val="20"/>
          <w:lang w:val="en-GB" w:eastAsia="zh-CN"/>
        </w:rPr>
        <w:t>October 14</w:t>
      </w:r>
      <w:r>
        <w:rPr>
          <w:rFonts w:hint="eastAsia" w:eastAsia="宋体"/>
          <w:bCs/>
          <w:szCs w:val="20"/>
          <w:vertAlign w:val="superscript"/>
          <w:lang w:val="en-GB" w:eastAsia="zh-CN"/>
        </w:rPr>
        <w:t>th</w:t>
      </w:r>
      <w:r>
        <w:rPr>
          <w:rFonts w:eastAsia="宋体"/>
          <w:bCs/>
          <w:szCs w:val="20"/>
          <w:lang w:val="en-GB" w:eastAsia="zh-CN"/>
        </w:rPr>
        <w:t xml:space="preserve"> – 18</w:t>
      </w:r>
      <w:r>
        <w:rPr>
          <w:rFonts w:eastAsia="宋体"/>
          <w:bCs/>
          <w:szCs w:val="20"/>
          <w:vertAlign w:val="superscript"/>
          <w:lang w:val="en-GB" w:eastAsia="zh-CN"/>
        </w:rPr>
        <w:t>th</w:t>
      </w:r>
      <w:r>
        <w:rPr>
          <w:rFonts w:eastAsia="宋体"/>
          <w:szCs w:val="20"/>
          <w:lang w:val="en-GB" w:eastAsia="zh-CN"/>
        </w:rPr>
        <w:t>, 2024</w:t>
      </w:r>
    </w:p>
    <w:p>
      <w:pPr>
        <w:pStyle w:val="3"/>
        <w:rPr>
          <w:rFonts w:eastAsiaTheme="minorEastAsia"/>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7184297"/>
    <w:multiLevelType w:val="multilevel"/>
    <w:tmpl w:val="071842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31320EB"/>
    <w:multiLevelType w:val="multilevel"/>
    <w:tmpl w:val="631320EB"/>
    <w:lvl w:ilvl="0" w:tentative="0">
      <w:start w:val="1"/>
      <w:numFmt w:val="bullet"/>
      <w:lvlText w:val=""/>
      <w:lvlJc w:val="left"/>
      <w:pPr>
        <w:ind w:left="987" w:hanging="420"/>
      </w:pPr>
      <w:rPr>
        <w:rFonts w:hint="default" w:ascii="Symbol" w:hAnsi="Symbol"/>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8">
    <w:nsid w:val="69F651F9"/>
    <w:multiLevelType w:val="multilevel"/>
    <w:tmpl w:val="69F651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9"/>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6"/>
  </w:num>
  <w:num w:numId="4">
    <w:abstractNumId w:val="3"/>
  </w:num>
  <w:num w:numId="5">
    <w:abstractNumId w:val="2"/>
  </w:num>
  <w:num w:numId="6">
    <w:abstractNumId w:val="4"/>
  </w:num>
  <w:num w:numId="7">
    <w:abstractNumId w:val="5"/>
  </w:num>
  <w:num w:numId="8">
    <w:abstractNumId w:val="1"/>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F90"/>
    <w:rsid w:val="000166B9"/>
    <w:rsid w:val="00016C1F"/>
    <w:rsid w:val="00017F1A"/>
    <w:rsid w:val="00020597"/>
    <w:rsid w:val="0002068B"/>
    <w:rsid w:val="00020BFD"/>
    <w:rsid w:val="00020DAE"/>
    <w:rsid w:val="0002224F"/>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400B7"/>
    <w:rsid w:val="000409CB"/>
    <w:rsid w:val="00040C2A"/>
    <w:rsid w:val="00040D8A"/>
    <w:rsid w:val="000412D4"/>
    <w:rsid w:val="000417AA"/>
    <w:rsid w:val="00043728"/>
    <w:rsid w:val="000439FC"/>
    <w:rsid w:val="0004463C"/>
    <w:rsid w:val="00044953"/>
    <w:rsid w:val="00044EE0"/>
    <w:rsid w:val="0004565C"/>
    <w:rsid w:val="00045B6E"/>
    <w:rsid w:val="00046262"/>
    <w:rsid w:val="00050CF5"/>
    <w:rsid w:val="00052AFF"/>
    <w:rsid w:val="000545F1"/>
    <w:rsid w:val="00055212"/>
    <w:rsid w:val="000554B4"/>
    <w:rsid w:val="00055936"/>
    <w:rsid w:val="000566BE"/>
    <w:rsid w:val="000573C1"/>
    <w:rsid w:val="00057A3A"/>
    <w:rsid w:val="00057F88"/>
    <w:rsid w:val="00062531"/>
    <w:rsid w:val="00064A2B"/>
    <w:rsid w:val="00065108"/>
    <w:rsid w:val="000659BE"/>
    <w:rsid w:val="00066040"/>
    <w:rsid w:val="000660BD"/>
    <w:rsid w:val="00066B0A"/>
    <w:rsid w:val="00066CC7"/>
    <w:rsid w:val="00066E2F"/>
    <w:rsid w:val="00070006"/>
    <w:rsid w:val="00070940"/>
    <w:rsid w:val="00071149"/>
    <w:rsid w:val="00072E7C"/>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DDE"/>
    <w:rsid w:val="000900DB"/>
    <w:rsid w:val="0009037F"/>
    <w:rsid w:val="00090F1F"/>
    <w:rsid w:val="00091A81"/>
    <w:rsid w:val="00091CF0"/>
    <w:rsid w:val="00091D81"/>
    <w:rsid w:val="00091DBD"/>
    <w:rsid w:val="0009298F"/>
    <w:rsid w:val="00092B50"/>
    <w:rsid w:val="0009473C"/>
    <w:rsid w:val="00094B25"/>
    <w:rsid w:val="00096C0A"/>
    <w:rsid w:val="000A11A8"/>
    <w:rsid w:val="000A1FAF"/>
    <w:rsid w:val="000A2B2C"/>
    <w:rsid w:val="000A2BEF"/>
    <w:rsid w:val="000A46AA"/>
    <w:rsid w:val="000A69E6"/>
    <w:rsid w:val="000B0466"/>
    <w:rsid w:val="000B0723"/>
    <w:rsid w:val="000B0890"/>
    <w:rsid w:val="000B0DCC"/>
    <w:rsid w:val="000B18AE"/>
    <w:rsid w:val="000B1DF3"/>
    <w:rsid w:val="000B2BE5"/>
    <w:rsid w:val="000B3222"/>
    <w:rsid w:val="000B32DE"/>
    <w:rsid w:val="000B4951"/>
    <w:rsid w:val="000B4D63"/>
    <w:rsid w:val="000B6CB5"/>
    <w:rsid w:val="000B7452"/>
    <w:rsid w:val="000B7B79"/>
    <w:rsid w:val="000C0584"/>
    <w:rsid w:val="000C0FB6"/>
    <w:rsid w:val="000C1603"/>
    <w:rsid w:val="000C273D"/>
    <w:rsid w:val="000C283F"/>
    <w:rsid w:val="000C4326"/>
    <w:rsid w:val="000C4D39"/>
    <w:rsid w:val="000C584C"/>
    <w:rsid w:val="000C666D"/>
    <w:rsid w:val="000C79D9"/>
    <w:rsid w:val="000C7DD3"/>
    <w:rsid w:val="000D0DC3"/>
    <w:rsid w:val="000D1226"/>
    <w:rsid w:val="000D217D"/>
    <w:rsid w:val="000D25C0"/>
    <w:rsid w:val="000D2C04"/>
    <w:rsid w:val="000D2E80"/>
    <w:rsid w:val="000D3D83"/>
    <w:rsid w:val="000D40F7"/>
    <w:rsid w:val="000D4ED9"/>
    <w:rsid w:val="000E04AF"/>
    <w:rsid w:val="000E0C43"/>
    <w:rsid w:val="000E179B"/>
    <w:rsid w:val="000E1F91"/>
    <w:rsid w:val="000E2A68"/>
    <w:rsid w:val="000E33F1"/>
    <w:rsid w:val="000E5850"/>
    <w:rsid w:val="000E67A2"/>
    <w:rsid w:val="000F056C"/>
    <w:rsid w:val="000F12D9"/>
    <w:rsid w:val="000F287A"/>
    <w:rsid w:val="000F408F"/>
    <w:rsid w:val="000F4445"/>
    <w:rsid w:val="000F45DC"/>
    <w:rsid w:val="000F4CFC"/>
    <w:rsid w:val="000F4D84"/>
    <w:rsid w:val="000F6065"/>
    <w:rsid w:val="000F6DC1"/>
    <w:rsid w:val="000F6DDB"/>
    <w:rsid w:val="000F7254"/>
    <w:rsid w:val="00100021"/>
    <w:rsid w:val="00101CFD"/>
    <w:rsid w:val="00102151"/>
    <w:rsid w:val="0010289E"/>
    <w:rsid w:val="001062DC"/>
    <w:rsid w:val="00106637"/>
    <w:rsid w:val="00106E7C"/>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2329"/>
    <w:rsid w:val="00122D43"/>
    <w:rsid w:val="0012404F"/>
    <w:rsid w:val="0012430B"/>
    <w:rsid w:val="001267D4"/>
    <w:rsid w:val="001269A0"/>
    <w:rsid w:val="0012764B"/>
    <w:rsid w:val="0013083A"/>
    <w:rsid w:val="00132C3D"/>
    <w:rsid w:val="00135A85"/>
    <w:rsid w:val="001370C1"/>
    <w:rsid w:val="001377A2"/>
    <w:rsid w:val="00137A71"/>
    <w:rsid w:val="00137BCF"/>
    <w:rsid w:val="00137E9B"/>
    <w:rsid w:val="00140CB9"/>
    <w:rsid w:val="0014296E"/>
    <w:rsid w:val="0014344A"/>
    <w:rsid w:val="00143CE9"/>
    <w:rsid w:val="00144513"/>
    <w:rsid w:val="00145655"/>
    <w:rsid w:val="0014617D"/>
    <w:rsid w:val="00146767"/>
    <w:rsid w:val="00146E80"/>
    <w:rsid w:val="001474E5"/>
    <w:rsid w:val="00147B42"/>
    <w:rsid w:val="00147D23"/>
    <w:rsid w:val="00150A86"/>
    <w:rsid w:val="00150F37"/>
    <w:rsid w:val="001510EB"/>
    <w:rsid w:val="00151CD6"/>
    <w:rsid w:val="00151F09"/>
    <w:rsid w:val="00152213"/>
    <w:rsid w:val="001556A8"/>
    <w:rsid w:val="00157CD2"/>
    <w:rsid w:val="00160C09"/>
    <w:rsid w:val="0016104C"/>
    <w:rsid w:val="001620FA"/>
    <w:rsid w:val="001620FE"/>
    <w:rsid w:val="0016230E"/>
    <w:rsid w:val="00164B9F"/>
    <w:rsid w:val="00166361"/>
    <w:rsid w:val="00166F6A"/>
    <w:rsid w:val="0016760C"/>
    <w:rsid w:val="001700DA"/>
    <w:rsid w:val="00170D25"/>
    <w:rsid w:val="0017129A"/>
    <w:rsid w:val="00171BD9"/>
    <w:rsid w:val="00174A97"/>
    <w:rsid w:val="00176175"/>
    <w:rsid w:val="00176AB8"/>
    <w:rsid w:val="00177E3B"/>
    <w:rsid w:val="00180217"/>
    <w:rsid w:val="001804CF"/>
    <w:rsid w:val="00180715"/>
    <w:rsid w:val="00181798"/>
    <w:rsid w:val="00181E12"/>
    <w:rsid w:val="00182C39"/>
    <w:rsid w:val="001839BC"/>
    <w:rsid w:val="00184180"/>
    <w:rsid w:val="00184237"/>
    <w:rsid w:val="00184E8E"/>
    <w:rsid w:val="001854D5"/>
    <w:rsid w:val="00185CCB"/>
    <w:rsid w:val="0018612B"/>
    <w:rsid w:val="00190520"/>
    <w:rsid w:val="0019117C"/>
    <w:rsid w:val="00191206"/>
    <w:rsid w:val="001914F0"/>
    <w:rsid w:val="00191505"/>
    <w:rsid w:val="00193370"/>
    <w:rsid w:val="00193BCA"/>
    <w:rsid w:val="00193CD9"/>
    <w:rsid w:val="00194673"/>
    <w:rsid w:val="00195725"/>
    <w:rsid w:val="00195844"/>
    <w:rsid w:val="001958D2"/>
    <w:rsid w:val="00195E91"/>
    <w:rsid w:val="00196536"/>
    <w:rsid w:val="0019716B"/>
    <w:rsid w:val="001A05FF"/>
    <w:rsid w:val="001A21C8"/>
    <w:rsid w:val="001A524D"/>
    <w:rsid w:val="001A56FC"/>
    <w:rsid w:val="001A5DC7"/>
    <w:rsid w:val="001A65C8"/>
    <w:rsid w:val="001A710F"/>
    <w:rsid w:val="001A7956"/>
    <w:rsid w:val="001B0531"/>
    <w:rsid w:val="001B12BE"/>
    <w:rsid w:val="001B234C"/>
    <w:rsid w:val="001B2439"/>
    <w:rsid w:val="001B48C7"/>
    <w:rsid w:val="001B4DB8"/>
    <w:rsid w:val="001B4EA1"/>
    <w:rsid w:val="001B56BB"/>
    <w:rsid w:val="001B5F00"/>
    <w:rsid w:val="001B65F0"/>
    <w:rsid w:val="001B6AA1"/>
    <w:rsid w:val="001B70BA"/>
    <w:rsid w:val="001B7ED8"/>
    <w:rsid w:val="001C0CF1"/>
    <w:rsid w:val="001C1868"/>
    <w:rsid w:val="001C18F8"/>
    <w:rsid w:val="001C1D3D"/>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302"/>
    <w:rsid w:val="001D705B"/>
    <w:rsid w:val="001D7AE2"/>
    <w:rsid w:val="001D7C73"/>
    <w:rsid w:val="001D7CBD"/>
    <w:rsid w:val="001E0D70"/>
    <w:rsid w:val="001E1730"/>
    <w:rsid w:val="001E207B"/>
    <w:rsid w:val="001E5A56"/>
    <w:rsid w:val="001F01C9"/>
    <w:rsid w:val="001F1EEA"/>
    <w:rsid w:val="001F22E9"/>
    <w:rsid w:val="001F2A42"/>
    <w:rsid w:val="001F3F1A"/>
    <w:rsid w:val="001F4A09"/>
    <w:rsid w:val="001F5DA1"/>
    <w:rsid w:val="0020073A"/>
    <w:rsid w:val="00201EFA"/>
    <w:rsid w:val="00202388"/>
    <w:rsid w:val="00203A86"/>
    <w:rsid w:val="00203DF5"/>
    <w:rsid w:val="002050D7"/>
    <w:rsid w:val="00205B20"/>
    <w:rsid w:val="00205F28"/>
    <w:rsid w:val="002062D0"/>
    <w:rsid w:val="0020659C"/>
    <w:rsid w:val="002065E1"/>
    <w:rsid w:val="00206EA4"/>
    <w:rsid w:val="00210A41"/>
    <w:rsid w:val="00210A7F"/>
    <w:rsid w:val="0021107B"/>
    <w:rsid w:val="002117A5"/>
    <w:rsid w:val="00213542"/>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303D1"/>
    <w:rsid w:val="0023041D"/>
    <w:rsid w:val="002309B4"/>
    <w:rsid w:val="0023111D"/>
    <w:rsid w:val="002314B7"/>
    <w:rsid w:val="00231AFD"/>
    <w:rsid w:val="002323E6"/>
    <w:rsid w:val="00233A7D"/>
    <w:rsid w:val="00234352"/>
    <w:rsid w:val="00241E92"/>
    <w:rsid w:val="00242BD7"/>
    <w:rsid w:val="00242E70"/>
    <w:rsid w:val="0024370E"/>
    <w:rsid w:val="00243A6E"/>
    <w:rsid w:val="002442E9"/>
    <w:rsid w:val="002452A0"/>
    <w:rsid w:val="00245C4C"/>
    <w:rsid w:val="00246534"/>
    <w:rsid w:val="0024789F"/>
    <w:rsid w:val="00250E92"/>
    <w:rsid w:val="002512E2"/>
    <w:rsid w:val="00251DE1"/>
    <w:rsid w:val="00252ABB"/>
    <w:rsid w:val="00254122"/>
    <w:rsid w:val="00254C16"/>
    <w:rsid w:val="00255916"/>
    <w:rsid w:val="00260B3A"/>
    <w:rsid w:val="00260DF5"/>
    <w:rsid w:val="00260F6A"/>
    <w:rsid w:val="00261082"/>
    <w:rsid w:val="0026127F"/>
    <w:rsid w:val="002612F3"/>
    <w:rsid w:val="002619E8"/>
    <w:rsid w:val="00262324"/>
    <w:rsid w:val="00262F15"/>
    <w:rsid w:val="00263CA2"/>
    <w:rsid w:val="00264720"/>
    <w:rsid w:val="00264DEA"/>
    <w:rsid w:val="002715B9"/>
    <w:rsid w:val="00272C6C"/>
    <w:rsid w:val="00273A42"/>
    <w:rsid w:val="00274C2E"/>
    <w:rsid w:val="0027662C"/>
    <w:rsid w:val="002767E5"/>
    <w:rsid w:val="002779DC"/>
    <w:rsid w:val="00277DF2"/>
    <w:rsid w:val="00283658"/>
    <w:rsid w:val="00283CD3"/>
    <w:rsid w:val="0028465B"/>
    <w:rsid w:val="00285154"/>
    <w:rsid w:val="00285FAA"/>
    <w:rsid w:val="002862CE"/>
    <w:rsid w:val="002876E3"/>
    <w:rsid w:val="00287AF9"/>
    <w:rsid w:val="00287C7F"/>
    <w:rsid w:val="00287F80"/>
    <w:rsid w:val="00291469"/>
    <w:rsid w:val="00294608"/>
    <w:rsid w:val="00294851"/>
    <w:rsid w:val="00295720"/>
    <w:rsid w:val="00297252"/>
    <w:rsid w:val="00297FC8"/>
    <w:rsid w:val="002A1382"/>
    <w:rsid w:val="002A2429"/>
    <w:rsid w:val="002A299D"/>
    <w:rsid w:val="002A2E47"/>
    <w:rsid w:val="002A4789"/>
    <w:rsid w:val="002A51CB"/>
    <w:rsid w:val="002A55C7"/>
    <w:rsid w:val="002A56A5"/>
    <w:rsid w:val="002A58A2"/>
    <w:rsid w:val="002A5BD2"/>
    <w:rsid w:val="002A5EDA"/>
    <w:rsid w:val="002A7E34"/>
    <w:rsid w:val="002B0E36"/>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3F"/>
    <w:rsid w:val="002C61B3"/>
    <w:rsid w:val="002C6909"/>
    <w:rsid w:val="002C6B83"/>
    <w:rsid w:val="002C6E9E"/>
    <w:rsid w:val="002D06DE"/>
    <w:rsid w:val="002D0D6A"/>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31EB"/>
    <w:rsid w:val="002F54CF"/>
    <w:rsid w:val="002F5516"/>
    <w:rsid w:val="002F5D0D"/>
    <w:rsid w:val="002F6323"/>
    <w:rsid w:val="003002D6"/>
    <w:rsid w:val="00302A1D"/>
    <w:rsid w:val="00302A3E"/>
    <w:rsid w:val="00302F28"/>
    <w:rsid w:val="00303516"/>
    <w:rsid w:val="00303688"/>
    <w:rsid w:val="00304BD5"/>
    <w:rsid w:val="00305489"/>
    <w:rsid w:val="003058DF"/>
    <w:rsid w:val="00306025"/>
    <w:rsid w:val="00310148"/>
    <w:rsid w:val="00311070"/>
    <w:rsid w:val="003112E5"/>
    <w:rsid w:val="00311698"/>
    <w:rsid w:val="00311CEC"/>
    <w:rsid w:val="00312284"/>
    <w:rsid w:val="00312DCD"/>
    <w:rsid w:val="003139F4"/>
    <w:rsid w:val="00314756"/>
    <w:rsid w:val="003156F3"/>
    <w:rsid w:val="00315A9B"/>
    <w:rsid w:val="003218A0"/>
    <w:rsid w:val="00321CFE"/>
    <w:rsid w:val="00322A9D"/>
    <w:rsid w:val="00324767"/>
    <w:rsid w:val="003247A3"/>
    <w:rsid w:val="003250F6"/>
    <w:rsid w:val="003257FE"/>
    <w:rsid w:val="003268C6"/>
    <w:rsid w:val="003268EB"/>
    <w:rsid w:val="0032732A"/>
    <w:rsid w:val="00331169"/>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58F3"/>
    <w:rsid w:val="003460F4"/>
    <w:rsid w:val="00347228"/>
    <w:rsid w:val="00347540"/>
    <w:rsid w:val="00350A20"/>
    <w:rsid w:val="00351C09"/>
    <w:rsid w:val="00351C14"/>
    <w:rsid w:val="00352327"/>
    <w:rsid w:val="00352393"/>
    <w:rsid w:val="00352C98"/>
    <w:rsid w:val="00353241"/>
    <w:rsid w:val="00355517"/>
    <w:rsid w:val="00355634"/>
    <w:rsid w:val="0035590B"/>
    <w:rsid w:val="00355916"/>
    <w:rsid w:val="00360726"/>
    <w:rsid w:val="003608B3"/>
    <w:rsid w:val="00362412"/>
    <w:rsid w:val="003627AB"/>
    <w:rsid w:val="0036399C"/>
    <w:rsid w:val="00365CB3"/>
    <w:rsid w:val="00366185"/>
    <w:rsid w:val="0036720E"/>
    <w:rsid w:val="00367925"/>
    <w:rsid w:val="00371F6E"/>
    <w:rsid w:val="00372391"/>
    <w:rsid w:val="0037248B"/>
    <w:rsid w:val="003725BA"/>
    <w:rsid w:val="00373F42"/>
    <w:rsid w:val="00376A77"/>
    <w:rsid w:val="00380A33"/>
    <w:rsid w:val="00380CA5"/>
    <w:rsid w:val="00380F64"/>
    <w:rsid w:val="0038120A"/>
    <w:rsid w:val="00381456"/>
    <w:rsid w:val="00384B95"/>
    <w:rsid w:val="00385293"/>
    <w:rsid w:val="0038551F"/>
    <w:rsid w:val="0038600A"/>
    <w:rsid w:val="0038658C"/>
    <w:rsid w:val="003865D6"/>
    <w:rsid w:val="00386838"/>
    <w:rsid w:val="00390E6A"/>
    <w:rsid w:val="003910AE"/>
    <w:rsid w:val="00392140"/>
    <w:rsid w:val="00392CC9"/>
    <w:rsid w:val="00392CD9"/>
    <w:rsid w:val="003931D5"/>
    <w:rsid w:val="00393FC0"/>
    <w:rsid w:val="0039549A"/>
    <w:rsid w:val="0039627D"/>
    <w:rsid w:val="0039689B"/>
    <w:rsid w:val="003968B9"/>
    <w:rsid w:val="00397814"/>
    <w:rsid w:val="003A11FC"/>
    <w:rsid w:val="003A165D"/>
    <w:rsid w:val="003A22D0"/>
    <w:rsid w:val="003A2742"/>
    <w:rsid w:val="003A34C8"/>
    <w:rsid w:val="003A452B"/>
    <w:rsid w:val="003A652D"/>
    <w:rsid w:val="003A7D23"/>
    <w:rsid w:val="003B0262"/>
    <w:rsid w:val="003B067A"/>
    <w:rsid w:val="003B07D7"/>
    <w:rsid w:val="003B09F2"/>
    <w:rsid w:val="003B2239"/>
    <w:rsid w:val="003B3680"/>
    <w:rsid w:val="003B570A"/>
    <w:rsid w:val="003B6473"/>
    <w:rsid w:val="003B6506"/>
    <w:rsid w:val="003B7B1F"/>
    <w:rsid w:val="003C062A"/>
    <w:rsid w:val="003C156C"/>
    <w:rsid w:val="003C194F"/>
    <w:rsid w:val="003C1FAD"/>
    <w:rsid w:val="003C251E"/>
    <w:rsid w:val="003C26C4"/>
    <w:rsid w:val="003C28EA"/>
    <w:rsid w:val="003C2A80"/>
    <w:rsid w:val="003C4051"/>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4EF0"/>
    <w:rsid w:val="003D63C4"/>
    <w:rsid w:val="003E013F"/>
    <w:rsid w:val="003E0D3F"/>
    <w:rsid w:val="003E1462"/>
    <w:rsid w:val="003E1B37"/>
    <w:rsid w:val="003E391A"/>
    <w:rsid w:val="003E4DB4"/>
    <w:rsid w:val="003E54E4"/>
    <w:rsid w:val="003E566B"/>
    <w:rsid w:val="003E57D9"/>
    <w:rsid w:val="003F054D"/>
    <w:rsid w:val="003F0764"/>
    <w:rsid w:val="003F15B5"/>
    <w:rsid w:val="003F2D87"/>
    <w:rsid w:val="003F31F5"/>
    <w:rsid w:val="003F32AB"/>
    <w:rsid w:val="003F5DD0"/>
    <w:rsid w:val="003F65E9"/>
    <w:rsid w:val="00400DD2"/>
    <w:rsid w:val="00401A8E"/>
    <w:rsid w:val="00402B0E"/>
    <w:rsid w:val="00402C54"/>
    <w:rsid w:val="00403E3C"/>
    <w:rsid w:val="004048E4"/>
    <w:rsid w:val="00404A9D"/>
    <w:rsid w:val="004052EB"/>
    <w:rsid w:val="004054AC"/>
    <w:rsid w:val="004062A1"/>
    <w:rsid w:val="004071B7"/>
    <w:rsid w:val="00407803"/>
    <w:rsid w:val="00407A7B"/>
    <w:rsid w:val="00407C35"/>
    <w:rsid w:val="00410268"/>
    <w:rsid w:val="0041143B"/>
    <w:rsid w:val="004137B5"/>
    <w:rsid w:val="00414B70"/>
    <w:rsid w:val="00414B9C"/>
    <w:rsid w:val="00415492"/>
    <w:rsid w:val="00415811"/>
    <w:rsid w:val="00415ABF"/>
    <w:rsid w:val="00421A01"/>
    <w:rsid w:val="00421F5B"/>
    <w:rsid w:val="00423CF9"/>
    <w:rsid w:val="0042529B"/>
    <w:rsid w:val="0042612F"/>
    <w:rsid w:val="004314D8"/>
    <w:rsid w:val="00431EFA"/>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3C24"/>
    <w:rsid w:val="00455177"/>
    <w:rsid w:val="004569A5"/>
    <w:rsid w:val="00456A14"/>
    <w:rsid w:val="0045704F"/>
    <w:rsid w:val="00457A9A"/>
    <w:rsid w:val="00460873"/>
    <w:rsid w:val="0046184C"/>
    <w:rsid w:val="004619A2"/>
    <w:rsid w:val="00463FAF"/>
    <w:rsid w:val="00464B4F"/>
    <w:rsid w:val="0046611B"/>
    <w:rsid w:val="004661EE"/>
    <w:rsid w:val="0047091E"/>
    <w:rsid w:val="0047120C"/>
    <w:rsid w:val="004715A4"/>
    <w:rsid w:val="004715E9"/>
    <w:rsid w:val="00472165"/>
    <w:rsid w:val="00472AB0"/>
    <w:rsid w:val="00472CB6"/>
    <w:rsid w:val="004748CB"/>
    <w:rsid w:val="00475237"/>
    <w:rsid w:val="00476642"/>
    <w:rsid w:val="004801D4"/>
    <w:rsid w:val="004809E1"/>
    <w:rsid w:val="004842D4"/>
    <w:rsid w:val="00484463"/>
    <w:rsid w:val="00484838"/>
    <w:rsid w:val="00484B58"/>
    <w:rsid w:val="00485E5B"/>
    <w:rsid w:val="00485F40"/>
    <w:rsid w:val="00487B7F"/>
    <w:rsid w:val="00487CA8"/>
    <w:rsid w:val="00487E45"/>
    <w:rsid w:val="00490179"/>
    <w:rsid w:val="004904FB"/>
    <w:rsid w:val="0049345D"/>
    <w:rsid w:val="00494800"/>
    <w:rsid w:val="00495511"/>
    <w:rsid w:val="00495D0E"/>
    <w:rsid w:val="004968ED"/>
    <w:rsid w:val="00496E26"/>
    <w:rsid w:val="0049766B"/>
    <w:rsid w:val="004A00A4"/>
    <w:rsid w:val="004A0C75"/>
    <w:rsid w:val="004A202B"/>
    <w:rsid w:val="004A207A"/>
    <w:rsid w:val="004A2C2C"/>
    <w:rsid w:val="004A397F"/>
    <w:rsid w:val="004A468B"/>
    <w:rsid w:val="004A4BFC"/>
    <w:rsid w:val="004A5C45"/>
    <w:rsid w:val="004A617D"/>
    <w:rsid w:val="004A6745"/>
    <w:rsid w:val="004A6EB2"/>
    <w:rsid w:val="004A75B8"/>
    <w:rsid w:val="004A7614"/>
    <w:rsid w:val="004A7B80"/>
    <w:rsid w:val="004A7F61"/>
    <w:rsid w:val="004B14C9"/>
    <w:rsid w:val="004B2DCA"/>
    <w:rsid w:val="004B3EAE"/>
    <w:rsid w:val="004B4EC5"/>
    <w:rsid w:val="004B6650"/>
    <w:rsid w:val="004C13DC"/>
    <w:rsid w:val="004C1AC4"/>
    <w:rsid w:val="004C1B7C"/>
    <w:rsid w:val="004C2929"/>
    <w:rsid w:val="004C2A85"/>
    <w:rsid w:val="004C2E7E"/>
    <w:rsid w:val="004C344E"/>
    <w:rsid w:val="004C3DB0"/>
    <w:rsid w:val="004C616D"/>
    <w:rsid w:val="004C6ABC"/>
    <w:rsid w:val="004C6DAE"/>
    <w:rsid w:val="004C7DD5"/>
    <w:rsid w:val="004D1514"/>
    <w:rsid w:val="004D1796"/>
    <w:rsid w:val="004D187B"/>
    <w:rsid w:val="004D2927"/>
    <w:rsid w:val="004D29A1"/>
    <w:rsid w:val="004D2A18"/>
    <w:rsid w:val="004D3236"/>
    <w:rsid w:val="004D3C21"/>
    <w:rsid w:val="004D4687"/>
    <w:rsid w:val="004D4E16"/>
    <w:rsid w:val="004D76DE"/>
    <w:rsid w:val="004D7D40"/>
    <w:rsid w:val="004D7F94"/>
    <w:rsid w:val="004E1571"/>
    <w:rsid w:val="004E267C"/>
    <w:rsid w:val="004E2AAF"/>
    <w:rsid w:val="004E3171"/>
    <w:rsid w:val="004E3297"/>
    <w:rsid w:val="004E3494"/>
    <w:rsid w:val="004E3609"/>
    <w:rsid w:val="004E3E12"/>
    <w:rsid w:val="004E5ACB"/>
    <w:rsid w:val="004E7420"/>
    <w:rsid w:val="004E773B"/>
    <w:rsid w:val="004F0275"/>
    <w:rsid w:val="004F0B21"/>
    <w:rsid w:val="004F11FF"/>
    <w:rsid w:val="004F2122"/>
    <w:rsid w:val="004F36F1"/>
    <w:rsid w:val="004F3F3F"/>
    <w:rsid w:val="004F49B0"/>
    <w:rsid w:val="004F6834"/>
    <w:rsid w:val="004F77A5"/>
    <w:rsid w:val="005011FB"/>
    <w:rsid w:val="00502652"/>
    <w:rsid w:val="00503049"/>
    <w:rsid w:val="00503361"/>
    <w:rsid w:val="005044D8"/>
    <w:rsid w:val="00504D7F"/>
    <w:rsid w:val="00505D19"/>
    <w:rsid w:val="005063FE"/>
    <w:rsid w:val="00507E56"/>
    <w:rsid w:val="00510B02"/>
    <w:rsid w:val="00512040"/>
    <w:rsid w:val="00513329"/>
    <w:rsid w:val="00513A7F"/>
    <w:rsid w:val="00514230"/>
    <w:rsid w:val="00514EF5"/>
    <w:rsid w:val="00515044"/>
    <w:rsid w:val="00516681"/>
    <w:rsid w:val="005175AB"/>
    <w:rsid w:val="0051767C"/>
    <w:rsid w:val="00517D38"/>
    <w:rsid w:val="00522AA8"/>
    <w:rsid w:val="00522DC1"/>
    <w:rsid w:val="005243D0"/>
    <w:rsid w:val="005255EC"/>
    <w:rsid w:val="00525770"/>
    <w:rsid w:val="00525AD5"/>
    <w:rsid w:val="005263C9"/>
    <w:rsid w:val="00526A4C"/>
    <w:rsid w:val="00526D5C"/>
    <w:rsid w:val="00527592"/>
    <w:rsid w:val="005275C7"/>
    <w:rsid w:val="00530A8F"/>
    <w:rsid w:val="0053167C"/>
    <w:rsid w:val="00531DC5"/>
    <w:rsid w:val="00531FDC"/>
    <w:rsid w:val="00533A59"/>
    <w:rsid w:val="00533E04"/>
    <w:rsid w:val="005354FA"/>
    <w:rsid w:val="00536FAA"/>
    <w:rsid w:val="005370D7"/>
    <w:rsid w:val="005375F9"/>
    <w:rsid w:val="00540C0C"/>
    <w:rsid w:val="00540EB6"/>
    <w:rsid w:val="00542FE3"/>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C06"/>
    <w:rsid w:val="00554E3F"/>
    <w:rsid w:val="00556473"/>
    <w:rsid w:val="00560027"/>
    <w:rsid w:val="00560210"/>
    <w:rsid w:val="00561447"/>
    <w:rsid w:val="005618A4"/>
    <w:rsid w:val="005637E8"/>
    <w:rsid w:val="005643E8"/>
    <w:rsid w:val="00564E2C"/>
    <w:rsid w:val="00565275"/>
    <w:rsid w:val="00565EF3"/>
    <w:rsid w:val="00566ABE"/>
    <w:rsid w:val="005675C6"/>
    <w:rsid w:val="00567A4F"/>
    <w:rsid w:val="00570208"/>
    <w:rsid w:val="00570792"/>
    <w:rsid w:val="00572901"/>
    <w:rsid w:val="00572E79"/>
    <w:rsid w:val="00573825"/>
    <w:rsid w:val="005742F1"/>
    <w:rsid w:val="00576CF3"/>
    <w:rsid w:val="00576E88"/>
    <w:rsid w:val="00580F7A"/>
    <w:rsid w:val="005816C4"/>
    <w:rsid w:val="00582D84"/>
    <w:rsid w:val="00582E90"/>
    <w:rsid w:val="00583F74"/>
    <w:rsid w:val="00587589"/>
    <w:rsid w:val="0059032E"/>
    <w:rsid w:val="0059071C"/>
    <w:rsid w:val="00590CA3"/>
    <w:rsid w:val="00590D87"/>
    <w:rsid w:val="00591CAC"/>
    <w:rsid w:val="00592DF2"/>
    <w:rsid w:val="00593108"/>
    <w:rsid w:val="00593589"/>
    <w:rsid w:val="00593F10"/>
    <w:rsid w:val="005942F3"/>
    <w:rsid w:val="005955AE"/>
    <w:rsid w:val="00595A2D"/>
    <w:rsid w:val="00596358"/>
    <w:rsid w:val="00596894"/>
    <w:rsid w:val="0059792D"/>
    <w:rsid w:val="005A109D"/>
    <w:rsid w:val="005A1A1A"/>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A4C"/>
    <w:rsid w:val="005D0D26"/>
    <w:rsid w:val="005D0DB6"/>
    <w:rsid w:val="005D3D2F"/>
    <w:rsid w:val="005D602A"/>
    <w:rsid w:val="005E0D55"/>
    <w:rsid w:val="005E0ECF"/>
    <w:rsid w:val="005E3740"/>
    <w:rsid w:val="005E4FE3"/>
    <w:rsid w:val="005E5C2F"/>
    <w:rsid w:val="005E6F56"/>
    <w:rsid w:val="005F02F8"/>
    <w:rsid w:val="005F06CC"/>
    <w:rsid w:val="005F17EC"/>
    <w:rsid w:val="005F1DC3"/>
    <w:rsid w:val="005F2085"/>
    <w:rsid w:val="005F2661"/>
    <w:rsid w:val="005F3DB1"/>
    <w:rsid w:val="005F41C3"/>
    <w:rsid w:val="005F469E"/>
    <w:rsid w:val="005F496C"/>
    <w:rsid w:val="005F66F9"/>
    <w:rsid w:val="005F7CD0"/>
    <w:rsid w:val="00600436"/>
    <w:rsid w:val="006014D6"/>
    <w:rsid w:val="0060226F"/>
    <w:rsid w:val="00603E1E"/>
    <w:rsid w:val="00605137"/>
    <w:rsid w:val="006055E1"/>
    <w:rsid w:val="006069A8"/>
    <w:rsid w:val="00606A01"/>
    <w:rsid w:val="00607F29"/>
    <w:rsid w:val="00611A81"/>
    <w:rsid w:val="0061200A"/>
    <w:rsid w:val="006123A5"/>
    <w:rsid w:val="00612461"/>
    <w:rsid w:val="00612D55"/>
    <w:rsid w:val="006130AA"/>
    <w:rsid w:val="00613BBD"/>
    <w:rsid w:val="00614C12"/>
    <w:rsid w:val="0061588E"/>
    <w:rsid w:val="00616118"/>
    <w:rsid w:val="00616C30"/>
    <w:rsid w:val="00617CEF"/>
    <w:rsid w:val="00617EA7"/>
    <w:rsid w:val="0062006E"/>
    <w:rsid w:val="00626A99"/>
    <w:rsid w:val="00627664"/>
    <w:rsid w:val="00630401"/>
    <w:rsid w:val="006305A1"/>
    <w:rsid w:val="00630834"/>
    <w:rsid w:val="00630920"/>
    <w:rsid w:val="00631861"/>
    <w:rsid w:val="00632EC1"/>
    <w:rsid w:val="006331DB"/>
    <w:rsid w:val="00634C2C"/>
    <w:rsid w:val="00635A09"/>
    <w:rsid w:val="006363AE"/>
    <w:rsid w:val="00636A9F"/>
    <w:rsid w:val="006377BA"/>
    <w:rsid w:val="00641CFB"/>
    <w:rsid w:val="00642D2C"/>
    <w:rsid w:val="00642E95"/>
    <w:rsid w:val="00643116"/>
    <w:rsid w:val="00643A94"/>
    <w:rsid w:val="00643B68"/>
    <w:rsid w:val="0064532E"/>
    <w:rsid w:val="006459A8"/>
    <w:rsid w:val="006461FB"/>
    <w:rsid w:val="00646345"/>
    <w:rsid w:val="006465AD"/>
    <w:rsid w:val="006465F4"/>
    <w:rsid w:val="006471C3"/>
    <w:rsid w:val="006473AC"/>
    <w:rsid w:val="00647CB3"/>
    <w:rsid w:val="00650CF7"/>
    <w:rsid w:val="0065162D"/>
    <w:rsid w:val="0065196A"/>
    <w:rsid w:val="006520A4"/>
    <w:rsid w:val="006521A2"/>
    <w:rsid w:val="006524E4"/>
    <w:rsid w:val="00653767"/>
    <w:rsid w:val="00654255"/>
    <w:rsid w:val="00654AEA"/>
    <w:rsid w:val="00655AD1"/>
    <w:rsid w:val="00657294"/>
    <w:rsid w:val="00657DD9"/>
    <w:rsid w:val="0066003B"/>
    <w:rsid w:val="00660110"/>
    <w:rsid w:val="006614C5"/>
    <w:rsid w:val="0066179B"/>
    <w:rsid w:val="006617F8"/>
    <w:rsid w:val="0066300E"/>
    <w:rsid w:val="00663040"/>
    <w:rsid w:val="00665CF6"/>
    <w:rsid w:val="0066600C"/>
    <w:rsid w:val="006667BB"/>
    <w:rsid w:val="0066740B"/>
    <w:rsid w:val="00670FDE"/>
    <w:rsid w:val="00671083"/>
    <w:rsid w:val="0067177F"/>
    <w:rsid w:val="006724D3"/>
    <w:rsid w:val="006726A6"/>
    <w:rsid w:val="00673FE6"/>
    <w:rsid w:val="006819C7"/>
    <w:rsid w:val="00682F5E"/>
    <w:rsid w:val="00683029"/>
    <w:rsid w:val="00684526"/>
    <w:rsid w:val="0068499D"/>
    <w:rsid w:val="00684F41"/>
    <w:rsid w:val="006852EA"/>
    <w:rsid w:val="00685452"/>
    <w:rsid w:val="006859CE"/>
    <w:rsid w:val="0068608C"/>
    <w:rsid w:val="00687259"/>
    <w:rsid w:val="00687A24"/>
    <w:rsid w:val="00687D49"/>
    <w:rsid w:val="0069103D"/>
    <w:rsid w:val="0069193F"/>
    <w:rsid w:val="00692789"/>
    <w:rsid w:val="00692D06"/>
    <w:rsid w:val="0069588D"/>
    <w:rsid w:val="00695D1A"/>
    <w:rsid w:val="006962A6"/>
    <w:rsid w:val="006A01B8"/>
    <w:rsid w:val="006A15D7"/>
    <w:rsid w:val="006A188C"/>
    <w:rsid w:val="006A1CC3"/>
    <w:rsid w:val="006A39F2"/>
    <w:rsid w:val="006A4989"/>
    <w:rsid w:val="006A6725"/>
    <w:rsid w:val="006A68E9"/>
    <w:rsid w:val="006A6945"/>
    <w:rsid w:val="006B2A0D"/>
    <w:rsid w:val="006B31A8"/>
    <w:rsid w:val="006B41BF"/>
    <w:rsid w:val="006B6E2F"/>
    <w:rsid w:val="006C2398"/>
    <w:rsid w:val="006C2855"/>
    <w:rsid w:val="006C4017"/>
    <w:rsid w:val="006C4C79"/>
    <w:rsid w:val="006C5E57"/>
    <w:rsid w:val="006C6765"/>
    <w:rsid w:val="006C710C"/>
    <w:rsid w:val="006D0884"/>
    <w:rsid w:val="006D0D9B"/>
    <w:rsid w:val="006D2E96"/>
    <w:rsid w:val="006D6C9A"/>
    <w:rsid w:val="006D735C"/>
    <w:rsid w:val="006E0A9E"/>
    <w:rsid w:val="006E1953"/>
    <w:rsid w:val="006E1F9D"/>
    <w:rsid w:val="006E3896"/>
    <w:rsid w:val="006E420C"/>
    <w:rsid w:val="006E4C9A"/>
    <w:rsid w:val="006E5B15"/>
    <w:rsid w:val="006E5D7B"/>
    <w:rsid w:val="006F103E"/>
    <w:rsid w:val="006F10F6"/>
    <w:rsid w:val="006F2664"/>
    <w:rsid w:val="006F295E"/>
    <w:rsid w:val="006F2961"/>
    <w:rsid w:val="006F3B71"/>
    <w:rsid w:val="006F3EAE"/>
    <w:rsid w:val="006F3F49"/>
    <w:rsid w:val="006F459C"/>
    <w:rsid w:val="006F49D8"/>
    <w:rsid w:val="006F5CDA"/>
    <w:rsid w:val="006F6F3D"/>
    <w:rsid w:val="006F7026"/>
    <w:rsid w:val="006F730A"/>
    <w:rsid w:val="0070059B"/>
    <w:rsid w:val="00700688"/>
    <w:rsid w:val="00700A77"/>
    <w:rsid w:val="007019ED"/>
    <w:rsid w:val="00701EE5"/>
    <w:rsid w:val="0070277F"/>
    <w:rsid w:val="00702CF2"/>
    <w:rsid w:val="00702E64"/>
    <w:rsid w:val="00703F89"/>
    <w:rsid w:val="00705524"/>
    <w:rsid w:val="00705950"/>
    <w:rsid w:val="00706688"/>
    <w:rsid w:val="00706B71"/>
    <w:rsid w:val="00707188"/>
    <w:rsid w:val="00707D72"/>
    <w:rsid w:val="00710F78"/>
    <w:rsid w:val="00711A46"/>
    <w:rsid w:val="00712CD2"/>
    <w:rsid w:val="00713469"/>
    <w:rsid w:val="007139F0"/>
    <w:rsid w:val="007144F7"/>
    <w:rsid w:val="00714517"/>
    <w:rsid w:val="00715296"/>
    <w:rsid w:val="0071559A"/>
    <w:rsid w:val="00715D37"/>
    <w:rsid w:val="00717266"/>
    <w:rsid w:val="0072011E"/>
    <w:rsid w:val="007203FF"/>
    <w:rsid w:val="007206BE"/>
    <w:rsid w:val="0072170F"/>
    <w:rsid w:val="00721DEE"/>
    <w:rsid w:val="00722EB7"/>
    <w:rsid w:val="00724879"/>
    <w:rsid w:val="00724CB3"/>
    <w:rsid w:val="007257C4"/>
    <w:rsid w:val="00726272"/>
    <w:rsid w:val="0072733E"/>
    <w:rsid w:val="00727F8E"/>
    <w:rsid w:val="007317CA"/>
    <w:rsid w:val="007326AB"/>
    <w:rsid w:val="007326EE"/>
    <w:rsid w:val="007327A5"/>
    <w:rsid w:val="00732B7B"/>
    <w:rsid w:val="00732C10"/>
    <w:rsid w:val="00732E89"/>
    <w:rsid w:val="00732E9E"/>
    <w:rsid w:val="007338EB"/>
    <w:rsid w:val="00734206"/>
    <w:rsid w:val="00734C40"/>
    <w:rsid w:val="0073625D"/>
    <w:rsid w:val="00736709"/>
    <w:rsid w:val="0073748F"/>
    <w:rsid w:val="007377E9"/>
    <w:rsid w:val="007402B8"/>
    <w:rsid w:val="007425B4"/>
    <w:rsid w:val="0074265A"/>
    <w:rsid w:val="00742DEE"/>
    <w:rsid w:val="00743655"/>
    <w:rsid w:val="007447BE"/>
    <w:rsid w:val="0074514E"/>
    <w:rsid w:val="007454C6"/>
    <w:rsid w:val="00745BB4"/>
    <w:rsid w:val="00747476"/>
    <w:rsid w:val="00747837"/>
    <w:rsid w:val="007500D8"/>
    <w:rsid w:val="00750610"/>
    <w:rsid w:val="00750B65"/>
    <w:rsid w:val="007511E3"/>
    <w:rsid w:val="007521C2"/>
    <w:rsid w:val="0075220F"/>
    <w:rsid w:val="0075429C"/>
    <w:rsid w:val="0075442C"/>
    <w:rsid w:val="00754728"/>
    <w:rsid w:val="00756273"/>
    <w:rsid w:val="0075705F"/>
    <w:rsid w:val="007604C9"/>
    <w:rsid w:val="00760F15"/>
    <w:rsid w:val="007627AF"/>
    <w:rsid w:val="00762AA2"/>
    <w:rsid w:val="007630D1"/>
    <w:rsid w:val="00763CDC"/>
    <w:rsid w:val="007641E2"/>
    <w:rsid w:val="007642E6"/>
    <w:rsid w:val="007652F7"/>
    <w:rsid w:val="007657C1"/>
    <w:rsid w:val="00767A7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B6A"/>
    <w:rsid w:val="007973B4"/>
    <w:rsid w:val="007A0399"/>
    <w:rsid w:val="007A05B0"/>
    <w:rsid w:val="007A0875"/>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B56"/>
    <w:rsid w:val="007A7CC1"/>
    <w:rsid w:val="007B102D"/>
    <w:rsid w:val="007B146C"/>
    <w:rsid w:val="007B1674"/>
    <w:rsid w:val="007B1D29"/>
    <w:rsid w:val="007B28D9"/>
    <w:rsid w:val="007B30F4"/>
    <w:rsid w:val="007B392E"/>
    <w:rsid w:val="007B3ACF"/>
    <w:rsid w:val="007B44AF"/>
    <w:rsid w:val="007B52FA"/>
    <w:rsid w:val="007B5BD3"/>
    <w:rsid w:val="007B5DA2"/>
    <w:rsid w:val="007B7207"/>
    <w:rsid w:val="007C0CBE"/>
    <w:rsid w:val="007C1F2D"/>
    <w:rsid w:val="007C2E91"/>
    <w:rsid w:val="007C316F"/>
    <w:rsid w:val="007C34D4"/>
    <w:rsid w:val="007D02BC"/>
    <w:rsid w:val="007D03DC"/>
    <w:rsid w:val="007D1335"/>
    <w:rsid w:val="007D16AC"/>
    <w:rsid w:val="007D25EF"/>
    <w:rsid w:val="007D29BC"/>
    <w:rsid w:val="007D29EB"/>
    <w:rsid w:val="007D3BE8"/>
    <w:rsid w:val="007D4262"/>
    <w:rsid w:val="007D4BC6"/>
    <w:rsid w:val="007D5261"/>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EFF"/>
    <w:rsid w:val="007F097F"/>
    <w:rsid w:val="007F2BA8"/>
    <w:rsid w:val="007F39AC"/>
    <w:rsid w:val="007F4349"/>
    <w:rsid w:val="007F585B"/>
    <w:rsid w:val="007F66C3"/>
    <w:rsid w:val="007F74E5"/>
    <w:rsid w:val="007F7CDB"/>
    <w:rsid w:val="00801935"/>
    <w:rsid w:val="00802732"/>
    <w:rsid w:val="00803130"/>
    <w:rsid w:val="008033CA"/>
    <w:rsid w:val="00803DD9"/>
    <w:rsid w:val="00804263"/>
    <w:rsid w:val="0080439F"/>
    <w:rsid w:val="00804582"/>
    <w:rsid w:val="00804D30"/>
    <w:rsid w:val="0080563E"/>
    <w:rsid w:val="00806E0E"/>
    <w:rsid w:val="00807126"/>
    <w:rsid w:val="00807CF7"/>
    <w:rsid w:val="0081082C"/>
    <w:rsid w:val="00811071"/>
    <w:rsid w:val="0081110E"/>
    <w:rsid w:val="00811264"/>
    <w:rsid w:val="0081143F"/>
    <w:rsid w:val="008125B3"/>
    <w:rsid w:val="00812770"/>
    <w:rsid w:val="00814DC2"/>
    <w:rsid w:val="00815D1F"/>
    <w:rsid w:val="00815FAB"/>
    <w:rsid w:val="008167CE"/>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D2F"/>
    <w:rsid w:val="00835E2B"/>
    <w:rsid w:val="00836072"/>
    <w:rsid w:val="00836BA0"/>
    <w:rsid w:val="00836E5B"/>
    <w:rsid w:val="00837108"/>
    <w:rsid w:val="00840ABD"/>
    <w:rsid w:val="00840C37"/>
    <w:rsid w:val="0084188A"/>
    <w:rsid w:val="008429D0"/>
    <w:rsid w:val="00842A9F"/>
    <w:rsid w:val="008438D9"/>
    <w:rsid w:val="008442F2"/>
    <w:rsid w:val="008443CA"/>
    <w:rsid w:val="00844471"/>
    <w:rsid w:val="00845082"/>
    <w:rsid w:val="008468C3"/>
    <w:rsid w:val="00846E49"/>
    <w:rsid w:val="00847119"/>
    <w:rsid w:val="00847120"/>
    <w:rsid w:val="00847C0C"/>
    <w:rsid w:val="00847EAF"/>
    <w:rsid w:val="00850A52"/>
    <w:rsid w:val="00851B75"/>
    <w:rsid w:val="0085524E"/>
    <w:rsid w:val="008578B5"/>
    <w:rsid w:val="00860803"/>
    <w:rsid w:val="00860FA9"/>
    <w:rsid w:val="00860FEC"/>
    <w:rsid w:val="00861B99"/>
    <w:rsid w:val="00863D0B"/>
    <w:rsid w:val="00863DF5"/>
    <w:rsid w:val="00864172"/>
    <w:rsid w:val="008644BC"/>
    <w:rsid w:val="008645FD"/>
    <w:rsid w:val="0086463F"/>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55F5"/>
    <w:rsid w:val="008859EE"/>
    <w:rsid w:val="00885DF1"/>
    <w:rsid w:val="00885EA7"/>
    <w:rsid w:val="00886BAC"/>
    <w:rsid w:val="00887428"/>
    <w:rsid w:val="00890C66"/>
    <w:rsid w:val="008916E2"/>
    <w:rsid w:val="0089171C"/>
    <w:rsid w:val="008919A9"/>
    <w:rsid w:val="00892CA1"/>
    <w:rsid w:val="00893489"/>
    <w:rsid w:val="00893DD3"/>
    <w:rsid w:val="00894241"/>
    <w:rsid w:val="00894952"/>
    <w:rsid w:val="00895148"/>
    <w:rsid w:val="00895AE0"/>
    <w:rsid w:val="00896BBC"/>
    <w:rsid w:val="0089756B"/>
    <w:rsid w:val="008A17D9"/>
    <w:rsid w:val="008A1880"/>
    <w:rsid w:val="008A392E"/>
    <w:rsid w:val="008A5450"/>
    <w:rsid w:val="008A65F7"/>
    <w:rsid w:val="008A79CA"/>
    <w:rsid w:val="008B1718"/>
    <w:rsid w:val="008B1E59"/>
    <w:rsid w:val="008B1FA5"/>
    <w:rsid w:val="008B444F"/>
    <w:rsid w:val="008B5057"/>
    <w:rsid w:val="008B5A8C"/>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453B"/>
    <w:rsid w:val="008D5A59"/>
    <w:rsid w:val="008D6B77"/>
    <w:rsid w:val="008D7F77"/>
    <w:rsid w:val="008E0C0B"/>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5238"/>
    <w:rsid w:val="00905579"/>
    <w:rsid w:val="00905674"/>
    <w:rsid w:val="00905B10"/>
    <w:rsid w:val="0090643A"/>
    <w:rsid w:val="0090663C"/>
    <w:rsid w:val="00907C59"/>
    <w:rsid w:val="00907E1A"/>
    <w:rsid w:val="00910AC6"/>
    <w:rsid w:val="00910E5D"/>
    <w:rsid w:val="0091330D"/>
    <w:rsid w:val="009141FA"/>
    <w:rsid w:val="009142EF"/>
    <w:rsid w:val="00914EC8"/>
    <w:rsid w:val="00915173"/>
    <w:rsid w:val="00915878"/>
    <w:rsid w:val="00917184"/>
    <w:rsid w:val="00917A5B"/>
    <w:rsid w:val="00917F46"/>
    <w:rsid w:val="0092114D"/>
    <w:rsid w:val="00922309"/>
    <w:rsid w:val="0092281A"/>
    <w:rsid w:val="00923368"/>
    <w:rsid w:val="00925C76"/>
    <w:rsid w:val="00926612"/>
    <w:rsid w:val="00926A5A"/>
    <w:rsid w:val="009276AF"/>
    <w:rsid w:val="009277E7"/>
    <w:rsid w:val="00927BE1"/>
    <w:rsid w:val="00930915"/>
    <w:rsid w:val="00932499"/>
    <w:rsid w:val="00932993"/>
    <w:rsid w:val="00933E81"/>
    <w:rsid w:val="00934856"/>
    <w:rsid w:val="00935AD2"/>
    <w:rsid w:val="00936311"/>
    <w:rsid w:val="00936544"/>
    <w:rsid w:val="00936571"/>
    <w:rsid w:val="00936FC2"/>
    <w:rsid w:val="00942299"/>
    <w:rsid w:val="00943C4B"/>
    <w:rsid w:val="00944311"/>
    <w:rsid w:val="00944850"/>
    <w:rsid w:val="00946C56"/>
    <w:rsid w:val="00947105"/>
    <w:rsid w:val="00947487"/>
    <w:rsid w:val="00947853"/>
    <w:rsid w:val="00952005"/>
    <w:rsid w:val="009533D0"/>
    <w:rsid w:val="009536E6"/>
    <w:rsid w:val="0095492C"/>
    <w:rsid w:val="00955200"/>
    <w:rsid w:val="00956752"/>
    <w:rsid w:val="009569E6"/>
    <w:rsid w:val="00956CC0"/>
    <w:rsid w:val="00957B21"/>
    <w:rsid w:val="00960108"/>
    <w:rsid w:val="0096147E"/>
    <w:rsid w:val="009615D4"/>
    <w:rsid w:val="0096183A"/>
    <w:rsid w:val="00962284"/>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CEB"/>
    <w:rsid w:val="00986AFD"/>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5365"/>
    <w:rsid w:val="009B5B0B"/>
    <w:rsid w:val="009B6149"/>
    <w:rsid w:val="009B64E0"/>
    <w:rsid w:val="009B68D9"/>
    <w:rsid w:val="009B73D3"/>
    <w:rsid w:val="009C345C"/>
    <w:rsid w:val="009C3901"/>
    <w:rsid w:val="009C3B92"/>
    <w:rsid w:val="009C4478"/>
    <w:rsid w:val="009C4DFE"/>
    <w:rsid w:val="009C6B07"/>
    <w:rsid w:val="009C76E6"/>
    <w:rsid w:val="009D0597"/>
    <w:rsid w:val="009D21E8"/>
    <w:rsid w:val="009D2740"/>
    <w:rsid w:val="009D3731"/>
    <w:rsid w:val="009D3F48"/>
    <w:rsid w:val="009D5843"/>
    <w:rsid w:val="009D66E3"/>
    <w:rsid w:val="009D6F33"/>
    <w:rsid w:val="009D7813"/>
    <w:rsid w:val="009E12E9"/>
    <w:rsid w:val="009E1FBD"/>
    <w:rsid w:val="009E26B1"/>
    <w:rsid w:val="009E2E79"/>
    <w:rsid w:val="009E2F6C"/>
    <w:rsid w:val="009E4959"/>
    <w:rsid w:val="009E6ADD"/>
    <w:rsid w:val="009F0D58"/>
    <w:rsid w:val="009F193E"/>
    <w:rsid w:val="009F1AB1"/>
    <w:rsid w:val="009F1DC2"/>
    <w:rsid w:val="009F1FE7"/>
    <w:rsid w:val="009F3661"/>
    <w:rsid w:val="009F389C"/>
    <w:rsid w:val="009F3C54"/>
    <w:rsid w:val="009F3CA1"/>
    <w:rsid w:val="009F4241"/>
    <w:rsid w:val="009F46CD"/>
    <w:rsid w:val="009F4B10"/>
    <w:rsid w:val="009F4FD6"/>
    <w:rsid w:val="009F5472"/>
    <w:rsid w:val="009F54C2"/>
    <w:rsid w:val="009F55E5"/>
    <w:rsid w:val="009F69AB"/>
    <w:rsid w:val="009F6EBD"/>
    <w:rsid w:val="009F7269"/>
    <w:rsid w:val="009F77EE"/>
    <w:rsid w:val="009F7B94"/>
    <w:rsid w:val="00A00007"/>
    <w:rsid w:val="00A0059E"/>
    <w:rsid w:val="00A00F09"/>
    <w:rsid w:val="00A014DF"/>
    <w:rsid w:val="00A01BC9"/>
    <w:rsid w:val="00A03A1E"/>
    <w:rsid w:val="00A06AF0"/>
    <w:rsid w:val="00A06E6B"/>
    <w:rsid w:val="00A11CED"/>
    <w:rsid w:val="00A11D3C"/>
    <w:rsid w:val="00A12297"/>
    <w:rsid w:val="00A12C6D"/>
    <w:rsid w:val="00A12C9A"/>
    <w:rsid w:val="00A14460"/>
    <w:rsid w:val="00A152C0"/>
    <w:rsid w:val="00A15349"/>
    <w:rsid w:val="00A17BAF"/>
    <w:rsid w:val="00A17FB0"/>
    <w:rsid w:val="00A20B17"/>
    <w:rsid w:val="00A21065"/>
    <w:rsid w:val="00A21099"/>
    <w:rsid w:val="00A21C46"/>
    <w:rsid w:val="00A22798"/>
    <w:rsid w:val="00A22FD8"/>
    <w:rsid w:val="00A23445"/>
    <w:rsid w:val="00A239F5"/>
    <w:rsid w:val="00A23BA3"/>
    <w:rsid w:val="00A24D20"/>
    <w:rsid w:val="00A24E0B"/>
    <w:rsid w:val="00A24E4F"/>
    <w:rsid w:val="00A258FA"/>
    <w:rsid w:val="00A26739"/>
    <w:rsid w:val="00A26B28"/>
    <w:rsid w:val="00A30E24"/>
    <w:rsid w:val="00A3142F"/>
    <w:rsid w:val="00A324FF"/>
    <w:rsid w:val="00A3283B"/>
    <w:rsid w:val="00A32D1A"/>
    <w:rsid w:val="00A33298"/>
    <w:rsid w:val="00A33C29"/>
    <w:rsid w:val="00A33F18"/>
    <w:rsid w:val="00A34AE4"/>
    <w:rsid w:val="00A34CC1"/>
    <w:rsid w:val="00A34E68"/>
    <w:rsid w:val="00A353D0"/>
    <w:rsid w:val="00A35B11"/>
    <w:rsid w:val="00A3601E"/>
    <w:rsid w:val="00A37671"/>
    <w:rsid w:val="00A376BB"/>
    <w:rsid w:val="00A37787"/>
    <w:rsid w:val="00A4034C"/>
    <w:rsid w:val="00A410CA"/>
    <w:rsid w:val="00A42298"/>
    <w:rsid w:val="00A4429E"/>
    <w:rsid w:val="00A44339"/>
    <w:rsid w:val="00A44C2D"/>
    <w:rsid w:val="00A44D38"/>
    <w:rsid w:val="00A45030"/>
    <w:rsid w:val="00A45094"/>
    <w:rsid w:val="00A4781C"/>
    <w:rsid w:val="00A47919"/>
    <w:rsid w:val="00A47BBB"/>
    <w:rsid w:val="00A52E37"/>
    <w:rsid w:val="00A53C07"/>
    <w:rsid w:val="00A541EA"/>
    <w:rsid w:val="00A55947"/>
    <w:rsid w:val="00A55B63"/>
    <w:rsid w:val="00A56351"/>
    <w:rsid w:val="00A60C8D"/>
    <w:rsid w:val="00A61262"/>
    <w:rsid w:val="00A61D7E"/>
    <w:rsid w:val="00A63304"/>
    <w:rsid w:val="00A638A1"/>
    <w:rsid w:val="00A6392C"/>
    <w:rsid w:val="00A639A4"/>
    <w:rsid w:val="00A63FAD"/>
    <w:rsid w:val="00A64059"/>
    <w:rsid w:val="00A6469B"/>
    <w:rsid w:val="00A6525C"/>
    <w:rsid w:val="00A65903"/>
    <w:rsid w:val="00A662F6"/>
    <w:rsid w:val="00A6755F"/>
    <w:rsid w:val="00A67CFD"/>
    <w:rsid w:val="00A703C0"/>
    <w:rsid w:val="00A7078F"/>
    <w:rsid w:val="00A70955"/>
    <w:rsid w:val="00A70D6C"/>
    <w:rsid w:val="00A70E7C"/>
    <w:rsid w:val="00A73222"/>
    <w:rsid w:val="00A733F7"/>
    <w:rsid w:val="00A73942"/>
    <w:rsid w:val="00A74CE2"/>
    <w:rsid w:val="00A75E36"/>
    <w:rsid w:val="00A77534"/>
    <w:rsid w:val="00A776CC"/>
    <w:rsid w:val="00A77888"/>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18"/>
    <w:rsid w:val="00AB3C3E"/>
    <w:rsid w:val="00AB4C14"/>
    <w:rsid w:val="00AB6835"/>
    <w:rsid w:val="00AB7679"/>
    <w:rsid w:val="00AB79B7"/>
    <w:rsid w:val="00AC05B8"/>
    <w:rsid w:val="00AC37DB"/>
    <w:rsid w:val="00AC4918"/>
    <w:rsid w:val="00AC535D"/>
    <w:rsid w:val="00AC53EE"/>
    <w:rsid w:val="00AC5CE3"/>
    <w:rsid w:val="00AC6355"/>
    <w:rsid w:val="00AC65DB"/>
    <w:rsid w:val="00AC6FCC"/>
    <w:rsid w:val="00AC729C"/>
    <w:rsid w:val="00AC7906"/>
    <w:rsid w:val="00AC7C1E"/>
    <w:rsid w:val="00AD1D9A"/>
    <w:rsid w:val="00AD28AA"/>
    <w:rsid w:val="00AD3174"/>
    <w:rsid w:val="00AD4B09"/>
    <w:rsid w:val="00AD4C1D"/>
    <w:rsid w:val="00AD53A6"/>
    <w:rsid w:val="00AD58B3"/>
    <w:rsid w:val="00AD59A6"/>
    <w:rsid w:val="00AD5FC1"/>
    <w:rsid w:val="00AD7BE2"/>
    <w:rsid w:val="00AD7E4B"/>
    <w:rsid w:val="00AE148E"/>
    <w:rsid w:val="00AE2390"/>
    <w:rsid w:val="00AE3877"/>
    <w:rsid w:val="00AE455E"/>
    <w:rsid w:val="00AE6D0A"/>
    <w:rsid w:val="00AE6DB5"/>
    <w:rsid w:val="00AE6E6A"/>
    <w:rsid w:val="00AF07F7"/>
    <w:rsid w:val="00AF09E0"/>
    <w:rsid w:val="00AF0D32"/>
    <w:rsid w:val="00AF0F5C"/>
    <w:rsid w:val="00AF25A3"/>
    <w:rsid w:val="00AF26BE"/>
    <w:rsid w:val="00AF273D"/>
    <w:rsid w:val="00AF4D73"/>
    <w:rsid w:val="00AF4FBF"/>
    <w:rsid w:val="00AF598B"/>
    <w:rsid w:val="00AF5D92"/>
    <w:rsid w:val="00AF6440"/>
    <w:rsid w:val="00B00F80"/>
    <w:rsid w:val="00B018B8"/>
    <w:rsid w:val="00B02A44"/>
    <w:rsid w:val="00B04C0C"/>
    <w:rsid w:val="00B05066"/>
    <w:rsid w:val="00B05D97"/>
    <w:rsid w:val="00B060FA"/>
    <w:rsid w:val="00B07708"/>
    <w:rsid w:val="00B10366"/>
    <w:rsid w:val="00B11069"/>
    <w:rsid w:val="00B11402"/>
    <w:rsid w:val="00B114A2"/>
    <w:rsid w:val="00B126DD"/>
    <w:rsid w:val="00B14D4C"/>
    <w:rsid w:val="00B1520A"/>
    <w:rsid w:val="00B153FB"/>
    <w:rsid w:val="00B15818"/>
    <w:rsid w:val="00B1677D"/>
    <w:rsid w:val="00B16F93"/>
    <w:rsid w:val="00B17864"/>
    <w:rsid w:val="00B17EAE"/>
    <w:rsid w:val="00B20871"/>
    <w:rsid w:val="00B21D49"/>
    <w:rsid w:val="00B21EF7"/>
    <w:rsid w:val="00B2240A"/>
    <w:rsid w:val="00B22F71"/>
    <w:rsid w:val="00B249F7"/>
    <w:rsid w:val="00B251E4"/>
    <w:rsid w:val="00B256A1"/>
    <w:rsid w:val="00B25A12"/>
    <w:rsid w:val="00B25B24"/>
    <w:rsid w:val="00B25CA9"/>
    <w:rsid w:val="00B2695D"/>
    <w:rsid w:val="00B303CD"/>
    <w:rsid w:val="00B3239F"/>
    <w:rsid w:val="00B32F95"/>
    <w:rsid w:val="00B34073"/>
    <w:rsid w:val="00B36345"/>
    <w:rsid w:val="00B368A5"/>
    <w:rsid w:val="00B369B5"/>
    <w:rsid w:val="00B37A2D"/>
    <w:rsid w:val="00B40A0A"/>
    <w:rsid w:val="00B40BA9"/>
    <w:rsid w:val="00B412D5"/>
    <w:rsid w:val="00B41A98"/>
    <w:rsid w:val="00B41BEB"/>
    <w:rsid w:val="00B435AA"/>
    <w:rsid w:val="00B4425D"/>
    <w:rsid w:val="00B45FA4"/>
    <w:rsid w:val="00B50789"/>
    <w:rsid w:val="00B51011"/>
    <w:rsid w:val="00B51460"/>
    <w:rsid w:val="00B517F0"/>
    <w:rsid w:val="00B526F4"/>
    <w:rsid w:val="00B52884"/>
    <w:rsid w:val="00B53F43"/>
    <w:rsid w:val="00B53FB7"/>
    <w:rsid w:val="00B5404E"/>
    <w:rsid w:val="00B5481B"/>
    <w:rsid w:val="00B55AF1"/>
    <w:rsid w:val="00B57105"/>
    <w:rsid w:val="00B57883"/>
    <w:rsid w:val="00B60EDD"/>
    <w:rsid w:val="00B6122E"/>
    <w:rsid w:val="00B61253"/>
    <w:rsid w:val="00B61E2D"/>
    <w:rsid w:val="00B62C3E"/>
    <w:rsid w:val="00B62CE1"/>
    <w:rsid w:val="00B6336C"/>
    <w:rsid w:val="00B64F7E"/>
    <w:rsid w:val="00B66648"/>
    <w:rsid w:val="00B66923"/>
    <w:rsid w:val="00B7057F"/>
    <w:rsid w:val="00B71718"/>
    <w:rsid w:val="00B71B8E"/>
    <w:rsid w:val="00B71C71"/>
    <w:rsid w:val="00B72255"/>
    <w:rsid w:val="00B72517"/>
    <w:rsid w:val="00B729D5"/>
    <w:rsid w:val="00B737EC"/>
    <w:rsid w:val="00B73F98"/>
    <w:rsid w:val="00B769BF"/>
    <w:rsid w:val="00B76ED0"/>
    <w:rsid w:val="00B777C7"/>
    <w:rsid w:val="00B777E9"/>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0775"/>
    <w:rsid w:val="00B9174A"/>
    <w:rsid w:val="00B92287"/>
    <w:rsid w:val="00B93357"/>
    <w:rsid w:val="00B93F1A"/>
    <w:rsid w:val="00B940F2"/>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14D"/>
    <w:rsid w:val="00BB32D5"/>
    <w:rsid w:val="00BB3976"/>
    <w:rsid w:val="00BB3F8C"/>
    <w:rsid w:val="00BC0538"/>
    <w:rsid w:val="00BC2B23"/>
    <w:rsid w:val="00BC4A2A"/>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A10"/>
    <w:rsid w:val="00BD5C41"/>
    <w:rsid w:val="00BD7786"/>
    <w:rsid w:val="00BD7E3B"/>
    <w:rsid w:val="00BE018E"/>
    <w:rsid w:val="00BE0260"/>
    <w:rsid w:val="00BE02DA"/>
    <w:rsid w:val="00BE057A"/>
    <w:rsid w:val="00BE0F8C"/>
    <w:rsid w:val="00BE24EF"/>
    <w:rsid w:val="00BE2E41"/>
    <w:rsid w:val="00BE3622"/>
    <w:rsid w:val="00BE39CE"/>
    <w:rsid w:val="00BE3E92"/>
    <w:rsid w:val="00BE42DF"/>
    <w:rsid w:val="00BE4385"/>
    <w:rsid w:val="00BE5EF1"/>
    <w:rsid w:val="00BE6481"/>
    <w:rsid w:val="00BE7213"/>
    <w:rsid w:val="00BE7254"/>
    <w:rsid w:val="00BF0539"/>
    <w:rsid w:val="00BF1854"/>
    <w:rsid w:val="00BF1D86"/>
    <w:rsid w:val="00BF2503"/>
    <w:rsid w:val="00BF2806"/>
    <w:rsid w:val="00BF282B"/>
    <w:rsid w:val="00BF3394"/>
    <w:rsid w:val="00BF348A"/>
    <w:rsid w:val="00BF3BDE"/>
    <w:rsid w:val="00BF61A4"/>
    <w:rsid w:val="00BF6637"/>
    <w:rsid w:val="00BF67FF"/>
    <w:rsid w:val="00BF726D"/>
    <w:rsid w:val="00BF7A39"/>
    <w:rsid w:val="00C00D83"/>
    <w:rsid w:val="00C037EA"/>
    <w:rsid w:val="00C03B1D"/>
    <w:rsid w:val="00C03B3B"/>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1035"/>
    <w:rsid w:val="00C21C27"/>
    <w:rsid w:val="00C22A42"/>
    <w:rsid w:val="00C238C0"/>
    <w:rsid w:val="00C260E0"/>
    <w:rsid w:val="00C26BE7"/>
    <w:rsid w:val="00C30E37"/>
    <w:rsid w:val="00C32ADB"/>
    <w:rsid w:val="00C33321"/>
    <w:rsid w:val="00C34558"/>
    <w:rsid w:val="00C34671"/>
    <w:rsid w:val="00C378BD"/>
    <w:rsid w:val="00C37958"/>
    <w:rsid w:val="00C40F15"/>
    <w:rsid w:val="00C4319B"/>
    <w:rsid w:val="00C439EB"/>
    <w:rsid w:val="00C43BFF"/>
    <w:rsid w:val="00C43D3B"/>
    <w:rsid w:val="00C4547A"/>
    <w:rsid w:val="00C466D8"/>
    <w:rsid w:val="00C477DC"/>
    <w:rsid w:val="00C50119"/>
    <w:rsid w:val="00C50ADC"/>
    <w:rsid w:val="00C50AE3"/>
    <w:rsid w:val="00C50B93"/>
    <w:rsid w:val="00C5159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24C"/>
    <w:rsid w:val="00C62577"/>
    <w:rsid w:val="00C63DB0"/>
    <w:rsid w:val="00C65BAC"/>
    <w:rsid w:val="00C668E2"/>
    <w:rsid w:val="00C6701C"/>
    <w:rsid w:val="00C6754F"/>
    <w:rsid w:val="00C727D0"/>
    <w:rsid w:val="00C7345F"/>
    <w:rsid w:val="00C745A2"/>
    <w:rsid w:val="00C75275"/>
    <w:rsid w:val="00C75BAC"/>
    <w:rsid w:val="00C76781"/>
    <w:rsid w:val="00C77479"/>
    <w:rsid w:val="00C776F0"/>
    <w:rsid w:val="00C77EFF"/>
    <w:rsid w:val="00C8158B"/>
    <w:rsid w:val="00C8199E"/>
    <w:rsid w:val="00C826CF"/>
    <w:rsid w:val="00C82FF3"/>
    <w:rsid w:val="00C837B6"/>
    <w:rsid w:val="00C845CF"/>
    <w:rsid w:val="00C85B2D"/>
    <w:rsid w:val="00C8760E"/>
    <w:rsid w:val="00C901B2"/>
    <w:rsid w:val="00C901B6"/>
    <w:rsid w:val="00C9036D"/>
    <w:rsid w:val="00C91738"/>
    <w:rsid w:val="00C918B3"/>
    <w:rsid w:val="00C927F4"/>
    <w:rsid w:val="00C92A63"/>
    <w:rsid w:val="00C93094"/>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3A24"/>
    <w:rsid w:val="00CA4071"/>
    <w:rsid w:val="00CA5776"/>
    <w:rsid w:val="00CA5B18"/>
    <w:rsid w:val="00CA647E"/>
    <w:rsid w:val="00CA6C20"/>
    <w:rsid w:val="00CA70CC"/>
    <w:rsid w:val="00CB078D"/>
    <w:rsid w:val="00CB0D5A"/>
    <w:rsid w:val="00CB169E"/>
    <w:rsid w:val="00CB1C73"/>
    <w:rsid w:val="00CB2DD3"/>
    <w:rsid w:val="00CB433E"/>
    <w:rsid w:val="00CB4BB5"/>
    <w:rsid w:val="00CB5EFA"/>
    <w:rsid w:val="00CB6667"/>
    <w:rsid w:val="00CB76C8"/>
    <w:rsid w:val="00CB7D34"/>
    <w:rsid w:val="00CC1D16"/>
    <w:rsid w:val="00CC352E"/>
    <w:rsid w:val="00CC3A8D"/>
    <w:rsid w:val="00CC3ABD"/>
    <w:rsid w:val="00CC3CDD"/>
    <w:rsid w:val="00CC48C5"/>
    <w:rsid w:val="00CC7363"/>
    <w:rsid w:val="00CC7D0A"/>
    <w:rsid w:val="00CD0795"/>
    <w:rsid w:val="00CD0911"/>
    <w:rsid w:val="00CD0F0A"/>
    <w:rsid w:val="00CD10D6"/>
    <w:rsid w:val="00CD1646"/>
    <w:rsid w:val="00CD167A"/>
    <w:rsid w:val="00CD1863"/>
    <w:rsid w:val="00CD191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D00E2F"/>
    <w:rsid w:val="00D0230A"/>
    <w:rsid w:val="00D02AF7"/>
    <w:rsid w:val="00D03475"/>
    <w:rsid w:val="00D03CAC"/>
    <w:rsid w:val="00D0464F"/>
    <w:rsid w:val="00D065D0"/>
    <w:rsid w:val="00D06E34"/>
    <w:rsid w:val="00D07ECA"/>
    <w:rsid w:val="00D102E2"/>
    <w:rsid w:val="00D112AC"/>
    <w:rsid w:val="00D11665"/>
    <w:rsid w:val="00D13606"/>
    <w:rsid w:val="00D152C4"/>
    <w:rsid w:val="00D15A6F"/>
    <w:rsid w:val="00D15F23"/>
    <w:rsid w:val="00D16D8F"/>
    <w:rsid w:val="00D1740D"/>
    <w:rsid w:val="00D179DB"/>
    <w:rsid w:val="00D17B75"/>
    <w:rsid w:val="00D2062A"/>
    <w:rsid w:val="00D2070E"/>
    <w:rsid w:val="00D22354"/>
    <w:rsid w:val="00D22A11"/>
    <w:rsid w:val="00D24337"/>
    <w:rsid w:val="00D24A65"/>
    <w:rsid w:val="00D25688"/>
    <w:rsid w:val="00D25AE7"/>
    <w:rsid w:val="00D26A3C"/>
    <w:rsid w:val="00D26DAF"/>
    <w:rsid w:val="00D26F05"/>
    <w:rsid w:val="00D30D93"/>
    <w:rsid w:val="00D31AC4"/>
    <w:rsid w:val="00D31DB3"/>
    <w:rsid w:val="00D34001"/>
    <w:rsid w:val="00D34540"/>
    <w:rsid w:val="00D3485F"/>
    <w:rsid w:val="00D35FB4"/>
    <w:rsid w:val="00D36519"/>
    <w:rsid w:val="00D36DE8"/>
    <w:rsid w:val="00D40CAD"/>
    <w:rsid w:val="00D421DB"/>
    <w:rsid w:val="00D42349"/>
    <w:rsid w:val="00D42780"/>
    <w:rsid w:val="00D429B4"/>
    <w:rsid w:val="00D4374A"/>
    <w:rsid w:val="00D43AFC"/>
    <w:rsid w:val="00D47A64"/>
    <w:rsid w:val="00D50421"/>
    <w:rsid w:val="00D5159C"/>
    <w:rsid w:val="00D55941"/>
    <w:rsid w:val="00D55E20"/>
    <w:rsid w:val="00D56ACB"/>
    <w:rsid w:val="00D574AE"/>
    <w:rsid w:val="00D61780"/>
    <w:rsid w:val="00D619E3"/>
    <w:rsid w:val="00D61AE4"/>
    <w:rsid w:val="00D61C78"/>
    <w:rsid w:val="00D621A5"/>
    <w:rsid w:val="00D62A6A"/>
    <w:rsid w:val="00D62C89"/>
    <w:rsid w:val="00D62FA1"/>
    <w:rsid w:val="00D64315"/>
    <w:rsid w:val="00D64657"/>
    <w:rsid w:val="00D64813"/>
    <w:rsid w:val="00D64E8D"/>
    <w:rsid w:val="00D67160"/>
    <w:rsid w:val="00D67591"/>
    <w:rsid w:val="00D67BE5"/>
    <w:rsid w:val="00D67F8C"/>
    <w:rsid w:val="00D7037C"/>
    <w:rsid w:val="00D705C2"/>
    <w:rsid w:val="00D706FC"/>
    <w:rsid w:val="00D71440"/>
    <w:rsid w:val="00D72A05"/>
    <w:rsid w:val="00D73303"/>
    <w:rsid w:val="00D74EAE"/>
    <w:rsid w:val="00D7592B"/>
    <w:rsid w:val="00D80170"/>
    <w:rsid w:val="00D804F2"/>
    <w:rsid w:val="00D80827"/>
    <w:rsid w:val="00D81B74"/>
    <w:rsid w:val="00D81D3B"/>
    <w:rsid w:val="00D829D5"/>
    <w:rsid w:val="00D82FA7"/>
    <w:rsid w:val="00D8337F"/>
    <w:rsid w:val="00D8595F"/>
    <w:rsid w:val="00D859A9"/>
    <w:rsid w:val="00D85CE4"/>
    <w:rsid w:val="00D85DC9"/>
    <w:rsid w:val="00D870BF"/>
    <w:rsid w:val="00D87B71"/>
    <w:rsid w:val="00D87E10"/>
    <w:rsid w:val="00D901AC"/>
    <w:rsid w:val="00D91913"/>
    <w:rsid w:val="00D9474C"/>
    <w:rsid w:val="00D9706C"/>
    <w:rsid w:val="00DA07AE"/>
    <w:rsid w:val="00DA0C36"/>
    <w:rsid w:val="00DA1822"/>
    <w:rsid w:val="00DA4004"/>
    <w:rsid w:val="00DA65CD"/>
    <w:rsid w:val="00DA6CD1"/>
    <w:rsid w:val="00DA75E3"/>
    <w:rsid w:val="00DA795C"/>
    <w:rsid w:val="00DA7A1D"/>
    <w:rsid w:val="00DB03F4"/>
    <w:rsid w:val="00DB154E"/>
    <w:rsid w:val="00DB195B"/>
    <w:rsid w:val="00DB2595"/>
    <w:rsid w:val="00DB354C"/>
    <w:rsid w:val="00DB3B1D"/>
    <w:rsid w:val="00DB3C81"/>
    <w:rsid w:val="00DB3EEF"/>
    <w:rsid w:val="00DB4E3F"/>
    <w:rsid w:val="00DB55C9"/>
    <w:rsid w:val="00DB67F0"/>
    <w:rsid w:val="00DB6D36"/>
    <w:rsid w:val="00DB7452"/>
    <w:rsid w:val="00DB7F02"/>
    <w:rsid w:val="00DC01F6"/>
    <w:rsid w:val="00DC1A59"/>
    <w:rsid w:val="00DC1D7D"/>
    <w:rsid w:val="00DC2E40"/>
    <w:rsid w:val="00DC31CE"/>
    <w:rsid w:val="00DC395B"/>
    <w:rsid w:val="00DC3E4F"/>
    <w:rsid w:val="00DC4D75"/>
    <w:rsid w:val="00DC5FB8"/>
    <w:rsid w:val="00DC5FCE"/>
    <w:rsid w:val="00DC7924"/>
    <w:rsid w:val="00DD0EC5"/>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61C"/>
    <w:rsid w:val="00DF1FD6"/>
    <w:rsid w:val="00DF3076"/>
    <w:rsid w:val="00DF3850"/>
    <w:rsid w:val="00DF4455"/>
    <w:rsid w:val="00DF4F61"/>
    <w:rsid w:val="00DF7382"/>
    <w:rsid w:val="00DF74FF"/>
    <w:rsid w:val="00DF78E8"/>
    <w:rsid w:val="00DF798F"/>
    <w:rsid w:val="00DF7EBC"/>
    <w:rsid w:val="00E00557"/>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5F9D"/>
    <w:rsid w:val="00E16032"/>
    <w:rsid w:val="00E16540"/>
    <w:rsid w:val="00E166CC"/>
    <w:rsid w:val="00E16C43"/>
    <w:rsid w:val="00E16E28"/>
    <w:rsid w:val="00E16FC8"/>
    <w:rsid w:val="00E1704B"/>
    <w:rsid w:val="00E17593"/>
    <w:rsid w:val="00E17E92"/>
    <w:rsid w:val="00E20364"/>
    <w:rsid w:val="00E2341A"/>
    <w:rsid w:val="00E239C6"/>
    <w:rsid w:val="00E239F5"/>
    <w:rsid w:val="00E23CF1"/>
    <w:rsid w:val="00E241C1"/>
    <w:rsid w:val="00E266C4"/>
    <w:rsid w:val="00E26CB7"/>
    <w:rsid w:val="00E271D4"/>
    <w:rsid w:val="00E277DA"/>
    <w:rsid w:val="00E27876"/>
    <w:rsid w:val="00E27AE3"/>
    <w:rsid w:val="00E30927"/>
    <w:rsid w:val="00E309E3"/>
    <w:rsid w:val="00E317DF"/>
    <w:rsid w:val="00E328AA"/>
    <w:rsid w:val="00E331E7"/>
    <w:rsid w:val="00E33589"/>
    <w:rsid w:val="00E33FCB"/>
    <w:rsid w:val="00E34E58"/>
    <w:rsid w:val="00E35BCC"/>
    <w:rsid w:val="00E35D63"/>
    <w:rsid w:val="00E35E24"/>
    <w:rsid w:val="00E3711C"/>
    <w:rsid w:val="00E37334"/>
    <w:rsid w:val="00E37375"/>
    <w:rsid w:val="00E37F10"/>
    <w:rsid w:val="00E41251"/>
    <w:rsid w:val="00E44E1E"/>
    <w:rsid w:val="00E45D5B"/>
    <w:rsid w:val="00E47A76"/>
    <w:rsid w:val="00E47AC9"/>
    <w:rsid w:val="00E50A98"/>
    <w:rsid w:val="00E50C29"/>
    <w:rsid w:val="00E51B93"/>
    <w:rsid w:val="00E54589"/>
    <w:rsid w:val="00E5488D"/>
    <w:rsid w:val="00E554F6"/>
    <w:rsid w:val="00E603D2"/>
    <w:rsid w:val="00E60BF8"/>
    <w:rsid w:val="00E61301"/>
    <w:rsid w:val="00E61639"/>
    <w:rsid w:val="00E61CFD"/>
    <w:rsid w:val="00E61D44"/>
    <w:rsid w:val="00E622B9"/>
    <w:rsid w:val="00E62B79"/>
    <w:rsid w:val="00E62F05"/>
    <w:rsid w:val="00E63252"/>
    <w:rsid w:val="00E63AEA"/>
    <w:rsid w:val="00E6459D"/>
    <w:rsid w:val="00E647E8"/>
    <w:rsid w:val="00E6564D"/>
    <w:rsid w:val="00E65E79"/>
    <w:rsid w:val="00E67145"/>
    <w:rsid w:val="00E67F15"/>
    <w:rsid w:val="00E7168A"/>
    <w:rsid w:val="00E719B5"/>
    <w:rsid w:val="00E7234E"/>
    <w:rsid w:val="00E7474A"/>
    <w:rsid w:val="00E74EED"/>
    <w:rsid w:val="00E759E5"/>
    <w:rsid w:val="00E77093"/>
    <w:rsid w:val="00E8093C"/>
    <w:rsid w:val="00E81609"/>
    <w:rsid w:val="00E83573"/>
    <w:rsid w:val="00E84405"/>
    <w:rsid w:val="00E85233"/>
    <w:rsid w:val="00E860E7"/>
    <w:rsid w:val="00E86DDC"/>
    <w:rsid w:val="00E8776D"/>
    <w:rsid w:val="00E87BC2"/>
    <w:rsid w:val="00E87D88"/>
    <w:rsid w:val="00E90523"/>
    <w:rsid w:val="00E90798"/>
    <w:rsid w:val="00E912AC"/>
    <w:rsid w:val="00E934E6"/>
    <w:rsid w:val="00E947C9"/>
    <w:rsid w:val="00E952EA"/>
    <w:rsid w:val="00E95385"/>
    <w:rsid w:val="00E95628"/>
    <w:rsid w:val="00E95847"/>
    <w:rsid w:val="00E96D99"/>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9AC"/>
    <w:rsid w:val="00EC30BB"/>
    <w:rsid w:val="00EC6D03"/>
    <w:rsid w:val="00EC6E8A"/>
    <w:rsid w:val="00EC6EB9"/>
    <w:rsid w:val="00EC7775"/>
    <w:rsid w:val="00EC7D38"/>
    <w:rsid w:val="00ED1F00"/>
    <w:rsid w:val="00ED2D78"/>
    <w:rsid w:val="00ED3B80"/>
    <w:rsid w:val="00ED405B"/>
    <w:rsid w:val="00ED4499"/>
    <w:rsid w:val="00ED4D53"/>
    <w:rsid w:val="00ED56F6"/>
    <w:rsid w:val="00ED5B8F"/>
    <w:rsid w:val="00ED6E67"/>
    <w:rsid w:val="00ED6FCA"/>
    <w:rsid w:val="00ED76A0"/>
    <w:rsid w:val="00ED77EF"/>
    <w:rsid w:val="00EE0947"/>
    <w:rsid w:val="00EE1D08"/>
    <w:rsid w:val="00EE2D8A"/>
    <w:rsid w:val="00EE3D45"/>
    <w:rsid w:val="00EE415A"/>
    <w:rsid w:val="00EE416F"/>
    <w:rsid w:val="00EE7CA3"/>
    <w:rsid w:val="00EF02A8"/>
    <w:rsid w:val="00EF1189"/>
    <w:rsid w:val="00EF51AF"/>
    <w:rsid w:val="00EF53FF"/>
    <w:rsid w:val="00EF5C8E"/>
    <w:rsid w:val="00EF66D2"/>
    <w:rsid w:val="00EF756A"/>
    <w:rsid w:val="00EF77AA"/>
    <w:rsid w:val="00EF798A"/>
    <w:rsid w:val="00F01011"/>
    <w:rsid w:val="00F028BD"/>
    <w:rsid w:val="00F029A2"/>
    <w:rsid w:val="00F02F62"/>
    <w:rsid w:val="00F03458"/>
    <w:rsid w:val="00F03C6C"/>
    <w:rsid w:val="00F047AA"/>
    <w:rsid w:val="00F04A23"/>
    <w:rsid w:val="00F0696E"/>
    <w:rsid w:val="00F076E8"/>
    <w:rsid w:val="00F0771C"/>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1BA7"/>
    <w:rsid w:val="00F2260D"/>
    <w:rsid w:val="00F2313A"/>
    <w:rsid w:val="00F23523"/>
    <w:rsid w:val="00F248D3"/>
    <w:rsid w:val="00F24B61"/>
    <w:rsid w:val="00F24E54"/>
    <w:rsid w:val="00F260A9"/>
    <w:rsid w:val="00F266C0"/>
    <w:rsid w:val="00F27C39"/>
    <w:rsid w:val="00F3007D"/>
    <w:rsid w:val="00F30109"/>
    <w:rsid w:val="00F30AD2"/>
    <w:rsid w:val="00F32FF6"/>
    <w:rsid w:val="00F34D84"/>
    <w:rsid w:val="00F34F70"/>
    <w:rsid w:val="00F366C2"/>
    <w:rsid w:val="00F369CF"/>
    <w:rsid w:val="00F40E15"/>
    <w:rsid w:val="00F412F4"/>
    <w:rsid w:val="00F41E88"/>
    <w:rsid w:val="00F42758"/>
    <w:rsid w:val="00F42C02"/>
    <w:rsid w:val="00F42C6A"/>
    <w:rsid w:val="00F4531E"/>
    <w:rsid w:val="00F453AF"/>
    <w:rsid w:val="00F45619"/>
    <w:rsid w:val="00F46A7C"/>
    <w:rsid w:val="00F475D1"/>
    <w:rsid w:val="00F4766A"/>
    <w:rsid w:val="00F520C6"/>
    <w:rsid w:val="00F524FA"/>
    <w:rsid w:val="00F53BBB"/>
    <w:rsid w:val="00F560AE"/>
    <w:rsid w:val="00F62D53"/>
    <w:rsid w:val="00F639E3"/>
    <w:rsid w:val="00F64BE7"/>
    <w:rsid w:val="00F6581C"/>
    <w:rsid w:val="00F6594E"/>
    <w:rsid w:val="00F674C4"/>
    <w:rsid w:val="00F67C77"/>
    <w:rsid w:val="00F70440"/>
    <w:rsid w:val="00F7093D"/>
    <w:rsid w:val="00F72388"/>
    <w:rsid w:val="00F73838"/>
    <w:rsid w:val="00F73DF7"/>
    <w:rsid w:val="00F742ED"/>
    <w:rsid w:val="00F7467E"/>
    <w:rsid w:val="00F74BCE"/>
    <w:rsid w:val="00F775B3"/>
    <w:rsid w:val="00F77699"/>
    <w:rsid w:val="00F80253"/>
    <w:rsid w:val="00F802AD"/>
    <w:rsid w:val="00F80E7D"/>
    <w:rsid w:val="00F80F2B"/>
    <w:rsid w:val="00F82EAD"/>
    <w:rsid w:val="00F82F03"/>
    <w:rsid w:val="00F84249"/>
    <w:rsid w:val="00F8436E"/>
    <w:rsid w:val="00F84F01"/>
    <w:rsid w:val="00F854B1"/>
    <w:rsid w:val="00F8619D"/>
    <w:rsid w:val="00F873D6"/>
    <w:rsid w:val="00F87491"/>
    <w:rsid w:val="00F87DBD"/>
    <w:rsid w:val="00F901B7"/>
    <w:rsid w:val="00F90389"/>
    <w:rsid w:val="00F905E7"/>
    <w:rsid w:val="00F90950"/>
    <w:rsid w:val="00F909F5"/>
    <w:rsid w:val="00F91630"/>
    <w:rsid w:val="00F922E7"/>
    <w:rsid w:val="00F93C83"/>
    <w:rsid w:val="00F956CB"/>
    <w:rsid w:val="00F95AAB"/>
    <w:rsid w:val="00F96551"/>
    <w:rsid w:val="00FA0ECC"/>
    <w:rsid w:val="00FA18F5"/>
    <w:rsid w:val="00FA2B4A"/>
    <w:rsid w:val="00FA324F"/>
    <w:rsid w:val="00FA3394"/>
    <w:rsid w:val="00FA427C"/>
    <w:rsid w:val="00FA4349"/>
    <w:rsid w:val="00FA482B"/>
    <w:rsid w:val="00FA75FD"/>
    <w:rsid w:val="00FB0949"/>
    <w:rsid w:val="00FB0996"/>
    <w:rsid w:val="00FB0A3E"/>
    <w:rsid w:val="00FB1BBD"/>
    <w:rsid w:val="00FB2994"/>
    <w:rsid w:val="00FB2BA4"/>
    <w:rsid w:val="00FB2D8C"/>
    <w:rsid w:val="00FB315A"/>
    <w:rsid w:val="00FB437C"/>
    <w:rsid w:val="00FB49D2"/>
    <w:rsid w:val="00FB517D"/>
    <w:rsid w:val="00FB5A5F"/>
    <w:rsid w:val="00FB6232"/>
    <w:rsid w:val="00FB623E"/>
    <w:rsid w:val="00FB6571"/>
    <w:rsid w:val="00FB71D9"/>
    <w:rsid w:val="00FB786D"/>
    <w:rsid w:val="00FB7F97"/>
    <w:rsid w:val="00FC0086"/>
    <w:rsid w:val="00FC145B"/>
    <w:rsid w:val="00FC14E1"/>
    <w:rsid w:val="00FC17F4"/>
    <w:rsid w:val="00FC1CDC"/>
    <w:rsid w:val="00FC3E3C"/>
    <w:rsid w:val="00FC412D"/>
    <w:rsid w:val="00FC68C9"/>
    <w:rsid w:val="00FC6FF3"/>
    <w:rsid w:val="00FC727A"/>
    <w:rsid w:val="00FC7605"/>
    <w:rsid w:val="00FC7BD0"/>
    <w:rsid w:val="00FC7CAD"/>
    <w:rsid w:val="00FC7DE6"/>
    <w:rsid w:val="00FD0815"/>
    <w:rsid w:val="00FD0D69"/>
    <w:rsid w:val="00FD0E7B"/>
    <w:rsid w:val="00FD1402"/>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163B"/>
    <w:rsid w:val="00FF2C42"/>
    <w:rsid w:val="00FF4076"/>
    <w:rsid w:val="00FF42AA"/>
    <w:rsid w:val="00FF5124"/>
    <w:rsid w:val="00FF5B79"/>
    <w:rsid w:val="00FF651C"/>
    <w:rsid w:val="00FF68B9"/>
    <w:rsid w:val="00FF6A91"/>
    <w:rsid w:val="00FF6AC4"/>
    <w:rsid w:val="00FF7715"/>
    <w:rsid w:val="00FF78C0"/>
    <w:rsid w:val="00FF79B0"/>
    <w:rsid w:val="00FF7C29"/>
    <w:rsid w:val="134277FC"/>
    <w:rsid w:val="5C3A26DF"/>
    <w:rsid w:val="72D93FE1"/>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NO"/>
    <w:basedOn w:val="1"/>
    <w:link w:val="98"/>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customStyle="1"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character" w:customStyle="1" w:styleId="96">
    <w:name w:val="Placeholder Text"/>
    <w:basedOn w:val="17"/>
    <w:semiHidden/>
    <w:qFormat/>
    <w:uiPriority w:val="99"/>
    <w:rPr>
      <w:color w:val="808080"/>
    </w:rPr>
  </w:style>
  <w:style w:type="table" w:customStyle="1" w:styleId="97">
    <w:name w:val="グリッド (表) 1 淡色 - アクセント 11"/>
    <w:basedOn w:val="20"/>
    <w:qFormat/>
    <w:uiPriority w:val="46"/>
    <w:rPr>
      <w:rFonts w:ascii="Times New Roman" w:hAnsi="Times New Roman" w:eastAsiaTheme="minorEastAsia"/>
      <w:lang w:eastAsia="ja-JP"/>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Layout w:type="fixed"/>
    </w:tblPr>
    <w:tblStylePr w:type="firstRow">
      <w:rPr>
        <w:b/>
        <w:bCs/>
      </w:rPr>
      <w:tblPr>
        <w:tblLayout w:type="fixed"/>
      </w:tblPr>
      <w:tcPr>
        <w:tcBorders>
          <w:bottom w:val="single" w:color="8EAADB" w:themeColor="accent1" w:themeTint="99" w:sz="12" w:space="0"/>
        </w:tcBorders>
      </w:tcPr>
    </w:tblStylePr>
    <w:tblStylePr w:type="lastRow">
      <w:rPr>
        <w:b/>
        <w:bCs/>
      </w:rPr>
      <w:tblPr>
        <w:tblLayout w:type="fixed"/>
      </w:tblPr>
      <w:tcPr>
        <w:tcBorders>
          <w:top w:val="double" w:color="8EAADB" w:themeColor="accent1" w:themeTint="99" w:sz="2" w:space="0"/>
        </w:tcBorders>
      </w:tcPr>
    </w:tblStylePr>
    <w:tblStylePr w:type="firstCol">
      <w:rPr>
        <w:b/>
        <w:bCs/>
      </w:rPr>
    </w:tblStylePr>
    <w:tblStylePr w:type="lastCol">
      <w:rPr>
        <w:b/>
        <w:bCs/>
      </w:rPr>
    </w:tblStylePr>
  </w:style>
  <w:style w:type="character" w:customStyle="1" w:styleId="98">
    <w:name w:val="NO Char"/>
    <w:link w:val="92"/>
    <w:qFormat/>
    <w:uiPriority w:val="0"/>
    <w:rPr>
      <w:rFonts w:ascii="Times New Roman" w:hAnsi="Times New Roman" w:eastAsiaTheme="minorEastAsia"/>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8ADC57-FD00-4CAE-B428-AA1C6B2E36D8}">
  <ds:schemaRefs/>
</ds:datastoreItem>
</file>

<file path=customXml/itemProps3.xml><?xml version="1.0" encoding="utf-8"?>
<ds:datastoreItem xmlns:ds="http://schemas.openxmlformats.org/officeDocument/2006/customXml" ds:itemID="{7860AD83-6F86-4717-870D-53F0E2196F79}">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2482</Words>
  <Characters>14153</Characters>
  <Lines>117</Lines>
  <Paragraphs>33</Paragraphs>
  <TotalTime>0</TotalTime>
  <ScaleCrop>false</ScaleCrop>
  <LinksUpToDate>false</LinksUpToDate>
  <CharactersWithSpaces>16602</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2024-11-08T10:15:02Z</dcterms:modified>
  <cp:revision>532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