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9</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R1-2409562</w:t>
      </w:r>
    </w:p>
    <w:p>
      <w:pPr>
        <w:spacing w:before="120" w:after="120"/>
        <w:rPr>
          <w:rFonts w:ascii="Arial" w:hAnsi="Arial" w:cs="Arial"/>
          <w:b/>
          <w:bCs/>
          <w:sz w:val="22"/>
          <w:szCs w:val="22"/>
        </w:rPr>
      </w:pPr>
      <w:r>
        <w:rPr>
          <w:rFonts w:hint="eastAsia" w:ascii="Arial" w:hAnsi="Arial" w:cs="Arial"/>
          <w:b/>
          <w:bCs/>
          <w:sz w:val="22"/>
          <w:szCs w:val="22"/>
        </w:rPr>
        <w:t>Orlando</w:t>
      </w:r>
      <w:r>
        <w:rPr>
          <w:rFonts w:ascii="Arial" w:hAnsi="Arial" w:cs="Arial"/>
          <w:b/>
          <w:bCs/>
          <w:sz w:val="22"/>
          <w:szCs w:val="22"/>
          <w:lang w:eastAsia="ja-JP"/>
        </w:rPr>
        <w:t xml:space="preserve">, </w:t>
      </w:r>
      <w:r>
        <w:rPr>
          <w:rFonts w:hint="eastAsia" w:ascii="Arial" w:hAnsi="Arial" w:cs="Arial"/>
          <w:b/>
          <w:bCs/>
          <w:sz w:val="22"/>
          <w:szCs w:val="22"/>
        </w:rPr>
        <w:t>US, Nov. 18</w:t>
      </w:r>
      <w:r>
        <w:rPr>
          <w:rFonts w:hint="eastAsia" w:ascii="Arial" w:hAnsi="Arial" w:cs="Arial"/>
          <w:b/>
          <w:bCs/>
          <w:sz w:val="22"/>
          <w:szCs w:val="22"/>
          <w:vertAlign w:val="superscript"/>
        </w:rPr>
        <w:t>th</w:t>
      </w:r>
      <w:r>
        <w:rPr>
          <w:rFonts w:ascii="Arial" w:hAnsi="Arial" w:eastAsia="MS Mincho" w:cs="Arial"/>
          <w:b/>
          <w:bCs/>
          <w:sz w:val="22"/>
          <w:szCs w:val="22"/>
        </w:rPr>
        <w:t xml:space="preserve"> –</w:t>
      </w:r>
      <w:r>
        <w:rPr>
          <w:rFonts w:hint="eastAsia" w:ascii="Arial" w:hAnsi="Arial" w:cs="Arial"/>
          <w:b/>
          <w:bCs/>
          <w:sz w:val="22"/>
          <w:szCs w:val="22"/>
        </w:rPr>
        <w:t xml:space="preserve"> </w:t>
      </w:r>
      <w:r>
        <w:rPr>
          <w:rFonts w:ascii="Arial" w:hAnsi="Arial" w:cs="Arial"/>
          <w:b/>
          <w:bCs/>
          <w:sz w:val="22"/>
          <w:szCs w:val="22"/>
        </w:rPr>
        <w:t>Nov</w:t>
      </w:r>
      <w:r>
        <w:rPr>
          <w:rFonts w:hint="eastAsia" w:ascii="Arial" w:hAnsi="Arial" w:cs="Arial"/>
          <w:b/>
          <w:bCs/>
          <w:sz w:val="22"/>
          <w:szCs w:val="22"/>
        </w:rPr>
        <w:t>. 22</w:t>
      </w:r>
      <w:r>
        <w:rPr>
          <w:rFonts w:ascii="Arial" w:hAnsi="Arial" w:cs="Arial"/>
          <w:b/>
          <w:bCs/>
          <w:sz w:val="22"/>
          <w:szCs w:val="22"/>
          <w:vertAlign w:val="superscript"/>
        </w:rPr>
        <w:t>nd</w:t>
      </w:r>
      <w:r>
        <w:rPr>
          <w:rFonts w:ascii="Arial" w:hAnsi="Arial" w:cs="Arial"/>
          <w:b/>
          <w:bCs/>
          <w:sz w:val="22"/>
          <w:szCs w:val="22"/>
          <w:lang w:eastAsia="ja-JP"/>
        </w:rPr>
        <w:t>, 202</w:t>
      </w:r>
      <w:r>
        <w:rPr>
          <w:rFonts w:hint="eastAsia" w:ascii="Arial" w:hAnsi="Arial" w:cs="Arial"/>
          <w:b/>
          <w:bCs/>
          <w:sz w:val="22"/>
          <w:szCs w:val="22"/>
        </w:rPr>
        <w:t>4</w:t>
      </w: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Discussion on measurement gap for XR</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Corporation</w:t>
      </w:r>
      <w:r>
        <w:rPr>
          <w:rFonts w:ascii="Arial" w:hAnsi="Arial"/>
          <w:b/>
          <w:sz w:val="22"/>
          <w:szCs w:val="22"/>
        </w:rPr>
        <w:t>,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9.10.1</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szCs w:val="21"/>
        </w:rPr>
        <w:t>B</w:t>
      </w:r>
      <w:r>
        <w:rPr>
          <w:rFonts w:hint="eastAsia"/>
          <w:szCs w:val="21"/>
        </w:rPr>
        <w:t>ased</w:t>
      </w:r>
      <w:r>
        <w:rPr>
          <w:szCs w:val="21"/>
        </w:rPr>
        <w:t xml:space="preserve"> on the </w:t>
      </w:r>
      <w:r>
        <w:rPr>
          <w:rFonts w:hint="eastAsia"/>
          <w:szCs w:val="21"/>
        </w:rPr>
        <w:t>discussion</w:t>
      </w:r>
      <w:r>
        <w:rPr>
          <w:szCs w:val="21"/>
        </w:rPr>
        <w:t xml:space="preserve"> in</w:t>
      </w:r>
      <w:r>
        <w:rPr>
          <w:rFonts w:hint="eastAsia"/>
          <w:szCs w:val="21"/>
        </w:rPr>
        <w:t xml:space="preserve"> RAN1#118bis meeting [1], we </w:t>
      </w:r>
      <w:r>
        <w:rPr>
          <w:szCs w:val="21"/>
        </w:rPr>
        <w:t>continue to</w:t>
      </w:r>
      <w:r>
        <w:rPr>
          <w:rFonts w:hint="eastAsia"/>
          <w:szCs w:val="21"/>
        </w:rPr>
        <w:t xml:space="preserve"> discuss the remaining issues </w:t>
      </w:r>
      <w:r>
        <w:rPr>
          <w:szCs w:val="21"/>
        </w:rPr>
        <w:t>regarding</w:t>
      </w:r>
      <w:r>
        <w:rPr>
          <w:rFonts w:hint="eastAsia"/>
          <w:szCs w:val="21"/>
        </w:rPr>
        <w:t xml:space="preserve"> the dynamic solution</w:t>
      </w:r>
      <w:r>
        <w:rPr>
          <w:szCs w:val="21"/>
        </w:rPr>
        <w:t xml:space="preserve"> for skipping a particular gap/restriction</w:t>
      </w:r>
      <w:r>
        <w:rPr>
          <w:rFonts w:hint="eastAsia"/>
          <w:szCs w:val="21"/>
        </w:rPr>
        <w:t xml:space="preserve">. </w:t>
      </w:r>
    </w:p>
    <w:p>
      <w:pPr>
        <w:spacing w:before="120" w:after="120"/>
        <w:rPr>
          <w:szCs w:val="21"/>
        </w:rPr>
      </w:pPr>
      <w:r>
        <w:rPr>
          <w:rFonts w:hint="eastAsia"/>
          <w:szCs w:val="21"/>
        </w:rPr>
        <w:t xml:space="preserve">In Section 2, we provide our views on the how to carry skipping indication on DCI format 0_3 and DCI format 1_3. Moreover, the meaning of the bit </w:t>
      </w:r>
      <w:r>
        <w:rPr>
          <w:szCs w:val="21"/>
        </w:rPr>
        <w:t>values</w:t>
      </w:r>
      <w:r>
        <w:rPr>
          <w:rFonts w:hint="eastAsia"/>
          <w:szCs w:val="21"/>
        </w:rPr>
        <w:t xml:space="preserve"> </w:t>
      </w:r>
      <w:r>
        <w:rPr>
          <w:szCs w:val="21"/>
        </w:rPr>
        <w:t>in the DCI</w:t>
      </w:r>
      <w:r>
        <w:rPr>
          <w:rFonts w:hint="eastAsia"/>
          <w:szCs w:val="21"/>
        </w:rPr>
        <w:t xml:space="preserve"> and the overwriting </w:t>
      </w:r>
      <w:r>
        <w:rPr>
          <w:szCs w:val="21"/>
        </w:rPr>
        <w:t>rules</w:t>
      </w:r>
      <w:r>
        <w:rPr>
          <w:rFonts w:hint="eastAsia"/>
          <w:szCs w:val="21"/>
        </w:rPr>
        <w:t xml:space="preserve"> are also discussed.  </w:t>
      </w:r>
    </w:p>
    <w:p>
      <w:pPr>
        <w:pStyle w:val="2"/>
        <w:spacing w:before="120" w:after="120"/>
        <w:ind w:left="0"/>
      </w:pPr>
      <w:r>
        <w:rPr>
          <w:rFonts w:hint="eastAsia" w:eastAsia="宋体"/>
        </w:rPr>
        <w:t>Discussion on remaining issues of signaling design</w:t>
      </w:r>
    </w:p>
    <w:p>
      <w:pPr>
        <w:spacing w:before="120" w:after="120"/>
      </w:pPr>
      <w:r>
        <w:t>During</w:t>
      </w:r>
      <w:r>
        <w:rPr>
          <w:rFonts w:hint="eastAsia"/>
        </w:rPr>
        <w:t xml:space="preserve"> RAN1#118 meeting, there </w:t>
      </w:r>
      <w:r>
        <w:t>wa</w:t>
      </w:r>
      <w:r>
        <w:rPr>
          <w:rFonts w:hint="eastAsia"/>
        </w:rPr>
        <w:t xml:space="preserve">s a working assumption about the dynamic solution </w:t>
      </w:r>
      <w:r>
        <w:t>for</w:t>
      </w:r>
      <w:r>
        <w:rPr>
          <w:rFonts w:hint="eastAsia"/>
        </w:rPr>
        <w:t xml:space="preserve"> skip</w:t>
      </w:r>
      <w:r>
        <w:t>ping</w:t>
      </w:r>
      <w:r>
        <w:rPr>
          <w:rFonts w:hint="eastAsia"/>
        </w:rPr>
        <w:t xml:space="preserve"> a particular gap/restriction occasion [2].</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tcPr>
          <w:p>
            <w:pPr>
              <w:spacing w:beforeLines="0" w:after="0" w:afterLines="0" w:line="240" w:lineRule="auto"/>
              <w:rPr>
                <w:b/>
                <w:bCs/>
                <w:szCs w:val="21"/>
              </w:rPr>
            </w:pPr>
            <w:r>
              <w:rPr>
                <w:b/>
                <w:bCs/>
                <w:szCs w:val="21"/>
                <w:highlight w:val="darkYellow"/>
              </w:rPr>
              <w:t>Working Assumption</w:t>
            </w:r>
          </w:p>
          <w:p>
            <w:pPr>
              <w:spacing w:beforeLines="0" w:after="0" w:afterLines="0" w:line="240" w:lineRule="auto"/>
              <w:rPr>
                <w:szCs w:val="21"/>
              </w:rPr>
            </w:pPr>
            <w:r>
              <w:rPr>
                <w:szCs w:val="21"/>
              </w:rPr>
              <w:t>For solutions based on triggering/enabling by network signaling to enable Tx/Rx in gaps/restrictions that are caused by RRM measurements select the following option:</w:t>
            </w:r>
          </w:p>
          <w:p>
            <w:pPr>
              <w:pStyle w:val="40"/>
              <w:numPr>
                <w:ilvl w:val="0"/>
                <w:numId w:val="5"/>
              </w:numPr>
              <w:spacing w:after="0" w:afterLines="0" w:line="240" w:lineRule="auto"/>
              <w:rPr>
                <w:sz w:val="21"/>
                <w:szCs w:val="21"/>
              </w:rPr>
            </w:pPr>
            <w:r>
              <w:rPr>
                <w:sz w:val="21"/>
                <w:szCs w:val="21"/>
              </w:rPr>
              <w:t xml:space="preserve">Alt. 1: Dynamic indication to enable Tx/Rx in particular gap/restriction that are caused by RRM measurements. </w:t>
            </w:r>
          </w:p>
          <w:p>
            <w:pPr>
              <w:pStyle w:val="40"/>
              <w:numPr>
                <w:ilvl w:val="1"/>
                <w:numId w:val="5"/>
              </w:numPr>
              <w:spacing w:after="0" w:afterLines="0" w:line="240" w:lineRule="auto"/>
              <w:rPr>
                <w:sz w:val="21"/>
                <w:szCs w:val="21"/>
              </w:rPr>
            </w:pPr>
            <w:r>
              <w:rPr>
                <w:b/>
                <w:bCs/>
                <w:sz w:val="21"/>
                <w:szCs w:val="21"/>
              </w:rPr>
              <w:t>Alt 1-1</w:t>
            </w:r>
            <w:r>
              <w:rPr>
                <w:sz w:val="21"/>
                <w:szCs w:val="21"/>
              </w:rPr>
              <w:t xml:space="preserve">: Explicit indication </w:t>
            </w:r>
            <w:r>
              <w:rPr>
                <w:rFonts w:hint="eastAsia"/>
                <w:sz w:val="21"/>
                <w:szCs w:val="21"/>
              </w:rPr>
              <w:t>by DCI</w:t>
            </w:r>
            <w:r>
              <w:rPr>
                <w:sz w:val="21"/>
                <w:szCs w:val="21"/>
              </w:rPr>
              <w:t xml:space="preserve"> to skip a particular gap/restriction;</w:t>
            </w:r>
          </w:p>
          <w:p>
            <w:pPr>
              <w:pStyle w:val="40"/>
              <w:numPr>
                <w:ilvl w:val="2"/>
                <w:numId w:val="5"/>
              </w:numPr>
              <w:spacing w:after="0" w:afterLines="0" w:line="240" w:lineRule="auto"/>
              <w:rPr>
                <w:sz w:val="21"/>
                <w:szCs w:val="21"/>
              </w:rPr>
            </w:pPr>
            <w:r>
              <w:rPr>
                <w:sz w:val="21"/>
                <w:szCs w:val="21"/>
              </w:rPr>
              <w:t>Indication is included as part of scheduling DCI:</w:t>
            </w:r>
          </w:p>
          <w:p>
            <w:pPr>
              <w:pStyle w:val="40"/>
              <w:numPr>
                <w:ilvl w:val="3"/>
                <w:numId w:val="5"/>
              </w:numPr>
              <w:spacing w:after="0" w:afterLines="0" w:line="240" w:lineRule="auto"/>
              <w:rPr>
                <w:sz w:val="21"/>
                <w:szCs w:val="21"/>
              </w:rPr>
            </w:pPr>
            <w:r>
              <w:rPr>
                <w:sz w:val="21"/>
                <w:szCs w:val="21"/>
              </w:rPr>
              <w:t>Bit-field size is one bit;</w:t>
            </w:r>
          </w:p>
          <w:p>
            <w:pPr>
              <w:numPr>
                <w:ilvl w:val="4"/>
                <w:numId w:val="5"/>
              </w:numPr>
              <w:spacing w:beforeLines="0" w:after="0" w:afterLines="0" w:line="240" w:lineRule="auto"/>
              <w:rPr>
                <w:szCs w:val="21"/>
              </w:rPr>
            </w:pPr>
            <w:r>
              <w:rPr>
                <w:szCs w:val="21"/>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pPr>
              <w:spacing w:beforeLines="0" w:after="0" w:afterLines="0" w:line="240" w:lineRule="auto"/>
              <w:rPr>
                <w:szCs w:val="21"/>
              </w:rPr>
            </w:pPr>
            <w:r>
              <w:rPr>
                <w:szCs w:val="21"/>
              </w:rPr>
              <w:t xml:space="preserve">Send an LS to RAN4 to inform them of the above working assumption and ask them if there is any issue with it. </w:t>
            </w:r>
            <w:r>
              <w:rPr>
                <w:szCs w:val="21"/>
                <w:highlight w:val="green"/>
              </w:rPr>
              <w:t>Final LS in R1-2407561.</w:t>
            </w:r>
          </w:p>
        </w:tc>
      </w:tr>
    </w:tbl>
    <w:p>
      <w:pPr>
        <w:spacing w:before="120" w:after="120"/>
      </w:pPr>
      <w:r>
        <w:rPr>
          <w:rFonts w:hint="eastAsia"/>
        </w:rPr>
        <w:t>In RAN1#118bis meeting, we discuss</w:t>
      </w:r>
      <w:r>
        <w:t>ed</w:t>
      </w:r>
      <w:r>
        <w:rPr>
          <w:rFonts w:hint="eastAsia"/>
        </w:rPr>
        <w:t xml:space="preserve"> the DCI format</w:t>
      </w:r>
      <w:r>
        <w:t>s</w:t>
      </w:r>
      <w:r>
        <w:rPr>
          <w:rFonts w:hint="eastAsia"/>
        </w:rPr>
        <w:t xml:space="preserve"> for the skipping indication and the meaning of bit values for skipping indication in DCI. </w:t>
      </w:r>
      <w:r>
        <w:t>And</w:t>
      </w:r>
      <w:r>
        <w:rPr>
          <w:rFonts w:hint="eastAsia"/>
        </w:rPr>
        <w:t xml:space="preserve"> scheduling DCI format x_1 / x_2 (x = 0, 1) </w:t>
      </w:r>
      <w:r>
        <w:t>we</w:t>
      </w:r>
      <w:r>
        <w:rPr>
          <w:rFonts w:hint="eastAsia"/>
        </w:rPr>
        <w:t xml:space="preserve">re agreed to carry skipping indication in both self-scheduling cases and cross carrier scheduling cases [1]. The remaining issue is whether skipping indication can be included in DCI format x_3.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szCs w:val="21"/>
              </w:rPr>
            </w:pPr>
            <w:r>
              <w:rPr>
                <w:b/>
                <w:bCs/>
                <w:szCs w:val="21"/>
                <w:highlight w:val="green"/>
              </w:rPr>
              <w:t>Agreement</w:t>
            </w:r>
          </w:p>
          <w:p>
            <w:pPr>
              <w:spacing w:beforeLines="0" w:after="0" w:afterLines="0" w:line="240" w:lineRule="auto"/>
              <w:rPr>
                <w:szCs w:val="21"/>
              </w:rPr>
            </w:pPr>
            <w:r>
              <w:rPr>
                <w:szCs w:val="21"/>
              </w:rPr>
              <w:t xml:space="preserve">At least for self-scheduling case, for explicit indication </w:t>
            </w:r>
            <w:r>
              <w:rPr>
                <w:rFonts w:hint="eastAsia"/>
                <w:szCs w:val="21"/>
              </w:rPr>
              <w:t>by DCI</w:t>
            </w:r>
            <w:r>
              <w:rPr>
                <w:szCs w:val="21"/>
              </w:rPr>
              <w:t xml:space="preserve"> to skip a particular gap/restriction, one bit indication is included as part of DCI formats 0_1/1_1 and 0_2/1_2.</w:t>
            </w:r>
          </w:p>
          <w:p>
            <w:pPr>
              <w:pStyle w:val="40"/>
              <w:numPr>
                <w:ilvl w:val="0"/>
                <w:numId w:val="6"/>
              </w:numPr>
              <w:spacing w:after="0" w:afterLines="0" w:line="240" w:lineRule="auto"/>
              <w:rPr>
                <w:sz w:val="21"/>
                <w:szCs w:val="21"/>
              </w:rPr>
            </w:pPr>
            <w:r>
              <w:rPr>
                <w:sz w:val="21"/>
                <w:szCs w:val="21"/>
              </w:rPr>
              <w:t>FFS: Cross carrier scheduling.</w:t>
            </w:r>
          </w:p>
          <w:p>
            <w:pPr>
              <w:pStyle w:val="40"/>
              <w:numPr>
                <w:ilvl w:val="0"/>
                <w:numId w:val="6"/>
              </w:numPr>
              <w:spacing w:after="0" w:afterLines="0" w:line="240" w:lineRule="auto"/>
              <w:rPr>
                <w:sz w:val="21"/>
                <w:szCs w:val="21"/>
              </w:rPr>
            </w:pPr>
            <w:r>
              <w:rPr>
                <w:sz w:val="21"/>
                <w:szCs w:val="21"/>
              </w:rPr>
              <w:t>FFS: DCI formats 0_3/1_3.</w:t>
            </w:r>
          </w:p>
          <w:p>
            <w:pPr>
              <w:pStyle w:val="40"/>
              <w:numPr>
                <w:ilvl w:val="0"/>
                <w:numId w:val="6"/>
              </w:numPr>
              <w:spacing w:after="0" w:afterLines="0" w:line="240" w:lineRule="auto"/>
              <w:rPr>
                <w:sz w:val="21"/>
                <w:szCs w:val="21"/>
              </w:rPr>
            </w:pPr>
            <w:r>
              <w:rPr>
                <w:sz w:val="21"/>
                <w:szCs w:val="21"/>
              </w:rPr>
              <w:t>Explicit indication can be configured for each DCI format individually by higher layer.</w:t>
            </w:r>
          </w:p>
          <w:p>
            <w:pPr>
              <w:pStyle w:val="40"/>
              <w:spacing w:after="0" w:afterLines="0" w:line="240" w:lineRule="auto"/>
              <w:ind w:left="0"/>
              <w:rPr>
                <w:sz w:val="21"/>
                <w:szCs w:val="21"/>
              </w:rPr>
            </w:pPr>
          </w:p>
          <w:p>
            <w:pPr>
              <w:spacing w:beforeLines="0" w:after="0" w:afterLines="0" w:line="240" w:lineRule="auto"/>
              <w:rPr>
                <w:b/>
                <w:bCs/>
                <w:szCs w:val="21"/>
              </w:rPr>
            </w:pPr>
            <w:r>
              <w:rPr>
                <w:b/>
                <w:bCs/>
                <w:szCs w:val="21"/>
                <w:highlight w:val="green"/>
              </w:rPr>
              <w:t>Agreement</w:t>
            </w:r>
          </w:p>
          <w:p>
            <w:pPr>
              <w:spacing w:beforeLines="0" w:after="0" w:afterLines="0" w:line="240" w:lineRule="auto"/>
            </w:pPr>
            <w:r>
              <w:rPr>
                <w:szCs w:val="21"/>
              </w:rPr>
              <w:t xml:space="preserve">In case of cross carrier scheduling, for explicit indication </w:t>
            </w:r>
            <w:r>
              <w:rPr>
                <w:rFonts w:hint="eastAsia"/>
                <w:szCs w:val="21"/>
              </w:rPr>
              <w:t>by DCI</w:t>
            </w:r>
            <w:r>
              <w:rPr>
                <w:szCs w:val="21"/>
              </w:rPr>
              <w:t xml:space="preserve"> to skip a particular gap/restriction, one bit indication included as a part of DCI formats 0_1/1_1 and 0_2/1_2 corresponds to a scheduled cell.</w:t>
            </w:r>
          </w:p>
        </w:tc>
      </w:tr>
    </w:tbl>
    <w:p>
      <w:pPr>
        <w:spacing w:before="120" w:after="120"/>
      </w:pPr>
      <w:r>
        <w:t>Additionally</w:t>
      </w:r>
      <w:r>
        <w:rPr>
          <w:rFonts w:hint="eastAsia"/>
        </w:rPr>
        <w:t xml:space="preserve">, the </w:t>
      </w:r>
      <w:r>
        <w:t>detailed DCI content was</w:t>
      </w:r>
      <w:r>
        <w:rPr>
          <w:rFonts w:hint="eastAsia"/>
        </w:rPr>
        <w:t xml:space="preserve"> suspended, since companies ha</w:t>
      </w:r>
      <w:r>
        <w:t>d</w:t>
      </w:r>
      <w:r>
        <w:rPr>
          <w:rFonts w:hint="eastAsia"/>
        </w:rPr>
        <w:t xml:space="preserve"> different views on introducing overwriting </w:t>
      </w:r>
      <w:r>
        <w:t>rules</w:t>
      </w:r>
      <w:r>
        <w:rPr>
          <w:rFonts w:hint="eastAsia"/>
        </w:rPr>
        <w:t xml:space="preserve"> for the skipping indication in DCI. </w:t>
      </w:r>
    </w:p>
    <w:p>
      <w:pPr>
        <w:spacing w:before="120" w:after="120"/>
      </w:pPr>
      <w:r>
        <w:rPr>
          <w:rFonts w:hint="eastAsia"/>
        </w:rPr>
        <w:t xml:space="preserve">To this end, DCI format x_3 for skipping indication and overwriting </w:t>
      </w:r>
      <w:r>
        <w:t>rules</w:t>
      </w:r>
      <w:r>
        <w:rPr>
          <w:rFonts w:hint="eastAsia"/>
        </w:rPr>
        <w:t xml:space="preserve"> for skipping indication in DCI are discussed in </w:t>
      </w:r>
      <w:r>
        <w:t>following text</w:t>
      </w:r>
      <w:r>
        <w:rPr>
          <w:rFonts w:hint="eastAsia"/>
        </w:rPr>
        <w:t xml:space="preserve">.  </w:t>
      </w:r>
    </w:p>
    <w:p>
      <w:pPr>
        <w:pStyle w:val="3"/>
        <w:spacing w:before="120" w:after="120"/>
        <w:ind w:left="991" w:right="210" w:hanging="991" w:hangingChars="354"/>
      </w:pPr>
      <w:r>
        <w:rPr>
          <w:rFonts w:hint="eastAsia"/>
        </w:rPr>
        <w:t>DCI format</w:t>
      </w:r>
      <w:r>
        <w:rPr>
          <w:rFonts w:hint="eastAsia" w:eastAsia="宋体"/>
        </w:rPr>
        <w:t xml:space="preserve"> 0_3/1_3 for dynamic indication</w:t>
      </w:r>
    </w:p>
    <w:p>
      <w:pPr>
        <w:spacing w:before="120" w:after="120"/>
      </w:pPr>
      <w:r>
        <w:rPr>
          <w:rFonts w:hint="eastAsia"/>
        </w:rPr>
        <w:t xml:space="preserve">In our opinion, XR traffic is characterized by larger packet size and stringent latency. </w:t>
      </w:r>
      <w:r>
        <w:t>In order to</w:t>
      </w:r>
      <w:r>
        <w:rPr>
          <w:rFonts w:hint="eastAsia"/>
        </w:rPr>
        <w:t xml:space="preserve"> </w:t>
      </w:r>
      <w:r>
        <w:t>enhance</w:t>
      </w:r>
      <w:r>
        <w:rPr>
          <w:rFonts w:hint="eastAsia"/>
        </w:rPr>
        <w:t xml:space="preserve"> performance, XR traffic can be transmitted </w:t>
      </w:r>
      <w:r>
        <w:t>using</w:t>
      </w:r>
      <w:r>
        <w:rPr>
          <w:rFonts w:hint="eastAsia"/>
        </w:rPr>
        <w:t xml:space="preserve"> carrier aggregation, </w:t>
      </w:r>
      <w:r>
        <w:t>which includes</w:t>
      </w:r>
      <w:r>
        <w:rPr>
          <w:rFonts w:hint="eastAsia"/>
        </w:rPr>
        <w:t xml:space="preserve"> one DCI scheduling PDSCHs </w:t>
      </w:r>
      <w:r>
        <w:t>across</w:t>
      </w:r>
      <w:r>
        <w:rPr>
          <w:rFonts w:hint="eastAsia"/>
        </w:rPr>
        <w:t xml:space="preserve"> multiple cells/carriers. And DCI format 0_3 / 1_3 should be considered for the dynamic skipping indication. </w:t>
      </w:r>
    </w:p>
    <w:p>
      <w:pPr>
        <w:pStyle w:val="60"/>
        <w:spacing w:before="120" w:after="120"/>
        <w:rPr>
          <w:lang w:val="en-US" w:eastAsia="zh-CN"/>
        </w:rPr>
      </w:pPr>
      <w:bookmarkStart w:id="0" w:name="_Toc28879"/>
      <w:r>
        <w:rPr>
          <w:rFonts w:hint="eastAsia"/>
          <w:lang w:val="en-US" w:eastAsia="zh-CN"/>
        </w:rPr>
        <w:t xml:space="preserve">It is beneficial for XR traffic to transmit </w:t>
      </w:r>
      <w:r>
        <w:rPr>
          <w:lang w:val="en-US" w:eastAsia="zh-CN"/>
        </w:rPr>
        <w:t>using</w:t>
      </w:r>
      <w:r>
        <w:rPr>
          <w:rFonts w:hint="eastAsia"/>
          <w:lang w:val="en-US" w:eastAsia="zh-CN"/>
        </w:rPr>
        <w:t xml:space="preserve"> carrier aggregation</w:t>
      </w:r>
      <w:r>
        <w:rPr>
          <w:lang w:val="en-US" w:eastAsia="zh-CN"/>
        </w:rPr>
        <w:t>, which includes</w:t>
      </w:r>
      <w:r>
        <w:rPr>
          <w:rFonts w:hint="eastAsia"/>
          <w:lang w:val="en-US" w:eastAsia="zh-CN"/>
        </w:rPr>
        <w:t xml:space="preserve"> one DCI scheduling PDSCHs </w:t>
      </w:r>
      <w:r>
        <w:rPr>
          <w:lang w:val="en-US" w:eastAsia="zh-CN"/>
        </w:rPr>
        <w:t>across</w:t>
      </w:r>
      <w:r>
        <w:rPr>
          <w:rFonts w:hint="eastAsia"/>
          <w:lang w:val="en-US" w:eastAsia="zh-CN"/>
        </w:rPr>
        <w:t xml:space="preserve"> multiple cells/carriers.</w:t>
      </w:r>
      <w:bookmarkEnd w:id="0"/>
    </w:p>
    <w:p>
      <w:pPr>
        <w:spacing w:before="120" w:after="120"/>
      </w:pPr>
      <w:r>
        <w:rPr>
          <w:rFonts w:hint="eastAsia"/>
        </w:rPr>
        <w:t>Based on RAN4</w:t>
      </w:r>
      <w:r>
        <w:t>’</w:t>
      </w:r>
      <w:r>
        <w:rPr>
          <w:rFonts w:hint="eastAsia"/>
        </w:rPr>
        <w:t xml:space="preserve">s agreement in RAN4#112bis meeting [3], </w:t>
      </w:r>
      <w:r>
        <w:rPr>
          <w:rFonts w:hint="eastAsia"/>
          <w:b/>
        </w:rPr>
        <w:t>the scenario of RRM measurement with gap</w:t>
      </w:r>
      <w:r>
        <w:rPr>
          <w:rFonts w:hint="eastAsia"/>
        </w:rPr>
        <w:t xml:space="preserve"> should be firstly considered.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Lines="0" w:after="0" w:afterLines="0" w:line="240" w:lineRule="auto"/>
              <w:rPr>
                <w:b/>
                <w:bCs/>
                <w:szCs w:val="21"/>
                <w:highlight w:val="green"/>
              </w:rPr>
            </w:pPr>
            <w:r>
              <w:rPr>
                <w:rFonts w:hint="eastAsia"/>
                <w:b/>
                <w:bCs/>
                <w:szCs w:val="21"/>
                <w:highlight w:val="green"/>
              </w:rPr>
              <w:t>Agre</w:t>
            </w:r>
            <w:r>
              <w:rPr>
                <w:b/>
                <w:bCs/>
                <w:szCs w:val="21"/>
                <w:highlight w:val="green"/>
              </w:rPr>
              <w:t>ement:</w:t>
            </w:r>
          </w:p>
          <w:p>
            <w:pPr>
              <w:pStyle w:val="40"/>
              <w:numPr>
                <w:ilvl w:val="0"/>
                <w:numId w:val="7"/>
              </w:numPr>
              <w:spacing w:after="0" w:afterLines="0" w:line="240" w:lineRule="auto"/>
              <w:ind w:left="340" w:hanging="340"/>
              <w:rPr>
                <w:sz w:val="21"/>
                <w:szCs w:val="21"/>
              </w:rPr>
            </w:pPr>
            <w:r>
              <w:rPr>
                <w:sz w:val="21"/>
                <w:szCs w:val="21"/>
              </w:rPr>
              <w:t>Start the RAN4 RRM discussion from measurement skipping for measurement with gap.</w:t>
            </w:r>
          </w:p>
          <w:p>
            <w:pPr>
              <w:pStyle w:val="40"/>
              <w:numPr>
                <w:ilvl w:val="1"/>
                <w:numId w:val="8"/>
              </w:numPr>
              <w:spacing w:after="0" w:afterLines="0" w:line="240" w:lineRule="auto"/>
            </w:pPr>
            <w:r>
              <w:rPr>
                <w:sz w:val="21"/>
                <w:szCs w:val="21"/>
              </w:rPr>
              <w:t>FFS whether to include measurements without gaps.</w:t>
            </w:r>
          </w:p>
        </w:tc>
      </w:tr>
    </w:tbl>
    <w:p>
      <w:pPr>
        <w:spacing w:before="120" w:after="120"/>
      </w:pPr>
      <w:r>
        <w:rPr>
          <w:rFonts w:hint="eastAsia"/>
        </w:rPr>
        <w:t xml:space="preserve">Towards RRM measurement with gap, including e.g., measurement gap, in carrier aggregation cases, </w:t>
      </w:r>
      <w:r>
        <w:rPr>
          <w:rFonts w:hint="eastAsia"/>
          <w:b/>
        </w:rPr>
        <w:t>all the cells share the same scheduling restriction caused by RRM measurement with measurement gap</w:t>
      </w:r>
      <w:r>
        <w:rPr>
          <w:rFonts w:hint="eastAsia"/>
        </w:rPr>
        <w:t xml:space="preserve">, </w:t>
      </w:r>
      <w:r>
        <w:t>assuming know</w:t>
      </w:r>
      <w:r>
        <w:rPr>
          <w:rFonts w:hint="eastAsia"/>
        </w:rPr>
        <w:t>ing</w:t>
      </w:r>
      <w:r>
        <w:t xml:space="preserve"> the</w:t>
      </w:r>
      <w:r>
        <w:rPr>
          <w:rFonts w:hint="eastAsia"/>
        </w:rPr>
        <w:t xml:space="preserve"> timing </w:t>
      </w:r>
      <w:r>
        <w:t xml:space="preserve">difference </w:t>
      </w:r>
      <w:r>
        <w:rPr>
          <w:rFonts w:hint="eastAsia"/>
        </w:rPr>
        <w:t xml:space="preserve">among cells. As a result, one bit indication in DCI format 0_3 / 1_3 is able to correspond to measurement gap occasions in all cells. In Figure 1, for Cell 1, the measurement gap occasion </w:t>
      </w:r>
      <w:r>
        <w:t>start</w:t>
      </w:r>
      <w:r>
        <w:rPr>
          <w:rFonts w:hint="eastAsia"/>
        </w:rPr>
        <w:t xml:space="preserve">s from time instance A to time instance B, while for cell 2, the measurement gap occasion </w:t>
      </w:r>
      <w:r>
        <w:t>start</w:t>
      </w:r>
      <w:r>
        <w:rPr>
          <w:rFonts w:hint="eastAsia"/>
        </w:rPr>
        <w:t>s from time instance A</w:t>
      </w:r>
      <w:r>
        <w:t>’</w:t>
      </w:r>
      <w:r>
        <w:rPr>
          <w:rFonts w:hint="eastAsia"/>
        </w:rPr>
        <w:t xml:space="preserve"> to time instance B</w:t>
      </w:r>
      <w:r>
        <w:t>’</w:t>
      </w:r>
      <w:r>
        <w:rPr>
          <w:rFonts w:hint="eastAsia"/>
        </w:rPr>
        <w:t>, where A</w:t>
      </w:r>
      <w:r>
        <w:t>’</w:t>
      </w:r>
      <w:r>
        <w:rPr>
          <w:rFonts w:hint="eastAsia"/>
        </w:rPr>
        <w:t xml:space="preserve"> = A + N, B</w:t>
      </w:r>
      <w:r>
        <w:t>’</w:t>
      </w:r>
      <w:r>
        <w:rPr>
          <w:rFonts w:hint="eastAsia"/>
        </w:rPr>
        <w:t xml:space="preserve"> = B + N, N is the timing difference between Cell 1 and Cell 2. When the measurement gap occasion in Cell 2 is indicated </w:t>
      </w:r>
      <w:r>
        <w:t>‘</w:t>
      </w:r>
      <w:r>
        <w:rPr>
          <w:rFonts w:hint="eastAsia"/>
        </w:rPr>
        <w:t>skip</w:t>
      </w:r>
      <w:r>
        <w:t>’</w:t>
      </w:r>
      <w:r>
        <w:rPr>
          <w:rFonts w:hint="eastAsia"/>
        </w:rPr>
        <w:t xml:space="preserve"> due to overlap with PDSCH carrying XR traffic, the measurement gap occasion in Cell 1 should be skipped </w:t>
      </w:r>
      <w:r>
        <w:t>at the same time</w:t>
      </w:r>
      <w:r>
        <w:rPr>
          <w:rFonts w:hint="eastAsia"/>
        </w:rPr>
        <w:t>, even though there is no overlap between PDSCH and measurement gap occasion</w:t>
      </w:r>
      <w:r>
        <w:t xml:space="preserve"> in Cell 1</w:t>
      </w:r>
      <w:r>
        <w:rPr>
          <w:rFonts w:hint="eastAsia"/>
        </w:rPr>
        <w:t xml:space="preserve">. </w:t>
      </w:r>
    </w:p>
    <w:p>
      <w:pPr>
        <w:spacing w:before="120" w:after="120"/>
        <w:jc w:val="center"/>
      </w:pPr>
      <w:r>
        <w:drawing>
          <wp:inline distT="0" distB="0" distL="114300" distR="114300">
            <wp:extent cx="3817620" cy="1731645"/>
            <wp:effectExtent l="0" t="0" r="11430" b="190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2"/>
                    <a:stretch>
                      <a:fillRect/>
                    </a:stretch>
                  </pic:blipFill>
                  <pic:spPr>
                    <a:xfrm>
                      <a:off x="0" y="0"/>
                      <a:ext cx="3817620" cy="1731645"/>
                    </a:xfrm>
                    <a:prstGeom prst="rect">
                      <a:avLst/>
                    </a:prstGeom>
                    <a:noFill/>
                    <a:ln>
                      <a:noFill/>
                    </a:ln>
                  </pic:spPr>
                </pic:pic>
              </a:graphicData>
            </a:graphic>
          </wp:inline>
        </w:drawing>
      </w:r>
    </w:p>
    <w:p>
      <w:pPr>
        <w:spacing w:before="120" w:after="120"/>
        <w:jc w:val="center"/>
      </w:pPr>
      <w:r>
        <w:rPr>
          <w:rFonts w:hint="eastAsia"/>
        </w:rPr>
        <w:t>Figure 1 Illustration for one bit indication in DCI format 1_3 for all co-scheduled cell</w:t>
      </w:r>
      <w:r>
        <w:t>s</w:t>
      </w:r>
    </w:p>
    <w:p>
      <w:pPr>
        <w:pStyle w:val="60"/>
        <w:spacing w:before="120" w:after="120"/>
        <w:rPr>
          <w:lang w:val="en-US" w:eastAsia="zh-CN"/>
        </w:rPr>
      </w:pPr>
      <w:bookmarkStart w:id="1" w:name="_Toc5803"/>
      <w:r>
        <w:rPr>
          <w:rFonts w:hint="eastAsia"/>
          <w:lang w:val="en-US" w:eastAsia="zh-CN"/>
        </w:rPr>
        <w:t>One bit indication in DCI format 0_3 / 1_3 corresponds to gap/restriction occasion in all cells.</w:t>
      </w:r>
      <w:bookmarkEnd w:id="1"/>
    </w:p>
    <w:p>
      <w:pPr>
        <w:spacing w:before="120" w:after="120"/>
      </w:pPr>
      <w:r>
        <w:t>During the discussion of</w:t>
      </w:r>
      <w:r>
        <w:rPr>
          <w:rFonts w:hint="eastAsia"/>
        </w:rPr>
        <w:t xml:space="preserve"> Rel-18 multi-carrier enhancement, there are two categories of indication in DCI format 0_3 / 1_3, i.e., Type 1 indication and Type 2 indication. For Type 1 indication, it means using single bit field to indicate all co-scheduled cells simultaneously. While for Type 2 indication, it represents using multiple fields to indicate the co-scheduled cells separately. Based on the above analysis on RRM measurement with gap in carrier aggregation cases, it is suitable to use Type 1 indication for skipping indication due to the shared </w:t>
      </w:r>
      <w:r>
        <w:t>measurement gap</w:t>
      </w:r>
      <w:r>
        <w:rPr>
          <w:rFonts w:hint="eastAsia"/>
        </w:rPr>
        <w:t xml:space="preserve"> among all co-scheduled cells. Moreover, the specification impact of using Type 1 indication for skipping indication in DCI format 0_3 / 1_3 is </w:t>
      </w:r>
      <w:r>
        <w:t>smaller</w:t>
      </w:r>
      <w:r>
        <w:rPr>
          <w:rFonts w:hint="eastAsia"/>
        </w:rPr>
        <w:t xml:space="preserve"> than that of using Type 2 indication. </w:t>
      </w:r>
    </w:p>
    <w:p>
      <w:pPr>
        <w:pStyle w:val="60"/>
        <w:spacing w:before="120" w:after="120"/>
        <w:rPr>
          <w:lang w:val="en-US" w:eastAsia="zh-CN"/>
        </w:rPr>
      </w:pPr>
      <w:bookmarkStart w:id="2" w:name="_Toc15900"/>
      <w:r>
        <w:rPr>
          <w:rFonts w:hint="eastAsia"/>
          <w:lang w:val="en-US" w:eastAsia="zh-CN"/>
        </w:rPr>
        <w:t>It is suitable to use Type 1 indication for skipping indication in DCI format 0_3 / 1_3.</w:t>
      </w:r>
      <w:bookmarkEnd w:id="2"/>
      <w:r>
        <w:rPr>
          <w:rFonts w:hint="eastAsia"/>
          <w:lang w:val="en-US" w:eastAsia="zh-CN"/>
        </w:rPr>
        <w:t xml:space="preserve"> </w:t>
      </w:r>
    </w:p>
    <w:p>
      <w:pPr>
        <w:spacing w:before="120" w:after="120"/>
      </w:pPr>
      <w:r>
        <w:rPr>
          <w:rFonts w:hint="eastAsia"/>
        </w:rPr>
        <w:t>In summary, skipping indication carried in DCI format 0_3 / 1_3 is workable in the scenario of RRM measurement with gap and has minor</w:t>
      </w:r>
      <w:r>
        <w:t xml:space="preserve"> </w:t>
      </w:r>
      <w:r>
        <w:rPr>
          <w:rFonts w:hint="eastAsia"/>
        </w:rPr>
        <w:t xml:space="preserve">specification impact. </w:t>
      </w:r>
    </w:p>
    <w:p>
      <w:pPr>
        <w:pStyle w:val="63"/>
        <w:spacing w:before="120" w:after="120"/>
        <w:jc w:val="both"/>
        <w:rPr>
          <w:lang w:val="en-US" w:eastAsia="zh-CN"/>
        </w:rPr>
      </w:pPr>
      <w:bookmarkStart w:id="3" w:name="_Toc5568"/>
      <w:r>
        <w:rPr>
          <w:rFonts w:hint="eastAsia"/>
          <w:lang w:val="en-US" w:eastAsia="zh-CN"/>
        </w:rPr>
        <w:t>Support one bit indication is included as part of DCI format 0_3 / 1_3.</w:t>
      </w:r>
      <w:bookmarkEnd w:id="3"/>
    </w:p>
    <w:p>
      <w:pPr>
        <w:spacing w:before="120" w:after="120"/>
      </w:pPr>
    </w:p>
    <w:p>
      <w:pPr>
        <w:pStyle w:val="3"/>
        <w:spacing w:before="120" w:after="120"/>
        <w:ind w:left="991" w:right="210" w:hanging="991" w:hangingChars="354"/>
      </w:pPr>
      <w:r>
        <w:rPr>
          <w:rFonts w:hint="eastAsia"/>
        </w:rPr>
        <w:t xml:space="preserve">DCI </w:t>
      </w:r>
      <w:r>
        <w:t>content</w:t>
      </w:r>
    </w:p>
    <w:p>
      <w:pPr>
        <w:spacing w:before="120" w:after="120"/>
      </w:pPr>
      <w:r>
        <w:rPr>
          <w:rFonts w:hint="eastAsia"/>
        </w:rPr>
        <w:t xml:space="preserve">In RAN1#118bis meeting, there are a lot of discussions on the meaning of bit state in DCI signaling. </w:t>
      </w:r>
      <w:r>
        <w:t>The key point hinges on whether a previous DCI signaling that marks a gap/restriction occasion as 'skipped' (i.e., bit state '1') can be overwritten to 'not skipped' (i.e., bit state '0') by subsequent DCI signalings indicating the same occasion, following the minimum time offset.</w:t>
      </w:r>
    </w:p>
    <w:p>
      <w:pPr>
        <w:spacing w:before="120" w:after="120"/>
      </w:pPr>
      <w:r>
        <w:rPr>
          <w:rFonts w:hint="eastAsia"/>
        </w:rPr>
        <w:t>In our view, it would be problematic</w:t>
      </w:r>
      <w:r>
        <w:t xml:space="preserve"> if</w:t>
      </w:r>
      <w:r>
        <w:rPr>
          <w:rFonts w:hint="eastAsia"/>
        </w:rPr>
        <w:t xml:space="preserve"> the skipping indication </w:t>
      </w:r>
      <w:r>
        <w:t>that is</w:t>
      </w:r>
      <w:r>
        <w:rPr>
          <w:rFonts w:hint="eastAsia"/>
        </w:rPr>
        <w:t xml:space="preserve"> indicated </w:t>
      </w:r>
      <w:r>
        <w:t>‘</w:t>
      </w:r>
      <w:r>
        <w:rPr>
          <w:rFonts w:hint="eastAsia"/>
        </w:rPr>
        <w:t>skipped</w:t>
      </w:r>
      <w:r>
        <w:t>’ was</w:t>
      </w:r>
      <w:r>
        <w:rPr>
          <w:rFonts w:hint="eastAsia"/>
        </w:rPr>
        <w:t xml:space="preserve"> overwritten as </w:t>
      </w:r>
      <w:r>
        <w:t>‘</w:t>
      </w:r>
      <w:r>
        <w:rPr>
          <w:rFonts w:hint="eastAsia"/>
        </w:rPr>
        <w:t>not skipped</w:t>
      </w:r>
      <w:r>
        <w:t>’</w:t>
      </w:r>
      <w:r>
        <w:rPr>
          <w:rFonts w:hint="eastAsia"/>
        </w:rPr>
        <w:t>. From UE</w:t>
      </w:r>
      <w:r>
        <w:t>’</w:t>
      </w:r>
      <w:r>
        <w:rPr>
          <w:rFonts w:hint="eastAsia"/>
        </w:rPr>
        <w:t xml:space="preserve">s perspective, UEs would re-plan </w:t>
      </w:r>
      <w:r>
        <w:t>the</w:t>
      </w:r>
      <w:r>
        <w:rPr>
          <w:rFonts w:hint="eastAsia"/>
        </w:rPr>
        <w:t xml:space="preserve"> measurement </w:t>
      </w:r>
      <w:r>
        <w:t xml:space="preserve">operation </w:t>
      </w:r>
      <w:r>
        <w:rPr>
          <w:rFonts w:hint="eastAsia"/>
        </w:rPr>
        <w:t>(e.g., calculating how many measurement occasions can be used for reach</w:t>
      </w:r>
      <w:r>
        <w:t>ing</w:t>
      </w:r>
      <w:r>
        <w:rPr>
          <w:rFonts w:hint="eastAsia"/>
        </w:rPr>
        <w:t xml:space="preserve"> the configured measurement requirement). If bit state </w:t>
      </w:r>
      <w:r>
        <w:t>wa</w:t>
      </w:r>
      <w:r>
        <w:rPr>
          <w:rFonts w:hint="eastAsia"/>
        </w:rPr>
        <w:t xml:space="preserve">s </w:t>
      </w:r>
      <w:r>
        <w:t>overwritten</w:t>
      </w:r>
      <w:r>
        <w:rPr>
          <w:rFonts w:hint="eastAsia"/>
        </w:rPr>
        <w:t xml:space="preserve"> from </w:t>
      </w:r>
      <w:r>
        <w:t>‘</w:t>
      </w:r>
      <w:r>
        <w:rPr>
          <w:rFonts w:hint="eastAsia"/>
        </w:rPr>
        <w:t>1</w:t>
      </w:r>
      <w:r>
        <w:t>’</w:t>
      </w:r>
      <w:r>
        <w:rPr>
          <w:rFonts w:hint="eastAsia"/>
        </w:rPr>
        <w:t xml:space="preserve"> to </w:t>
      </w:r>
      <w:r>
        <w:t>‘</w:t>
      </w:r>
      <w:r>
        <w:rPr>
          <w:rFonts w:hint="eastAsia"/>
        </w:rPr>
        <w:t>0</w:t>
      </w:r>
      <w:r>
        <w:t>’</w:t>
      </w:r>
      <w:r>
        <w:rPr>
          <w:rFonts w:hint="eastAsia"/>
        </w:rPr>
        <w:t xml:space="preserve"> frequently among the DCI signalings for a single gap/restriction occasion, the UE would re-plan its measurement behavior frequently, which causes high UE complexity</w:t>
      </w:r>
      <w:r>
        <w:t xml:space="preserve"> and power consumption</w:t>
      </w:r>
      <w:r>
        <w:rPr>
          <w:rFonts w:hint="eastAsia"/>
        </w:rPr>
        <w:t xml:space="preserve">. </w:t>
      </w:r>
    </w:p>
    <w:p>
      <w:pPr>
        <w:pStyle w:val="60"/>
        <w:spacing w:before="120" w:after="120"/>
        <w:rPr>
          <w:lang w:val="en-US" w:eastAsia="zh-CN"/>
        </w:rPr>
      </w:pPr>
      <w:bookmarkStart w:id="4" w:name="_Toc28011"/>
      <w:r>
        <w:rPr>
          <w:lang w:val="en-US" w:eastAsia="zh-CN"/>
        </w:rPr>
        <w:t>Changing</w:t>
      </w:r>
      <w:r>
        <w:rPr>
          <w:rFonts w:hint="eastAsia"/>
          <w:lang w:val="en-US" w:eastAsia="zh-CN"/>
        </w:rPr>
        <w:t xml:space="preserve"> the skipping indication from </w:t>
      </w:r>
      <w:r>
        <w:rPr>
          <w:lang w:val="en-US" w:eastAsia="zh-CN"/>
        </w:rPr>
        <w:t>‘</w:t>
      </w:r>
      <w:r>
        <w:rPr>
          <w:rFonts w:hint="eastAsia"/>
          <w:lang w:val="en-US" w:eastAsia="zh-CN"/>
        </w:rPr>
        <w:t>1</w:t>
      </w:r>
      <w:r>
        <w:rPr>
          <w:lang w:val="en-US" w:eastAsia="zh-CN"/>
        </w:rPr>
        <w:t>’</w:t>
      </w:r>
      <w:r>
        <w:rPr>
          <w:rFonts w:hint="eastAsia"/>
          <w:lang w:val="en-US" w:eastAsia="zh-CN"/>
        </w:rPr>
        <w:t xml:space="preserve"> to </w:t>
      </w:r>
      <w:r>
        <w:rPr>
          <w:lang w:val="en-US" w:eastAsia="zh-CN"/>
        </w:rPr>
        <w:t>‘</w:t>
      </w:r>
      <w:r>
        <w:rPr>
          <w:rFonts w:hint="eastAsia"/>
          <w:lang w:val="en-US" w:eastAsia="zh-CN"/>
        </w:rPr>
        <w:t>0</w:t>
      </w:r>
      <w:r>
        <w:rPr>
          <w:lang w:val="en-US" w:eastAsia="zh-CN"/>
        </w:rPr>
        <w:t>’</w:t>
      </w:r>
      <w:r>
        <w:rPr>
          <w:rFonts w:hint="eastAsia"/>
          <w:lang w:val="en-US" w:eastAsia="zh-CN"/>
        </w:rPr>
        <w:t xml:space="preserve"> among the DCI signalings for a single gap/restriction occasion would cause re-planning for measurement behavior in UE side.</w:t>
      </w:r>
      <w:bookmarkEnd w:id="4"/>
    </w:p>
    <w:p>
      <w:pPr>
        <w:spacing w:before="120" w:after="120"/>
      </w:pPr>
      <w:r>
        <w:rPr>
          <w:rFonts w:hint="eastAsia"/>
        </w:rPr>
        <w:t xml:space="preserve">To this end, we think it is reasonable to </w:t>
      </w:r>
      <w:r>
        <w:t>clarify</w:t>
      </w:r>
      <w:r>
        <w:rPr>
          <w:rFonts w:hint="eastAsia"/>
        </w:rPr>
        <w:t xml:space="preserve"> overwriting </w:t>
      </w:r>
      <w:r>
        <w:t>rules</w:t>
      </w:r>
      <w:r>
        <w:rPr>
          <w:rFonts w:hint="eastAsia"/>
        </w:rPr>
        <w:t xml:space="preserve"> for the skipping indication to reduce UE complexity. According to FL summary in RAN1#118bis meeting [4], there are two kinds of overwriting </w:t>
      </w:r>
      <w:r>
        <w:t>rules</w:t>
      </w:r>
      <w:r>
        <w:rPr>
          <w:rFonts w:hint="eastAsia"/>
        </w:rPr>
        <w:t xml:space="preserve"> in terms of bit state </w:t>
      </w:r>
      <w:r>
        <w:t>‘</w:t>
      </w:r>
      <w:r>
        <w:rPr>
          <w:rFonts w:hint="eastAsia"/>
        </w:rPr>
        <w:t>0</w:t>
      </w:r>
      <w:r>
        <w:t>’</w:t>
      </w:r>
      <w:r>
        <w:rPr>
          <w:rFonts w:hint="eastAsia"/>
        </w:rPr>
        <w:t xml:space="preserve"> for the skipping indication.</w:t>
      </w:r>
    </w:p>
    <w:p>
      <w:pPr>
        <w:numPr>
          <w:ilvl w:val="0"/>
          <w:numId w:val="9"/>
        </w:numPr>
        <w:spacing w:before="120" w:after="120"/>
      </w:pPr>
      <w:r>
        <w:rPr>
          <w:rFonts w:hint="eastAsia"/>
        </w:rPr>
        <w:t>Alt 1: When bit equal to 0, UE ignores the indication of this field in the DCI.</w:t>
      </w:r>
    </w:p>
    <w:p>
      <w:pPr>
        <w:numPr>
          <w:ilvl w:val="0"/>
          <w:numId w:val="9"/>
        </w:numPr>
        <w:spacing w:before="120" w:after="120"/>
      </w:pPr>
      <w:r>
        <w:rPr>
          <w:rFonts w:hint="eastAsia"/>
        </w:rPr>
        <w:t>Alt 2: Bit equal to 0 indicates that UE behavior for the corresponding gap/restriction occasion is as per legacy behavior.</w:t>
      </w:r>
    </w:p>
    <w:p>
      <w:pPr>
        <w:numPr>
          <w:ilvl w:val="0"/>
          <w:numId w:val="10"/>
        </w:numPr>
        <w:spacing w:before="120" w:after="120"/>
      </w:pPr>
      <w:r>
        <w:rPr>
          <w:rFonts w:hint="eastAsia"/>
        </w:rPr>
        <w:t xml:space="preserve">Changing the indication from </w:t>
      </w:r>
      <w:r>
        <w:t>“</w:t>
      </w:r>
      <w:r>
        <w:rPr>
          <w:rFonts w:hint="eastAsia"/>
        </w:rPr>
        <w:t>1</w:t>
      </w:r>
      <w:r>
        <w:t>”</w:t>
      </w:r>
      <w:r>
        <w:rPr>
          <w:rFonts w:hint="eastAsia"/>
        </w:rPr>
        <w:t xml:space="preserve"> to </w:t>
      </w:r>
      <w:r>
        <w:t>“</w:t>
      </w:r>
      <w:r>
        <w:rPr>
          <w:rFonts w:hint="eastAsia"/>
        </w:rPr>
        <w:t>0</w:t>
      </w:r>
      <w:r>
        <w:t>”</w:t>
      </w:r>
      <w:r>
        <w:rPr>
          <w:rFonts w:hint="eastAsia"/>
        </w:rPr>
        <w:t xml:space="preserve"> for the gap/restriction is not allowed</w:t>
      </w:r>
    </w:p>
    <w:p>
      <w:pPr>
        <w:spacing w:before="120" w:after="120"/>
      </w:pPr>
      <w:r>
        <w:rPr>
          <w:rFonts w:hint="eastAsia"/>
        </w:rPr>
        <w:t xml:space="preserve">For Alt 2, </w:t>
      </w:r>
      <w:r>
        <w:t>assum</w:t>
      </w:r>
      <w:r>
        <w:rPr>
          <w:rFonts w:hint="eastAsia"/>
        </w:rPr>
        <w:t xml:space="preserve">ing there are three DCI signalings indicating a single gap/restriction occasion, the bit states in these three DCI signalings include </w:t>
      </w:r>
      <w:r>
        <w:t>‘</w:t>
      </w:r>
      <w:r>
        <w:rPr>
          <w:rFonts w:hint="eastAsia"/>
        </w:rPr>
        <w:t>0, 0, 0</w:t>
      </w:r>
      <w:r>
        <w:t>’</w:t>
      </w:r>
      <w:r>
        <w:rPr>
          <w:rFonts w:hint="eastAsia"/>
        </w:rPr>
        <w:t xml:space="preserve">, </w:t>
      </w:r>
      <w:r>
        <w:t>‘</w:t>
      </w:r>
      <w:r>
        <w:rPr>
          <w:rFonts w:hint="eastAsia"/>
        </w:rPr>
        <w:t>0, 0, 1</w:t>
      </w:r>
      <w:r>
        <w:t>’</w:t>
      </w:r>
      <w:r>
        <w:rPr>
          <w:rFonts w:hint="eastAsia"/>
        </w:rPr>
        <w:t xml:space="preserve">, </w:t>
      </w:r>
      <w:r>
        <w:t>‘</w:t>
      </w:r>
      <w:r>
        <w:rPr>
          <w:rFonts w:hint="eastAsia"/>
        </w:rPr>
        <w:t>0, 1, 1</w:t>
      </w:r>
      <w:r>
        <w:t>’</w:t>
      </w:r>
      <w:r>
        <w:rPr>
          <w:rFonts w:hint="eastAsia"/>
        </w:rPr>
        <w:t xml:space="preserve">, and </w:t>
      </w:r>
      <w:r>
        <w:t>‘</w:t>
      </w:r>
      <w:r>
        <w:rPr>
          <w:rFonts w:hint="eastAsia"/>
        </w:rPr>
        <w:t>1, 1, 1</w:t>
      </w:r>
      <w:r>
        <w:t>’</w:t>
      </w:r>
      <w:r>
        <w:rPr>
          <w:rFonts w:hint="eastAsia"/>
        </w:rPr>
        <w:t xml:space="preserve">, as depicted in Figure 2. UE </w:t>
      </w:r>
      <w:r>
        <w:t xml:space="preserve">starts to </w:t>
      </w:r>
      <w:r>
        <w:rPr>
          <w:rFonts w:hint="eastAsia"/>
        </w:rPr>
        <w:t>plan</w:t>
      </w:r>
      <w:r>
        <w:t>/schedule</w:t>
      </w:r>
      <w:r>
        <w:rPr>
          <w:rFonts w:hint="eastAsia"/>
        </w:rPr>
        <w:t xml:space="preserve"> the measurement </w:t>
      </w:r>
      <w:r>
        <w:t>resources</w:t>
      </w:r>
      <w:r>
        <w:rPr>
          <w:rFonts w:hint="eastAsia"/>
        </w:rPr>
        <w:t xml:space="preserve"> when gNB indicates to skip the gap/restriction occasion. </w:t>
      </w:r>
      <w:r>
        <w:t>Thus it would be good not change the indication from</w:t>
      </w:r>
      <w:r>
        <w:rPr>
          <w:rFonts w:hint="eastAsia"/>
        </w:rPr>
        <w:t>“</w:t>
      </w:r>
      <w:r>
        <w:t xml:space="preserve">skip” to “not skip” for the gap/restriction. </w:t>
      </w:r>
      <w:r>
        <w:rPr>
          <w:rFonts w:hint="eastAsia"/>
        </w:rPr>
        <w:t>However, although this limitation addresses UE vendor</w:t>
      </w:r>
      <w:r>
        <w:t>’</w:t>
      </w:r>
      <w:r>
        <w:rPr>
          <w:rFonts w:hint="eastAsia"/>
        </w:rPr>
        <w:t xml:space="preserve">s concerns, it would </w:t>
      </w:r>
      <w:r>
        <w:t>cause mandatory</w:t>
      </w:r>
      <w:r>
        <w:rPr>
          <w:rFonts w:hint="eastAsia"/>
        </w:rPr>
        <w:t xml:space="preserve"> indication </w:t>
      </w:r>
      <w:r>
        <w:t>of particular value from</w:t>
      </w:r>
      <w:r>
        <w:rPr>
          <w:rFonts w:hint="eastAsia"/>
        </w:rPr>
        <w:t xml:space="preserve"> gNB</w:t>
      </w:r>
      <w:r>
        <w:t xml:space="preserve"> side, </w:t>
      </w:r>
      <w:r>
        <w:rPr>
          <w:rFonts w:hint="eastAsia"/>
        </w:rPr>
        <w:t>which</w:t>
      </w:r>
      <w:r>
        <w:t xml:space="preserve"> is not prefer</w:t>
      </w:r>
      <w:r>
        <w:rPr>
          <w:rFonts w:hint="eastAsia"/>
        </w:rPr>
        <w:t xml:space="preserve">able from our side. In contrast, </w:t>
      </w:r>
      <w:r>
        <w:t>Alt 1 allow</w:t>
      </w:r>
      <w:r>
        <w:rPr>
          <w:rFonts w:hint="eastAsia"/>
        </w:rPr>
        <w:t>s</w:t>
      </w:r>
      <w:r>
        <w:t xml:space="preserve"> changing the indication from “1” to “0” for the gap/restriction but does not cause problems from UE side. For example, when UE receives a bit “0” after receiving one bit “1” previously, UE ignores this indication of “0”, in other words, UE considers that this indication of “0” has no meaning, in that sense, UE can continue previous behavior which is indicated by bit “1”.</w:t>
      </w:r>
      <w:r>
        <w:rPr>
          <w:rFonts w:hint="eastAsia"/>
        </w:rPr>
        <w:t xml:space="preserve"> To this end, Alt 1 is preferable.</w:t>
      </w:r>
    </w:p>
    <w:p>
      <w:pPr>
        <w:spacing w:before="120" w:after="120"/>
        <w:jc w:val="center"/>
      </w:pPr>
      <w:r>
        <w:drawing>
          <wp:inline distT="0" distB="0" distL="114300" distR="114300">
            <wp:extent cx="3613150" cy="2421255"/>
            <wp:effectExtent l="0" t="0" r="6350" b="1714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a:stretch>
                      <a:fillRect/>
                    </a:stretch>
                  </pic:blipFill>
                  <pic:spPr>
                    <a:xfrm>
                      <a:off x="0" y="0"/>
                      <a:ext cx="3613150" cy="2421255"/>
                    </a:xfrm>
                    <a:prstGeom prst="rect">
                      <a:avLst/>
                    </a:prstGeom>
                    <a:noFill/>
                    <a:ln>
                      <a:noFill/>
                    </a:ln>
                  </pic:spPr>
                </pic:pic>
              </a:graphicData>
            </a:graphic>
          </wp:inline>
        </w:drawing>
      </w:r>
    </w:p>
    <w:p>
      <w:pPr>
        <w:spacing w:before="120" w:after="120"/>
        <w:jc w:val="center"/>
      </w:pPr>
      <w:r>
        <w:rPr>
          <w:rFonts w:hint="eastAsia"/>
        </w:rPr>
        <w:t>Figure 2 Possible DCI indication with overwriting limitation of Alt 2 when three DCIs indicating a single gap/restriction occasion</w:t>
      </w:r>
    </w:p>
    <w:p>
      <w:pPr>
        <w:pStyle w:val="63"/>
        <w:spacing w:before="120" w:after="120"/>
        <w:jc w:val="both"/>
        <w:rPr>
          <w:lang w:val="en-US" w:eastAsia="zh-CN"/>
        </w:rPr>
      </w:pPr>
      <w:bookmarkStart w:id="5" w:name="_Toc26488"/>
      <w:r>
        <w:rPr>
          <w:rFonts w:hint="eastAsia"/>
          <w:lang w:val="en-US" w:eastAsia="zh-CN"/>
        </w:rPr>
        <w:t xml:space="preserve">Support </w:t>
      </w:r>
      <w:r>
        <w:rPr>
          <w:lang w:val="en-US" w:eastAsia="zh-CN"/>
        </w:rPr>
        <w:t xml:space="preserve">Alt 1: </w:t>
      </w:r>
      <w:r>
        <w:rPr>
          <w:rFonts w:hint="eastAsia"/>
          <w:lang w:val="en-US" w:eastAsia="zh-CN"/>
        </w:rPr>
        <w:t xml:space="preserve">the bit state </w:t>
      </w:r>
      <w:r>
        <w:rPr>
          <w:lang w:val="en-US" w:eastAsia="zh-CN"/>
        </w:rPr>
        <w:t>‘</w:t>
      </w:r>
      <w:r>
        <w:rPr>
          <w:rFonts w:hint="eastAsia"/>
          <w:lang w:val="en-US" w:eastAsia="zh-CN"/>
        </w:rPr>
        <w:t>0</w:t>
      </w:r>
      <w:r>
        <w:rPr>
          <w:lang w:val="en-US" w:eastAsia="zh-CN"/>
        </w:rPr>
        <w:t>’</w:t>
      </w:r>
      <w:r>
        <w:rPr>
          <w:rFonts w:hint="eastAsia"/>
          <w:lang w:val="en-US" w:eastAsia="zh-CN"/>
        </w:rPr>
        <w:t xml:space="preserve"> </w:t>
      </w:r>
      <w:r>
        <w:rPr>
          <w:lang w:val="en-US" w:eastAsia="zh-CN"/>
        </w:rPr>
        <w:t>in DCI means</w:t>
      </w:r>
      <w:r>
        <w:rPr>
          <w:rFonts w:hint="eastAsia"/>
          <w:lang w:val="en-US" w:eastAsia="zh-CN"/>
        </w:rPr>
        <w:t xml:space="preserve"> </w:t>
      </w:r>
      <w:r>
        <w:rPr>
          <w:lang w:val="en-US" w:eastAsia="zh-CN"/>
        </w:rPr>
        <w:t>“</w:t>
      </w:r>
      <w:r>
        <w:rPr>
          <w:rFonts w:hint="eastAsia"/>
          <w:lang w:val="en-US" w:eastAsia="zh-CN"/>
        </w:rPr>
        <w:t>UE ignores the indication of this field in the DCI</w:t>
      </w:r>
      <w:r>
        <w:rPr>
          <w:lang w:val="en-US" w:eastAsia="zh-CN"/>
        </w:rPr>
        <w:t>”</w:t>
      </w:r>
      <w:r>
        <w:rPr>
          <w:rFonts w:hint="eastAsia"/>
          <w:lang w:val="en-US" w:eastAsia="zh-CN"/>
        </w:rPr>
        <w:t>.</w:t>
      </w:r>
      <w:bookmarkEnd w:id="5"/>
    </w:p>
    <w:p>
      <w:pPr>
        <w:spacing w:before="120" w:after="120"/>
      </w:pPr>
      <w:r>
        <w:t>Besides, i</w:t>
      </w:r>
      <w:r>
        <w:rPr>
          <w:rFonts w:hint="eastAsia"/>
        </w:rPr>
        <w:t xml:space="preserve">f changing the indication from </w:t>
      </w:r>
      <w:r>
        <w:t>“</w:t>
      </w:r>
      <w:r>
        <w:rPr>
          <w:rFonts w:hint="eastAsia"/>
        </w:rPr>
        <w:t>1</w:t>
      </w:r>
      <w:r>
        <w:t>”</w:t>
      </w:r>
      <w:r>
        <w:rPr>
          <w:rFonts w:hint="eastAsia"/>
        </w:rPr>
        <w:t xml:space="preserve"> to </w:t>
      </w:r>
      <w:r>
        <w:t>“</w:t>
      </w:r>
      <w:r>
        <w:rPr>
          <w:rFonts w:hint="eastAsia"/>
        </w:rPr>
        <w:t>0</w:t>
      </w:r>
      <w:r>
        <w:t>”</w:t>
      </w:r>
      <w:r>
        <w:rPr>
          <w:rFonts w:hint="eastAsia"/>
        </w:rPr>
        <w:t xml:space="preserve"> for the gap/restriction is allowed, </w:t>
      </w:r>
      <w:r>
        <w:t xml:space="preserve">and </w:t>
      </w:r>
      <w:r>
        <w:rPr>
          <w:rFonts w:hint="eastAsia"/>
        </w:rPr>
        <w:t xml:space="preserve">it is </w:t>
      </w:r>
      <w:r>
        <w:t>assume</w:t>
      </w:r>
      <w:r>
        <w:rPr>
          <w:rFonts w:hint="eastAsia"/>
        </w:rPr>
        <w:t>d that</w:t>
      </w:r>
      <w:r>
        <w:t xml:space="preserve"> UE does not start to plan/schedule measurement resource until the latest DCI, which</w:t>
      </w:r>
      <w:r>
        <w:rPr>
          <w:rFonts w:hint="eastAsia"/>
        </w:rPr>
        <w:t xml:space="preserve"> satisf</w:t>
      </w:r>
      <w:r>
        <w:t>ies</w:t>
      </w:r>
      <w:r>
        <w:rPr>
          <w:rFonts w:hint="eastAsia"/>
        </w:rPr>
        <w:t xml:space="preserve"> the minimum time offset.</w:t>
      </w:r>
      <w:r>
        <w:t xml:space="preserve"> In this case, it looks reasonable from timeline aspect. However,</w:t>
      </w:r>
      <w:r>
        <w:rPr>
          <w:rFonts w:hint="eastAsia"/>
        </w:rPr>
        <w:t xml:space="preserve"> it is unclear that what the UE behavior </w:t>
      </w:r>
      <w:r>
        <w:t xml:space="preserve">is </w:t>
      </w:r>
      <w:r>
        <w:rPr>
          <w:rFonts w:hint="eastAsia"/>
        </w:rPr>
        <w:t>when UE receives a non-la</w:t>
      </w:r>
      <w:r>
        <w:t>test</w:t>
      </w:r>
      <w:r>
        <w:rPr>
          <w:rFonts w:hint="eastAsia"/>
        </w:rPr>
        <w:t xml:space="preserve"> DCI signaling for the gap/restriction occasion, as illustrated in Figure 3. It </w:t>
      </w:r>
      <w:r>
        <w:t xml:space="preserve">may </w:t>
      </w:r>
      <w:r>
        <w:rPr>
          <w:rFonts w:hint="eastAsia"/>
        </w:rPr>
        <w:t>have additional specification impact towards how UE handle</w:t>
      </w:r>
      <w:r>
        <w:t>s</w:t>
      </w:r>
      <w:r>
        <w:rPr>
          <w:rFonts w:hint="eastAsia"/>
        </w:rPr>
        <w:t xml:space="preserve"> the skipping indication in </w:t>
      </w:r>
      <w:r>
        <w:t>previous</w:t>
      </w:r>
      <w:r>
        <w:rPr>
          <w:rFonts w:hint="eastAsia"/>
        </w:rPr>
        <w:t xml:space="preserve"> DCI signaling</w:t>
      </w:r>
      <w:r>
        <w:t>, and it also needs further clarification on how UE knows current DCI is the latest DCI</w:t>
      </w:r>
      <w:r>
        <w:rPr>
          <w:rFonts w:hint="eastAsia"/>
        </w:rPr>
        <w:t xml:space="preserve">. </w:t>
      </w:r>
    </w:p>
    <w:p>
      <w:pPr>
        <w:spacing w:before="120" w:after="120"/>
        <w:jc w:val="center"/>
      </w:pPr>
      <w:r>
        <w:drawing>
          <wp:inline distT="0" distB="0" distL="114300" distR="114300">
            <wp:extent cx="3181985" cy="1720215"/>
            <wp:effectExtent l="0" t="0" r="1841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181985" cy="1720215"/>
                    </a:xfrm>
                    <a:prstGeom prst="rect">
                      <a:avLst/>
                    </a:prstGeom>
                    <a:noFill/>
                    <a:ln>
                      <a:noFill/>
                    </a:ln>
                  </pic:spPr>
                </pic:pic>
              </a:graphicData>
            </a:graphic>
          </wp:inline>
        </w:drawing>
      </w:r>
    </w:p>
    <w:p>
      <w:pPr>
        <w:spacing w:before="120" w:after="120"/>
        <w:jc w:val="center"/>
      </w:pPr>
      <w:r>
        <w:rPr>
          <w:rFonts w:hint="eastAsia"/>
        </w:rPr>
        <w:t>Figure 3 Example of skipping gap/restriction occasion or not depends on la</w:t>
      </w:r>
      <w:r>
        <w:t>test</w:t>
      </w:r>
      <w:r>
        <w:rPr>
          <w:rFonts w:hint="eastAsia"/>
        </w:rPr>
        <w:t xml:space="preserve"> DCI satisfying minimum time offset.</w:t>
      </w:r>
    </w:p>
    <w:p>
      <w:pPr>
        <w:pStyle w:val="60"/>
        <w:spacing w:before="120" w:after="120"/>
      </w:pPr>
      <w:bookmarkStart w:id="6" w:name="_Toc23686"/>
      <w:r>
        <w:t>I</w:t>
      </w:r>
      <w:r>
        <w:rPr>
          <w:rFonts w:hint="eastAsia"/>
        </w:rPr>
        <w:t xml:space="preserve">t is unclear on the UE behavior </w:t>
      </w:r>
      <w:r>
        <w:t>when UE receives a</w:t>
      </w:r>
      <w:r>
        <w:rPr>
          <w:rFonts w:hint="eastAsia"/>
        </w:rPr>
        <w:t xml:space="preserve"> non-la</w:t>
      </w:r>
      <w:r>
        <w:t>test</w:t>
      </w:r>
      <w:r>
        <w:rPr>
          <w:rFonts w:hint="eastAsia"/>
        </w:rPr>
        <w:t xml:space="preserve"> DCI signaling</w:t>
      </w:r>
      <w:r>
        <w:t xml:space="preserve">, and </w:t>
      </w:r>
      <w:r>
        <w:rPr>
          <w:lang w:val="en-US" w:eastAsia="zh-CN"/>
        </w:rPr>
        <w:t>it needs further clarification on how UE knows current DCI is the latest DCI</w:t>
      </w:r>
      <w:r>
        <w:rPr>
          <w:rFonts w:hint="eastAsia"/>
        </w:rPr>
        <w:t>.</w:t>
      </w:r>
      <w:bookmarkEnd w:id="6"/>
      <w:r>
        <w:rPr>
          <w:rFonts w:hint="eastAsia"/>
        </w:rPr>
        <w:t xml:space="preserve">    </w:t>
      </w:r>
    </w:p>
    <w:p>
      <w:pPr>
        <w:pStyle w:val="63"/>
        <w:spacing w:before="120" w:after="120"/>
        <w:rPr>
          <w:lang w:val="en-US"/>
        </w:rPr>
      </w:pPr>
      <w:bookmarkStart w:id="7" w:name="_Toc25995"/>
      <w:r>
        <w:t>There is no need to introduce</w:t>
      </w:r>
      <w:r>
        <w:rPr>
          <w:lang w:val="en-US"/>
        </w:rPr>
        <w:t xml:space="preserve"> overwriting limitation rules </w:t>
      </w:r>
      <w:r>
        <w:rPr>
          <w:lang w:val="en-US" w:eastAsia="zh-CN"/>
        </w:rPr>
        <w:t>for skipping indication</w:t>
      </w:r>
      <w:r>
        <w:rPr>
          <w:lang w:val="en-US"/>
        </w:rPr>
        <w:t>.</w:t>
      </w:r>
      <w:bookmarkEnd w:id="7"/>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i w:val="0"/>
          <w:iCs w:val="0"/>
          <w:szCs w:val="22"/>
        </w:rPr>
        <w:fldChar w:fldCharType="begin"/>
      </w:r>
      <w:r>
        <w:rPr>
          <w:i w:val="0"/>
          <w:iCs w:val="0"/>
          <w:szCs w:val="22"/>
        </w:rPr>
        <w:instrText xml:space="preserve"> HYPERLINK \l _Toc28879 </w:instrText>
      </w:r>
      <w:r>
        <w:rPr>
          <w:i w:val="0"/>
          <w:iCs w:val="0"/>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 xml:space="preserve">It is beneficial for XR traffic to transmit </w:t>
      </w:r>
      <w:r>
        <w:rPr>
          <w:lang w:val="en-US" w:eastAsia="zh-CN"/>
        </w:rPr>
        <w:t>using</w:t>
      </w:r>
      <w:r>
        <w:rPr>
          <w:rFonts w:hint="eastAsia"/>
          <w:lang w:val="en-US" w:eastAsia="zh-CN"/>
        </w:rPr>
        <w:t xml:space="preserve"> carrier aggregation</w:t>
      </w:r>
      <w:r>
        <w:rPr>
          <w:lang w:val="en-US" w:eastAsia="zh-CN"/>
        </w:rPr>
        <w:t>, which includes</w:t>
      </w:r>
      <w:r>
        <w:rPr>
          <w:rFonts w:hint="eastAsia"/>
          <w:lang w:val="en-US" w:eastAsia="zh-CN"/>
        </w:rPr>
        <w:t xml:space="preserve"> one DCI scheduling PDSCHs </w:t>
      </w:r>
      <w:r>
        <w:rPr>
          <w:lang w:val="en-US" w:eastAsia="zh-CN"/>
        </w:rPr>
        <w:t>across</w:t>
      </w:r>
      <w:r>
        <w:rPr>
          <w:rFonts w:hint="eastAsia"/>
          <w:lang w:val="en-US" w:eastAsia="zh-CN"/>
        </w:rPr>
        <w:t xml:space="preserve"> multiple cells/carriers.</w:t>
      </w:r>
      <w:r>
        <w:rPr>
          <w:i w:val="0"/>
          <w:iCs w:val="0"/>
          <w:szCs w:val="22"/>
        </w:rPr>
        <w:fldChar w:fldCharType="end"/>
      </w:r>
    </w:p>
    <w:p>
      <w:pPr>
        <w:pStyle w:val="20"/>
        <w:tabs>
          <w:tab w:val="right" w:leader="dot" w:pos="9660"/>
          <w:tab w:val="clear" w:pos="0"/>
        </w:tabs>
      </w:pPr>
      <w:r>
        <w:rPr>
          <w:szCs w:val="22"/>
        </w:rPr>
        <w:fldChar w:fldCharType="begin"/>
      </w:r>
      <w:r>
        <w:rPr>
          <w:szCs w:val="22"/>
        </w:rPr>
        <w:instrText xml:space="preserve"> HYPERLINK \l _Toc5803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One bit indication in DCI format 0_3 / 1_3 corresponds to gap/restriction occasion in all cells.</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_Toc15900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It is suitable to use Type 1 indication for skipping indication in DCI format 0_3 / 1_3.</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_Toc28011 </w:instrText>
      </w:r>
      <w:r>
        <w:rPr>
          <w:szCs w:val="22"/>
        </w:rPr>
        <w:fldChar w:fldCharType="separate"/>
      </w:r>
      <w:r>
        <w:rPr>
          <w:rFonts w:hint="default" w:ascii="Times New Roman" w:hAnsi="Times New Roman" w:eastAsia="宋体" w:cs="Times New Roman"/>
          <w:bCs/>
          <w:i/>
          <w:iCs/>
          <w:lang w:val="en-US" w:eastAsia="zh-CN"/>
        </w:rPr>
        <w:t xml:space="preserve">Observation 4: </w:t>
      </w:r>
      <w:r>
        <w:rPr>
          <w:lang w:val="en-US" w:eastAsia="zh-CN"/>
        </w:rPr>
        <w:t>Changing</w:t>
      </w:r>
      <w:r>
        <w:rPr>
          <w:rFonts w:hint="eastAsia"/>
          <w:lang w:val="en-US" w:eastAsia="zh-CN"/>
        </w:rPr>
        <w:t xml:space="preserve"> the skipping indication from </w:t>
      </w:r>
      <w:r>
        <w:rPr>
          <w:lang w:val="en-US" w:eastAsia="zh-CN"/>
        </w:rPr>
        <w:t>‘</w:t>
      </w:r>
      <w:r>
        <w:rPr>
          <w:rFonts w:hint="eastAsia"/>
          <w:lang w:val="en-US" w:eastAsia="zh-CN"/>
        </w:rPr>
        <w:t>1</w:t>
      </w:r>
      <w:r>
        <w:rPr>
          <w:lang w:val="en-US" w:eastAsia="zh-CN"/>
        </w:rPr>
        <w:t>’</w:t>
      </w:r>
      <w:r>
        <w:rPr>
          <w:rFonts w:hint="eastAsia"/>
          <w:lang w:val="en-US" w:eastAsia="zh-CN"/>
        </w:rPr>
        <w:t xml:space="preserve"> to </w:t>
      </w:r>
      <w:r>
        <w:rPr>
          <w:lang w:val="en-US" w:eastAsia="zh-CN"/>
        </w:rPr>
        <w:t>‘</w:t>
      </w:r>
      <w:r>
        <w:rPr>
          <w:rFonts w:hint="eastAsia"/>
          <w:lang w:val="en-US" w:eastAsia="zh-CN"/>
        </w:rPr>
        <w:t>0</w:t>
      </w:r>
      <w:r>
        <w:rPr>
          <w:lang w:val="en-US" w:eastAsia="zh-CN"/>
        </w:rPr>
        <w:t>’</w:t>
      </w:r>
      <w:r>
        <w:rPr>
          <w:rFonts w:hint="eastAsia"/>
          <w:lang w:val="en-US" w:eastAsia="zh-CN"/>
        </w:rPr>
        <w:t xml:space="preserve"> among the DCI signalings for a single gap/restriction occasion would cause re-planning for measurement behavior in UE side.</w:t>
      </w:r>
      <w:r>
        <w:rPr>
          <w:szCs w:val="22"/>
        </w:rPr>
        <w:fldChar w:fldCharType="end"/>
      </w:r>
    </w:p>
    <w:p>
      <w:pPr>
        <w:pStyle w:val="20"/>
        <w:tabs>
          <w:tab w:val="right" w:leader="dot" w:pos="9660"/>
          <w:tab w:val="clear" w:pos="0"/>
        </w:tabs>
      </w:pPr>
      <w:r>
        <w:rPr>
          <w:szCs w:val="22"/>
        </w:rPr>
        <w:fldChar w:fldCharType="begin"/>
      </w:r>
      <w:r>
        <w:rPr>
          <w:szCs w:val="22"/>
        </w:rPr>
        <w:instrText xml:space="preserve"> HYPERLINK \l _Toc23686 </w:instrText>
      </w:r>
      <w:r>
        <w:rPr>
          <w:szCs w:val="22"/>
        </w:rPr>
        <w:fldChar w:fldCharType="separate"/>
      </w:r>
      <w:r>
        <w:rPr>
          <w:rFonts w:hint="default" w:ascii="Times New Roman" w:hAnsi="Times New Roman" w:eastAsia="宋体" w:cs="Times New Roman"/>
          <w:bCs/>
          <w:i/>
          <w:iCs/>
          <w:lang w:val="en-US"/>
        </w:rPr>
        <w:t xml:space="preserve">Observation 5: </w:t>
      </w:r>
      <w:r>
        <w:t>I</w:t>
      </w:r>
      <w:r>
        <w:rPr>
          <w:rFonts w:hint="eastAsia"/>
        </w:rPr>
        <w:t xml:space="preserve">t is unclear on the UE behavior </w:t>
      </w:r>
      <w:r>
        <w:t>when UE receives a</w:t>
      </w:r>
      <w:r>
        <w:rPr>
          <w:rFonts w:hint="eastAsia"/>
        </w:rPr>
        <w:t xml:space="preserve"> non-la</w:t>
      </w:r>
      <w:r>
        <w:t>test</w:t>
      </w:r>
      <w:r>
        <w:rPr>
          <w:rFonts w:hint="eastAsia"/>
        </w:rPr>
        <w:t xml:space="preserve"> DCI signaling</w:t>
      </w:r>
      <w:r>
        <w:t xml:space="preserve">, and </w:t>
      </w:r>
      <w:r>
        <w:rPr>
          <w:lang w:val="en-US" w:eastAsia="zh-CN"/>
        </w:rPr>
        <w:t>it needs further clarification on how UE knows current DCI is the latest DCI</w:t>
      </w:r>
      <w:r>
        <w:rPr>
          <w:rFonts w:hint="eastAsia"/>
        </w:rPr>
        <w:t>.</w:t>
      </w:r>
      <w:r>
        <w:rPr>
          <w:szCs w:val="22"/>
        </w:rPr>
        <w:fldChar w:fldCharType="end"/>
      </w:r>
    </w:p>
    <w:p>
      <w:pPr>
        <w:spacing w:before="120" w:after="120"/>
      </w:pPr>
      <w:r>
        <w:rPr>
          <w:szCs w:val="22"/>
        </w:rPr>
        <w:fldChar w:fldCharType="end"/>
      </w:r>
    </w:p>
    <w:p>
      <w:pPr>
        <w:pStyle w:val="20"/>
        <w:tabs>
          <w:tab w:val="right" w:leader="dot" w:pos="9660"/>
          <w:tab w:val="clear" w:pos="0"/>
        </w:tabs>
      </w:pPr>
      <w:bookmarkStart w:id="8" w:name="_GoBack"/>
      <w:bookmarkEnd w:id="8"/>
      <w:r>
        <w:fldChar w:fldCharType="begin"/>
      </w:r>
      <w:r>
        <w:instrText xml:space="preserve">TOC \n  \t "YJ-Proposal,1,sub-proposal,2,3rd level proposal,3" \h</w:instrText>
      </w:r>
      <w:r>
        <w:fldChar w:fldCharType="separate"/>
      </w:r>
      <w:r>
        <w:fldChar w:fldCharType="begin"/>
      </w:r>
      <w:r>
        <w:instrText xml:space="preserve"> HYPERLINK \l _Toc5568 </w:instrText>
      </w:r>
      <w: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Support one bit indication is included as part of DCI format 0_3 / 1_3.</w:t>
      </w:r>
      <w:r>
        <w:fldChar w:fldCharType="end"/>
      </w:r>
    </w:p>
    <w:p>
      <w:pPr>
        <w:pStyle w:val="20"/>
        <w:tabs>
          <w:tab w:val="right" w:leader="dot" w:pos="9660"/>
          <w:tab w:val="clear" w:pos="0"/>
        </w:tabs>
      </w:pPr>
      <w:r>
        <w:fldChar w:fldCharType="begin"/>
      </w:r>
      <w:r>
        <w:instrText xml:space="preserve"> HYPERLINK \l _Toc26488 </w:instrText>
      </w:r>
      <w: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 xml:space="preserve">Support </w:t>
      </w:r>
      <w:r>
        <w:rPr>
          <w:lang w:val="en-US" w:eastAsia="zh-CN"/>
        </w:rPr>
        <w:t xml:space="preserve">Alt 1: </w:t>
      </w:r>
      <w:r>
        <w:rPr>
          <w:rFonts w:hint="eastAsia"/>
          <w:lang w:val="en-US" w:eastAsia="zh-CN"/>
        </w:rPr>
        <w:t xml:space="preserve">the bit state </w:t>
      </w:r>
      <w:r>
        <w:rPr>
          <w:lang w:val="en-US" w:eastAsia="zh-CN"/>
        </w:rPr>
        <w:t>‘</w:t>
      </w:r>
      <w:r>
        <w:rPr>
          <w:rFonts w:hint="eastAsia"/>
          <w:lang w:val="en-US" w:eastAsia="zh-CN"/>
        </w:rPr>
        <w:t>0</w:t>
      </w:r>
      <w:r>
        <w:rPr>
          <w:lang w:val="en-US" w:eastAsia="zh-CN"/>
        </w:rPr>
        <w:t>’</w:t>
      </w:r>
      <w:r>
        <w:rPr>
          <w:rFonts w:hint="eastAsia"/>
          <w:lang w:val="en-US" w:eastAsia="zh-CN"/>
        </w:rPr>
        <w:t xml:space="preserve"> </w:t>
      </w:r>
      <w:r>
        <w:rPr>
          <w:lang w:val="en-US" w:eastAsia="zh-CN"/>
        </w:rPr>
        <w:t>in DCI means</w:t>
      </w:r>
      <w:r>
        <w:rPr>
          <w:rFonts w:hint="eastAsia"/>
          <w:lang w:val="en-US" w:eastAsia="zh-CN"/>
        </w:rPr>
        <w:t xml:space="preserve"> </w:t>
      </w:r>
      <w:r>
        <w:rPr>
          <w:lang w:val="en-US" w:eastAsia="zh-CN"/>
        </w:rPr>
        <w:t>“</w:t>
      </w:r>
      <w:r>
        <w:rPr>
          <w:rFonts w:hint="eastAsia"/>
          <w:lang w:val="en-US" w:eastAsia="zh-CN"/>
        </w:rPr>
        <w:t>UE ignores the indication of this field in the DCI</w:t>
      </w:r>
      <w:r>
        <w:rPr>
          <w:lang w:val="en-US" w:eastAsia="zh-CN"/>
        </w:rPr>
        <w:t>”</w:t>
      </w:r>
      <w:r>
        <w:rPr>
          <w:rFonts w:hint="eastAsia"/>
          <w:lang w:val="en-US" w:eastAsia="zh-CN"/>
        </w:rPr>
        <w:t>.</w:t>
      </w:r>
      <w:r>
        <w:fldChar w:fldCharType="end"/>
      </w:r>
    </w:p>
    <w:p>
      <w:pPr>
        <w:pStyle w:val="20"/>
        <w:tabs>
          <w:tab w:val="right" w:leader="dot" w:pos="9660"/>
          <w:tab w:val="clear" w:pos="0"/>
        </w:tabs>
      </w:pPr>
      <w:r>
        <w:fldChar w:fldCharType="begin"/>
      </w:r>
      <w:r>
        <w:instrText xml:space="preserve"> HYPERLINK \l _Toc25995 </w:instrText>
      </w:r>
      <w:r>
        <w:fldChar w:fldCharType="separate"/>
      </w:r>
      <w:r>
        <w:rPr>
          <w:rFonts w:hint="default" w:ascii="Times New Roman" w:hAnsi="Times New Roman" w:eastAsia="宋体" w:cs="Times New Roman"/>
          <w:bCs/>
          <w:i/>
          <w:iCs/>
          <w:lang w:val="en-US"/>
        </w:rPr>
        <w:t xml:space="preserve">Proposal 3: </w:t>
      </w:r>
      <w:r>
        <w:t>There is no need to introduce</w:t>
      </w:r>
      <w:r>
        <w:rPr>
          <w:lang w:val="en-US"/>
        </w:rPr>
        <w:t xml:space="preserve"> overwriting limitation rules </w:t>
      </w:r>
      <w:r>
        <w:rPr>
          <w:lang w:val="en-US" w:eastAsia="zh-CN"/>
        </w:rPr>
        <w:t>for skipping indication</w:t>
      </w:r>
      <w:r>
        <w:rPr>
          <w:lang w:val="en-US"/>
        </w:rPr>
        <w:t>.</w:t>
      </w:r>
      <w:r>
        <w:fldChar w:fldCharType="end"/>
      </w:r>
    </w:p>
    <w:p>
      <w:pPr>
        <w:pStyle w:val="20"/>
        <w:tabs>
          <w:tab w:val="right" w:leader="dot" w:pos="9660"/>
          <w:tab w:val="clear" w:pos="0"/>
        </w:tabs>
        <w:spacing w:before="120" w:after="120"/>
      </w:pPr>
      <w:r>
        <w:fldChar w:fldCharType="end"/>
      </w:r>
    </w:p>
    <w:p>
      <w:pPr>
        <w:pStyle w:val="2"/>
        <w:spacing w:before="120" w:after="120"/>
        <w:ind w:left="0"/>
        <w:rPr>
          <w:rFonts w:eastAsia="宋体"/>
        </w:rPr>
      </w:pPr>
      <w:r>
        <w:rPr>
          <w:rFonts w:hint="eastAsia" w:eastAsia="宋体"/>
        </w:rPr>
        <w:t>Reference</w:t>
      </w:r>
      <w:r>
        <w:rPr>
          <w:rFonts w:eastAsia="宋体"/>
        </w:rPr>
        <w:t>s</w:t>
      </w:r>
      <w:r>
        <w:rPr>
          <w:rFonts w:hint="eastAsia" w:eastAsia="宋体"/>
        </w:rPr>
        <w:tab/>
      </w:r>
    </w:p>
    <w:p>
      <w:pPr>
        <w:pStyle w:val="39"/>
        <w:spacing w:before="120" w:after="120"/>
        <w:ind w:left="363" w:hanging="363"/>
      </w:pPr>
      <w:r>
        <w:rPr>
          <w:rFonts w:hint="eastAsia"/>
        </w:rPr>
        <w:t>RAN1 Chair</w:t>
      </w:r>
      <w:r>
        <w:t>’</w:t>
      </w:r>
      <w:r>
        <w:rPr>
          <w:rFonts w:hint="eastAsia"/>
        </w:rPr>
        <w:t>s Note, 3GPP TSG RAN WG1 #118bis, Heifei, China, Oct. 14th - Oct. 18th, 2024.</w:t>
      </w:r>
    </w:p>
    <w:p>
      <w:pPr>
        <w:pStyle w:val="39"/>
        <w:spacing w:before="120" w:after="120"/>
        <w:ind w:left="363" w:hanging="363"/>
      </w:pPr>
      <w:r>
        <w:rPr>
          <w:rFonts w:hint="eastAsia"/>
        </w:rPr>
        <w:t>RAN1 Chair</w:t>
      </w:r>
      <w:r>
        <w:t>’</w:t>
      </w:r>
      <w:r>
        <w:rPr>
          <w:rFonts w:hint="eastAsia"/>
        </w:rPr>
        <w:t xml:space="preserve">s Note, 3GPP TSG RAN WG1 #118, </w:t>
      </w:r>
      <w:r>
        <w:fldChar w:fldCharType="begin"/>
      </w:r>
      <w:r>
        <w:instrText xml:space="preserve"> HYPERLINK "https://www.3gpp.org//Specification-Groups/" \t "https://www.3gpp.org/_blank" </w:instrText>
      </w:r>
      <w:r>
        <w:fldChar w:fldCharType="separate"/>
      </w:r>
      <w:r>
        <w:rPr>
          <w:rFonts w:hint="eastAsia"/>
        </w:rPr>
        <w:t>Maastricht</w:t>
      </w:r>
      <w:r>
        <w:rPr>
          <w:rFonts w:hint="eastAsia"/>
        </w:rPr>
        <w:fldChar w:fldCharType="end"/>
      </w:r>
      <w:r>
        <w:rPr>
          <w:rFonts w:hint="eastAsia"/>
        </w:rPr>
        <w:t>, Netherlands, Aug. 19th - Aug. 23th, 2024.</w:t>
      </w:r>
    </w:p>
    <w:p>
      <w:pPr>
        <w:pStyle w:val="39"/>
        <w:spacing w:beforeLines="0" w:after="0" w:afterLines="0" w:line="240" w:lineRule="auto"/>
        <w:ind w:left="363" w:hanging="363"/>
      </w:pPr>
      <w:r>
        <w:t>RAN4 #112bis RRM session meeting report</w:t>
      </w:r>
      <w:r>
        <w:rPr>
          <w:rFonts w:hint="eastAsia"/>
        </w:rPr>
        <w:t>, 3GPP TSG-RAN WG4 Meeting #112bis, Heifei, China, Oct. 14th - Oct. 18th, 2024.</w:t>
      </w:r>
    </w:p>
    <w:p>
      <w:pPr>
        <w:pStyle w:val="39"/>
        <w:spacing w:before="120" w:after="120"/>
        <w:ind w:left="363" w:hanging="363"/>
      </w:pPr>
      <w:r>
        <w:rPr>
          <w:rFonts w:hint="eastAsia"/>
        </w:rPr>
        <w:t xml:space="preserve">R1-2409306, </w:t>
      </w:r>
      <w:r>
        <w:t>“Moderator summary #4 - Enabling TX/RX for XR during RRM measurements”</w:t>
      </w:r>
      <w:r>
        <w:rPr>
          <w:rFonts w:hint="eastAsia"/>
        </w:rPr>
        <w:t>, GPP TSG RAN WG1 #118bis, Heifei, China, Oct. 14th - Oct. 18th, 2024</w:t>
      </w: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roma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odern No. 20">
    <w:panose1 w:val="02070704070505020303"/>
    <w:charset w:val="00"/>
    <w:family w:val="roman"/>
    <w:pitch w:val="default"/>
    <w:sig w:usb0="00000003" w:usb1="00000000" w:usb2="00000000" w:usb3="00000000" w:csb0="2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3811E0C"/>
    <w:multiLevelType w:val="singleLevel"/>
    <w:tmpl w:val="B3811E0C"/>
    <w:lvl w:ilvl="0" w:tentative="0">
      <w:start w:val="1"/>
      <w:numFmt w:val="bullet"/>
      <w:lvlText w:val=""/>
      <w:lvlJc w:val="left"/>
      <w:pPr>
        <w:ind w:left="420" w:hanging="420"/>
      </w:pPr>
      <w:rPr>
        <w:rFonts w:hint="default" w:ascii="Wingdings" w:hAnsi="Wingdings" w:cs="Wingdings"/>
      </w:rPr>
    </w:lvl>
  </w:abstractNum>
  <w:abstractNum w:abstractNumId="2">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A0106E8"/>
    <w:multiLevelType w:val="singleLevel"/>
    <w:tmpl w:val="1A0106E8"/>
    <w:lvl w:ilvl="0" w:tentative="0">
      <w:start w:val="1"/>
      <w:numFmt w:val="bullet"/>
      <w:lvlText w:val="ú"/>
      <w:lvlJc w:val="left"/>
      <w:pPr>
        <w:tabs>
          <w:tab w:val="left" w:pos="420"/>
        </w:tabs>
        <w:ind w:left="840" w:hanging="420"/>
      </w:pPr>
      <w:rPr>
        <w:rFonts w:hint="default" w:ascii="Wingdings" w:hAnsi="Wingdings" w:cs="Wingdings"/>
      </w:rPr>
    </w:lvl>
  </w:abstractNum>
  <w:abstractNum w:abstractNumId="5">
    <w:nsid w:val="20521D4D"/>
    <w:multiLevelType w:val="multilevel"/>
    <w:tmpl w:val="20521D4D"/>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eastAsia="Malgun Gothic" w:cs="Times New Roman"/>
        <w:sz w:val="24"/>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2E11E6E"/>
    <w:multiLevelType w:val="multilevel"/>
    <w:tmpl w:val="32E11E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8">
    <w:nsid w:val="47FC4D35"/>
    <w:multiLevelType w:val="multilevel"/>
    <w:tmpl w:val="47FC4D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513691A"/>
    <w:multiLevelType w:val="multilevel"/>
    <w:tmpl w:val="6513691A"/>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Modern No. 20" w:hAnsi="Modern No. 20"/>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7"/>
  </w:num>
  <w:num w:numId="3">
    <w:abstractNumId w:val="0"/>
  </w:num>
  <w:num w:numId="4">
    <w:abstractNumId w:val="2"/>
  </w:num>
  <w:num w:numId="5">
    <w:abstractNumId w:val="8"/>
  </w:num>
  <w:num w:numId="6">
    <w:abstractNumId w:val="6"/>
  </w:num>
  <w:num w:numId="7">
    <w:abstractNumId w:val="9"/>
  </w:num>
  <w:num w:numId="8">
    <w:abstractNumId w:val="5"/>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2C33"/>
    <w:rsid w:val="000036E8"/>
    <w:rsid w:val="0001358E"/>
    <w:rsid w:val="00044DE7"/>
    <w:rsid w:val="00050423"/>
    <w:rsid w:val="00051F4E"/>
    <w:rsid w:val="000529AC"/>
    <w:rsid w:val="000532F9"/>
    <w:rsid w:val="00062202"/>
    <w:rsid w:val="00072FB0"/>
    <w:rsid w:val="00093DF3"/>
    <w:rsid w:val="000A15BE"/>
    <w:rsid w:val="000A5B81"/>
    <w:rsid w:val="000C1A96"/>
    <w:rsid w:val="000D0462"/>
    <w:rsid w:val="000E2433"/>
    <w:rsid w:val="000E3EA5"/>
    <w:rsid w:val="000F28CA"/>
    <w:rsid w:val="00103906"/>
    <w:rsid w:val="001047BA"/>
    <w:rsid w:val="00142961"/>
    <w:rsid w:val="001470AA"/>
    <w:rsid w:val="00153BF7"/>
    <w:rsid w:val="0016113B"/>
    <w:rsid w:val="001632AB"/>
    <w:rsid w:val="00171C17"/>
    <w:rsid w:val="00171EE4"/>
    <w:rsid w:val="00172A27"/>
    <w:rsid w:val="001754AE"/>
    <w:rsid w:val="001765C4"/>
    <w:rsid w:val="0018732E"/>
    <w:rsid w:val="00191912"/>
    <w:rsid w:val="00195F46"/>
    <w:rsid w:val="001B3634"/>
    <w:rsid w:val="001C1894"/>
    <w:rsid w:val="001C196F"/>
    <w:rsid w:val="001D1287"/>
    <w:rsid w:val="001E125B"/>
    <w:rsid w:val="001E262F"/>
    <w:rsid w:val="001F1A26"/>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0506"/>
    <w:rsid w:val="0035253F"/>
    <w:rsid w:val="00361D52"/>
    <w:rsid w:val="003704FF"/>
    <w:rsid w:val="00370D7F"/>
    <w:rsid w:val="00372A00"/>
    <w:rsid w:val="00373667"/>
    <w:rsid w:val="00376E4B"/>
    <w:rsid w:val="00376EEB"/>
    <w:rsid w:val="003872BB"/>
    <w:rsid w:val="00396F31"/>
    <w:rsid w:val="00397BA3"/>
    <w:rsid w:val="003A1DCE"/>
    <w:rsid w:val="003A4365"/>
    <w:rsid w:val="003A4B4A"/>
    <w:rsid w:val="003A6BBE"/>
    <w:rsid w:val="003A7EAD"/>
    <w:rsid w:val="003B53DF"/>
    <w:rsid w:val="003D44C6"/>
    <w:rsid w:val="003D5857"/>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A142B"/>
    <w:rsid w:val="004A5D1D"/>
    <w:rsid w:val="004A699E"/>
    <w:rsid w:val="004B44A9"/>
    <w:rsid w:val="004C1A54"/>
    <w:rsid w:val="004F5994"/>
    <w:rsid w:val="00500F45"/>
    <w:rsid w:val="00503921"/>
    <w:rsid w:val="00507A00"/>
    <w:rsid w:val="005176E7"/>
    <w:rsid w:val="00523589"/>
    <w:rsid w:val="00523668"/>
    <w:rsid w:val="00523A8E"/>
    <w:rsid w:val="00523AD9"/>
    <w:rsid w:val="00523D5E"/>
    <w:rsid w:val="00527033"/>
    <w:rsid w:val="00531B5B"/>
    <w:rsid w:val="00532500"/>
    <w:rsid w:val="005349A5"/>
    <w:rsid w:val="00541B22"/>
    <w:rsid w:val="00546436"/>
    <w:rsid w:val="00547723"/>
    <w:rsid w:val="00564BCB"/>
    <w:rsid w:val="00571C55"/>
    <w:rsid w:val="00572F6E"/>
    <w:rsid w:val="00574776"/>
    <w:rsid w:val="0058526A"/>
    <w:rsid w:val="0059321F"/>
    <w:rsid w:val="00593818"/>
    <w:rsid w:val="005A05C6"/>
    <w:rsid w:val="005A0FE9"/>
    <w:rsid w:val="005B77A5"/>
    <w:rsid w:val="005C6B42"/>
    <w:rsid w:val="005D4A06"/>
    <w:rsid w:val="005D6A1C"/>
    <w:rsid w:val="005E19B8"/>
    <w:rsid w:val="005E2C89"/>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47598"/>
    <w:rsid w:val="006501AA"/>
    <w:rsid w:val="006520F6"/>
    <w:rsid w:val="006536B8"/>
    <w:rsid w:val="00654F58"/>
    <w:rsid w:val="00676C72"/>
    <w:rsid w:val="00680E71"/>
    <w:rsid w:val="00680FFF"/>
    <w:rsid w:val="00691376"/>
    <w:rsid w:val="006922EF"/>
    <w:rsid w:val="00694EF8"/>
    <w:rsid w:val="00694FB9"/>
    <w:rsid w:val="006C2229"/>
    <w:rsid w:val="006C55B1"/>
    <w:rsid w:val="006C69C1"/>
    <w:rsid w:val="006D11DE"/>
    <w:rsid w:val="006D3D89"/>
    <w:rsid w:val="006D6D9B"/>
    <w:rsid w:val="006E01C3"/>
    <w:rsid w:val="006F4852"/>
    <w:rsid w:val="006F6FFA"/>
    <w:rsid w:val="00700636"/>
    <w:rsid w:val="00701BF9"/>
    <w:rsid w:val="007036F7"/>
    <w:rsid w:val="0070691A"/>
    <w:rsid w:val="0070693A"/>
    <w:rsid w:val="0071249F"/>
    <w:rsid w:val="00717A38"/>
    <w:rsid w:val="00721684"/>
    <w:rsid w:val="0073053B"/>
    <w:rsid w:val="00735DC1"/>
    <w:rsid w:val="007427BB"/>
    <w:rsid w:val="007440A2"/>
    <w:rsid w:val="007440C5"/>
    <w:rsid w:val="00745143"/>
    <w:rsid w:val="00747C56"/>
    <w:rsid w:val="007501AC"/>
    <w:rsid w:val="007555B6"/>
    <w:rsid w:val="00762F1B"/>
    <w:rsid w:val="0076682E"/>
    <w:rsid w:val="00774941"/>
    <w:rsid w:val="0077581A"/>
    <w:rsid w:val="0077761A"/>
    <w:rsid w:val="00784828"/>
    <w:rsid w:val="00785A2A"/>
    <w:rsid w:val="00786A2C"/>
    <w:rsid w:val="00787FA9"/>
    <w:rsid w:val="007A0CD8"/>
    <w:rsid w:val="007A5697"/>
    <w:rsid w:val="007B0FD9"/>
    <w:rsid w:val="007B458B"/>
    <w:rsid w:val="007C1A41"/>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A85"/>
    <w:rsid w:val="00870E40"/>
    <w:rsid w:val="00886E49"/>
    <w:rsid w:val="00886EA7"/>
    <w:rsid w:val="00892B4C"/>
    <w:rsid w:val="00893268"/>
    <w:rsid w:val="0089344F"/>
    <w:rsid w:val="00894520"/>
    <w:rsid w:val="008A72B5"/>
    <w:rsid w:val="008B3130"/>
    <w:rsid w:val="008B547D"/>
    <w:rsid w:val="008B5C48"/>
    <w:rsid w:val="008B7F10"/>
    <w:rsid w:val="008C0445"/>
    <w:rsid w:val="008E6458"/>
    <w:rsid w:val="008F255E"/>
    <w:rsid w:val="008F3DC8"/>
    <w:rsid w:val="00903A35"/>
    <w:rsid w:val="00906E78"/>
    <w:rsid w:val="00922624"/>
    <w:rsid w:val="00923BDA"/>
    <w:rsid w:val="00925E81"/>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35EC"/>
    <w:rsid w:val="009D6400"/>
    <w:rsid w:val="009D7444"/>
    <w:rsid w:val="009D7770"/>
    <w:rsid w:val="009D7C12"/>
    <w:rsid w:val="009E0B10"/>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2311"/>
    <w:rsid w:val="00A656E5"/>
    <w:rsid w:val="00A809DB"/>
    <w:rsid w:val="00A86EB5"/>
    <w:rsid w:val="00A91773"/>
    <w:rsid w:val="00A92854"/>
    <w:rsid w:val="00A92CA8"/>
    <w:rsid w:val="00A94652"/>
    <w:rsid w:val="00AA1889"/>
    <w:rsid w:val="00AA6934"/>
    <w:rsid w:val="00AB0AAF"/>
    <w:rsid w:val="00AB251B"/>
    <w:rsid w:val="00AB5108"/>
    <w:rsid w:val="00AB6D34"/>
    <w:rsid w:val="00AC24BF"/>
    <w:rsid w:val="00AC42EE"/>
    <w:rsid w:val="00AC5F8D"/>
    <w:rsid w:val="00AD56C4"/>
    <w:rsid w:val="00AD7FE5"/>
    <w:rsid w:val="00AE18E8"/>
    <w:rsid w:val="00AE5530"/>
    <w:rsid w:val="00AE6F50"/>
    <w:rsid w:val="00B031EF"/>
    <w:rsid w:val="00B11405"/>
    <w:rsid w:val="00B138E9"/>
    <w:rsid w:val="00B14808"/>
    <w:rsid w:val="00B179E3"/>
    <w:rsid w:val="00B245AA"/>
    <w:rsid w:val="00B34FF8"/>
    <w:rsid w:val="00B4121C"/>
    <w:rsid w:val="00B43645"/>
    <w:rsid w:val="00B46502"/>
    <w:rsid w:val="00B54730"/>
    <w:rsid w:val="00B56091"/>
    <w:rsid w:val="00B60F6C"/>
    <w:rsid w:val="00B663FA"/>
    <w:rsid w:val="00B76824"/>
    <w:rsid w:val="00B81C3C"/>
    <w:rsid w:val="00B87AB7"/>
    <w:rsid w:val="00BA72B7"/>
    <w:rsid w:val="00BA7674"/>
    <w:rsid w:val="00BB08C4"/>
    <w:rsid w:val="00BC5BFB"/>
    <w:rsid w:val="00BD72A5"/>
    <w:rsid w:val="00BE22EC"/>
    <w:rsid w:val="00BE5D22"/>
    <w:rsid w:val="00BF526E"/>
    <w:rsid w:val="00BF743C"/>
    <w:rsid w:val="00C07C74"/>
    <w:rsid w:val="00C12784"/>
    <w:rsid w:val="00C12A79"/>
    <w:rsid w:val="00C16276"/>
    <w:rsid w:val="00C2142E"/>
    <w:rsid w:val="00C22FCF"/>
    <w:rsid w:val="00C2334E"/>
    <w:rsid w:val="00C2713A"/>
    <w:rsid w:val="00C31212"/>
    <w:rsid w:val="00C34FD0"/>
    <w:rsid w:val="00C625E3"/>
    <w:rsid w:val="00C636E5"/>
    <w:rsid w:val="00C67AE3"/>
    <w:rsid w:val="00C76271"/>
    <w:rsid w:val="00C829B3"/>
    <w:rsid w:val="00C855D2"/>
    <w:rsid w:val="00C86B1F"/>
    <w:rsid w:val="00C922BC"/>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86C8F"/>
    <w:rsid w:val="00E92BF0"/>
    <w:rsid w:val="00E94718"/>
    <w:rsid w:val="00E95FFE"/>
    <w:rsid w:val="00EA0820"/>
    <w:rsid w:val="00EA3CF2"/>
    <w:rsid w:val="00EA4A6D"/>
    <w:rsid w:val="00EB70EA"/>
    <w:rsid w:val="00ED0DCA"/>
    <w:rsid w:val="00ED47A7"/>
    <w:rsid w:val="00EE1EE7"/>
    <w:rsid w:val="00F019E9"/>
    <w:rsid w:val="00F05DFC"/>
    <w:rsid w:val="00F072E8"/>
    <w:rsid w:val="00F11A02"/>
    <w:rsid w:val="00F143A1"/>
    <w:rsid w:val="00F1480F"/>
    <w:rsid w:val="00F179F3"/>
    <w:rsid w:val="00F2072B"/>
    <w:rsid w:val="00F34277"/>
    <w:rsid w:val="00F4372E"/>
    <w:rsid w:val="00F453FE"/>
    <w:rsid w:val="00F71825"/>
    <w:rsid w:val="00F80169"/>
    <w:rsid w:val="00F81514"/>
    <w:rsid w:val="00F82200"/>
    <w:rsid w:val="00F86352"/>
    <w:rsid w:val="00F87040"/>
    <w:rsid w:val="00F91979"/>
    <w:rsid w:val="00F95A32"/>
    <w:rsid w:val="00FA1BFE"/>
    <w:rsid w:val="00FA3FD9"/>
    <w:rsid w:val="00FA6AF6"/>
    <w:rsid w:val="00FA7D65"/>
    <w:rsid w:val="00FB593A"/>
    <w:rsid w:val="00FC20D8"/>
    <w:rsid w:val="00FC72FB"/>
    <w:rsid w:val="00FE0900"/>
    <w:rsid w:val="00FF33FA"/>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3F0143"/>
    <w:rsid w:val="02443513"/>
    <w:rsid w:val="024C16A6"/>
    <w:rsid w:val="027B6543"/>
    <w:rsid w:val="027C2452"/>
    <w:rsid w:val="0294765E"/>
    <w:rsid w:val="02A23A7B"/>
    <w:rsid w:val="02BE42E8"/>
    <w:rsid w:val="02E57608"/>
    <w:rsid w:val="02F867BF"/>
    <w:rsid w:val="031A6DDF"/>
    <w:rsid w:val="032219B3"/>
    <w:rsid w:val="0348179E"/>
    <w:rsid w:val="035F7137"/>
    <w:rsid w:val="0368661B"/>
    <w:rsid w:val="03817C6C"/>
    <w:rsid w:val="03F50BF8"/>
    <w:rsid w:val="03F757EE"/>
    <w:rsid w:val="040D5006"/>
    <w:rsid w:val="04176B15"/>
    <w:rsid w:val="04250069"/>
    <w:rsid w:val="04332B60"/>
    <w:rsid w:val="044D191B"/>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160E"/>
    <w:rsid w:val="07573824"/>
    <w:rsid w:val="075A5568"/>
    <w:rsid w:val="077046F9"/>
    <w:rsid w:val="07816512"/>
    <w:rsid w:val="0797540B"/>
    <w:rsid w:val="079A051E"/>
    <w:rsid w:val="07C51163"/>
    <w:rsid w:val="07F63B68"/>
    <w:rsid w:val="07FE43B3"/>
    <w:rsid w:val="07FF469C"/>
    <w:rsid w:val="08015806"/>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9F6199A"/>
    <w:rsid w:val="0A0D0A5C"/>
    <w:rsid w:val="0A1332A7"/>
    <w:rsid w:val="0A1434BD"/>
    <w:rsid w:val="0A177598"/>
    <w:rsid w:val="0A2A0A4E"/>
    <w:rsid w:val="0A33259C"/>
    <w:rsid w:val="0A670FF2"/>
    <w:rsid w:val="0A902401"/>
    <w:rsid w:val="0AA04A08"/>
    <w:rsid w:val="0AC857E6"/>
    <w:rsid w:val="0AD619F4"/>
    <w:rsid w:val="0AF011AC"/>
    <w:rsid w:val="0AFE6CA0"/>
    <w:rsid w:val="0B133891"/>
    <w:rsid w:val="0B17278B"/>
    <w:rsid w:val="0B2161DE"/>
    <w:rsid w:val="0B24227A"/>
    <w:rsid w:val="0B2C066D"/>
    <w:rsid w:val="0B372F62"/>
    <w:rsid w:val="0B527D96"/>
    <w:rsid w:val="0B6D7183"/>
    <w:rsid w:val="0B7E42D9"/>
    <w:rsid w:val="0B867DD4"/>
    <w:rsid w:val="0B8906D5"/>
    <w:rsid w:val="0B990F05"/>
    <w:rsid w:val="0BA163C4"/>
    <w:rsid w:val="0BBA4C3E"/>
    <w:rsid w:val="0BC527E7"/>
    <w:rsid w:val="0BDE30C9"/>
    <w:rsid w:val="0BE9216B"/>
    <w:rsid w:val="0C04199B"/>
    <w:rsid w:val="0C0569A5"/>
    <w:rsid w:val="0C0B0A79"/>
    <w:rsid w:val="0C182984"/>
    <w:rsid w:val="0C233DDB"/>
    <w:rsid w:val="0C243614"/>
    <w:rsid w:val="0C641CE4"/>
    <w:rsid w:val="0C724D9D"/>
    <w:rsid w:val="0C8E4C85"/>
    <w:rsid w:val="0C9A21C7"/>
    <w:rsid w:val="0CBA3E26"/>
    <w:rsid w:val="0CC86926"/>
    <w:rsid w:val="0CCA2E65"/>
    <w:rsid w:val="0CD87B6A"/>
    <w:rsid w:val="0CE70F5A"/>
    <w:rsid w:val="0CED70FB"/>
    <w:rsid w:val="0CF04B26"/>
    <w:rsid w:val="0D274B82"/>
    <w:rsid w:val="0D6718A8"/>
    <w:rsid w:val="0D8348AF"/>
    <w:rsid w:val="0D8A5C4C"/>
    <w:rsid w:val="0D9D3B84"/>
    <w:rsid w:val="0DA826B2"/>
    <w:rsid w:val="0DC46801"/>
    <w:rsid w:val="0DD03A03"/>
    <w:rsid w:val="0DDA5E66"/>
    <w:rsid w:val="0DDB1E7A"/>
    <w:rsid w:val="0DE80CCD"/>
    <w:rsid w:val="0DE92A73"/>
    <w:rsid w:val="0DFC6FB1"/>
    <w:rsid w:val="0E084742"/>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1D6798"/>
    <w:rsid w:val="1035011A"/>
    <w:rsid w:val="103607AE"/>
    <w:rsid w:val="10384280"/>
    <w:rsid w:val="105D7F23"/>
    <w:rsid w:val="10761A5F"/>
    <w:rsid w:val="108E0879"/>
    <w:rsid w:val="10B011B8"/>
    <w:rsid w:val="10C03F43"/>
    <w:rsid w:val="10C359D9"/>
    <w:rsid w:val="11011524"/>
    <w:rsid w:val="110877A1"/>
    <w:rsid w:val="110D72EA"/>
    <w:rsid w:val="110E7959"/>
    <w:rsid w:val="1119722C"/>
    <w:rsid w:val="1127264D"/>
    <w:rsid w:val="112F7E4A"/>
    <w:rsid w:val="11434434"/>
    <w:rsid w:val="114A05F1"/>
    <w:rsid w:val="115C58D6"/>
    <w:rsid w:val="11604BE2"/>
    <w:rsid w:val="117D26D0"/>
    <w:rsid w:val="118F4329"/>
    <w:rsid w:val="119F6D5C"/>
    <w:rsid w:val="11A0225A"/>
    <w:rsid w:val="11A922D8"/>
    <w:rsid w:val="11D45AE1"/>
    <w:rsid w:val="11E26CBA"/>
    <w:rsid w:val="11EA2125"/>
    <w:rsid w:val="12023099"/>
    <w:rsid w:val="12355F6F"/>
    <w:rsid w:val="12373AAE"/>
    <w:rsid w:val="123D7233"/>
    <w:rsid w:val="124D011C"/>
    <w:rsid w:val="125B107A"/>
    <w:rsid w:val="12753E07"/>
    <w:rsid w:val="127B28B7"/>
    <w:rsid w:val="128C3BD1"/>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E08FB"/>
    <w:rsid w:val="142F47CB"/>
    <w:rsid w:val="142F7B6B"/>
    <w:rsid w:val="1441758D"/>
    <w:rsid w:val="14515CA4"/>
    <w:rsid w:val="145B1FDF"/>
    <w:rsid w:val="145E7A95"/>
    <w:rsid w:val="146575A3"/>
    <w:rsid w:val="148B15E0"/>
    <w:rsid w:val="14D20D9B"/>
    <w:rsid w:val="14F20D79"/>
    <w:rsid w:val="15006FBE"/>
    <w:rsid w:val="151F6B5A"/>
    <w:rsid w:val="15212130"/>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818083E"/>
    <w:rsid w:val="181A2BD1"/>
    <w:rsid w:val="184253B9"/>
    <w:rsid w:val="18434C37"/>
    <w:rsid w:val="186202E0"/>
    <w:rsid w:val="18655B8E"/>
    <w:rsid w:val="186E43F1"/>
    <w:rsid w:val="187705A0"/>
    <w:rsid w:val="18875C71"/>
    <w:rsid w:val="18B80BCE"/>
    <w:rsid w:val="18C06461"/>
    <w:rsid w:val="18C66922"/>
    <w:rsid w:val="18D15598"/>
    <w:rsid w:val="18DC5CEB"/>
    <w:rsid w:val="18E62FBE"/>
    <w:rsid w:val="18EE7258"/>
    <w:rsid w:val="19000F5A"/>
    <w:rsid w:val="190C7DED"/>
    <w:rsid w:val="19117B58"/>
    <w:rsid w:val="19270D53"/>
    <w:rsid w:val="193337BA"/>
    <w:rsid w:val="19402796"/>
    <w:rsid w:val="19407B9F"/>
    <w:rsid w:val="195254FA"/>
    <w:rsid w:val="195919BF"/>
    <w:rsid w:val="19677C6A"/>
    <w:rsid w:val="19733859"/>
    <w:rsid w:val="198A4DC2"/>
    <w:rsid w:val="198F1447"/>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D156F"/>
    <w:rsid w:val="1AA80D9B"/>
    <w:rsid w:val="1AA847EC"/>
    <w:rsid w:val="1AAD0BB3"/>
    <w:rsid w:val="1AC0624B"/>
    <w:rsid w:val="1AC359F5"/>
    <w:rsid w:val="1AD01EB8"/>
    <w:rsid w:val="1AD03E52"/>
    <w:rsid w:val="1AD1685B"/>
    <w:rsid w:val="1AD875EC"/>
    <w:rsid w:val="1AE26A3D"/>
    <w:rsid w:val="1AF475AD"/>
    <w:rsid w:val="1AF92EDF"/>
    <w:rsid w:val="1AFD70F0"/>
    <w:rsid w:val="1B0270FF"/>
    <w:rsid w:val="1B181DD9"/>
    <w:rsid w:val="1B2F477F"/>
    <w:rsid w:val="1B360960"/>
    <w:rsid w:val="1B4604AB"/>
    <w:rsid w:val="1B68276D"/>
    <w:rsid w:val="1B6C3B7D"/>
    <w:rsid w:val="1B7F0ABE"/>
    <w:rsid w:val="1B834589"/>
    <w:rsid w:val="1BA75872"/>
    <w:rsid w:val="1BAB396E"/>
    <w:rsid w:val="1BB07C7C"/>
    <w:rsid w:val="1BBB692B"/>
    <w:rsid w:val="1BBF0E19"/>
    <w:rsid w:val="1BCD692F"/>
    <w:rsid w:val="1BE23EBD"/>
    <w:rsid w:val="1BFB1528"/>
    <w:rsid w:val="1C2D651D"/>
    <w:rsid w:val="1C2E6201"/>
    <w:rsid w:val="1C302928"/>
    <w:rsid w:val="1C52178E"/>
    <w:rsid w:val="1C68632B"/>
    <w:rsid w:val="1C9F1651"/>
    <w:rsid w:val="1CAB7A6B"/>
    <w:rsid w:val="1CC94B43"/>
    <w:rsid w:val="1CEB46F7"/>
    <w:rsid w:val="1D23735C"/>
    <w:rsid w:val="1D54071F"/>
    <w:rsid w:val="1D6451C6"/>
    <w:rsid w:val="1D654C9F"/>
    <w:rsid w:val="1D69417C"/>
    <w:rsid w:val="1D807289"/>
    <w:rsid w:val="1D8E233B"/>
    <w:rsid w:val="1D975DF7"/>
    <w:rsid w:val="1D9B123D"/>
    <w:rsid w:val="1D9E12E8"/>
    <w:rsid w:val="1DC82338"/>
    <w:rsid w:val="1DCB4927"/>
    <w:rsid w:val="1DD6405C"/>
    <w:rsid w:val="1DDD3571"/>
    <w:rsid w:val="1E190463"/>
    <w:rsid w:val="1E24668A"/>
    <w:rsid w:val="1E2A27A6"/>
    <w:rsid w:val="1E4B2FD7"/>
    <w:rsid w:val="1E62300D"/>
    <w:rsid w:val="1E645EBF"/>
    <w:rsid w:val="1E7911C9"/>
    <w:rsid w:val="1E7B335B"/>
    <w:rsid w:val="1E8D194D"/>
    <w:rsid w:val="1EA50F33"/>
    <w:rsid w:val="1ED503FA"/>
    <w:rsid w:val="1EE724BA"/>
    <w:rsid w:val="1EEB1E9A"/>
    <w:rsid w:val="1EF73ABF"/>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2415CD"/>
    <w:rsid w:val="21440678"/>
    <w:rsid w:val="216365D8"/>
    <w:rsid w:val="2165140C"/>
    <w:rsid w:val="21691F88"/>
    <w:rsid w:val="2187182E"/>
    <w:rsid w:val="218A070F"/>
    <w:rsid w:val="21957939"/>
    <w:rsid w:val="21C1624C"/>
    <w:rsid w:val="21E26EA0"/>
    <w:rsid w:val="21F34D45"/>
    <w:rsid w:val="21F61BF5"/>
    <w:rsid w:val="21F950CF"/>
    <w:rsid w:val="22045432"/>
    <w:rsid w:val="222A3C9E"/>
    <w:rsid w:val="22396FF8"/>
    <w:rsid w:val="22431035"/>
    <w:rsid w:val="225C0846"/>
    <w:rsid w:val="22B0252A"/>
    <w:rsid w:val="22D75BB2"/>
    <w:rsid w:val="22E819D8"/>
    <w:rsid w:val="22F57E73"/>
    <w:rsid w:val="230A1D64"/>
    <w:rsid w:val="231523F7"/>
    <w:rsid w:val="233D46B2"/>
    <w:rsid w:val="234B605E"/>
    <w:rsid w:val="234C0DFE"/>
    <w:rsid w:val="235133E3"/>
    <w:rsid w:val="23560A29"/>
    <w:rsid w:val="235F59AB"/>
    <w:rsid w:val="238A4219"/>
    <w:rsid w:val="239051E5"/>
    <w:rsid w:val="23924A0F"/>
    <w:rsid w:val="23987B60"/>
    <w:rsid w:val="239D13E8"/>
    <w:rsid w:val="239F6D5D"/>
    <w:rsid w:val="239F7F68"/>
    <w:rsid w:val="23EC713A"/>
    <w:rsid w:val="23ED0F94"/>
    <w:rsid w:val="23EF7A9A"/>
    <w:rsid w:val="23FC3011"/>
    <w:rsid w:val="240D18BD"/>
    <w:rsid w:val="24176290"/>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C069EC"/>
    <w:rsid w:val="25D1716B"/>
    <w:rsid w:val="25DF6A97"/>
    <w:rsid w:val="25E6024A"/>
    <w:rsid w:val="25EA0F86"/>
    <w:rsid w:val="261A29D3"/>
    <w:rsid w:val="26212585"/>
    <w:rsid w:val="26282ED7"/>
    <w:rsid w:val="265B6DE8"/>
    <w:rsid w:val="265F04C1"/>
    <w:rsid w:val="267440C5"/>
    <w:rsid w:val="268C256C"/>
    <w:rsid w:val="269F48BD"/>
    <w:rsid w:val="26A7223A"/>
    <w:rsid w:val="26F23979"/>
    <w:rsid w:val="272A1178"/>
    <w:rsid w:val="272D26C8"/>
    <w:rsid w:val="274604BA"/>
    <w:rsid w:val="27530B85"/>
    <w:rsid w:val="27537ACC"/>
    <w:rsid w:val="27572E13"/>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62D19"/>
    <w:rsid w:val="29AD3BB2"/>
    <w:rsid w:val="29B4309C"/>
    <w:rsid w:val="29C153D9"/>
    <w:rsid w:val="29C30BAC"/>
    <w:rsid w:val="29CD7458"/>
    <w:rsid w:val="29D9048F"/>
    <w:rsid w:val="29EF70CC"/>
    <w:rsid w:val="2A0A0002"/>
    <w:rsid w:val="2A1C62F4"/>
    <w:rsid w:val="2A5F0A9A"/>
    <w:rsid w:val="2A802A87"/>
    <w:rsid w:val="2A931BB9"/>
    <w:rsid w:val="2A9D346A"/>
    <w:rsid w:val="2AB51A38"/>
    <w:rsid w:val="2AB903D8"/>
    <w:rsid w:val="2ACD6CCC"/>
    <w:rsid w:val="2ADF720A"/>
    <w:rsid w:val="2AEE4512"/>
    <w:rsid w:val="2AFC30F1"/>
    <w:rsid w:val="2B341240"/>
    <w:rsid w:val="2B34584A"/>
    <w:rsid w:val="2B64015F"/>
    <w:rsid w:val="2B644948"/>
    <w:rsid w:val="2B7C6921"/>
    <w:rsid w:val="2B9C4F86"/>
    <w:rsid w:val="2B9D034D"/>
    <w:rsid w:val="2BD1675A"/>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4000C8"/>
    <w:rsid w:val="2D7B766B"/>
    <w:rsid w:val="2D9379FB"/>
    <w:rsid w:val="2D9E7CAE"/>
    <w:rsid w:val="2DBA7FBA"/>
    <w:rsid w:val="2DBE1024"/>
    <w:rsid w:val="2DC6390A"/>
    <w:rsid w:val="2DDD67C1"/>
    <w:rsid w:val="2DE16ECB"/>
    <w:rsid w:val="2DE2223D"/>
    <w:rsid w:val="2DE40DD4"/>
    <w:rsid w:val="2E0A12BB"/>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2763E1"/>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21475"/>
    <w:rsid w:val="30EF21BA"/>
    <w:rsid w:val="30EF472A"/>
    <w:rsid w:val="30F84959"/>
    <w:rsid w:val="30FA5F5C"/>
    <w:rsid w:val="30FB65D1"/>
    <w:rsid w:val="30FC5A3F"/>
    <w:rsid w:val="31052214"/>
    <w:rsid w:val="3136571E"/>
    <w:rsid w:val="314A52DD"/>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7E049A"/>
    <w:rsid w:val="32AD5AEA"/>
    <w:rsid w:val="32BA458C"/>
    <w:rsid w:val="32C3640C"/>
    <w:rsid w:val="32C47E69"/>
    <w:rsid w:val="32DF4B9C"/>
    <w:rsid w:val="32EE5E66"/>
    <w:rsid w:val="32F707FF"/>
    <w:rsid w:val="32FE7982"/>
    <w:rsid w:val="330551E2"/>
    <w:rsid w:val="330D52B8"/>
    <w:rsid w:val="331E1C54"/>
    <w:rsid w:val="334753AB"/>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16735B"/>
    <w:rsid w:val="35286BF7"/>
    <w:rsid w:val="35522321"/>
    <w:rsid w:val="355D53D4"/>
    <w:rsid w:val="35753453"/>
    <w:rsid w:val="3599429E"/>
    <w:rsid w:val="35A73257"/>
    <w:rsid w:val="35B12F84"/>
    <w:rsid w:val="35B57875"/>
    <w:rsid w:val="35DC1D0C"/>
    <w:rsid w:val="36033A12"/>
    <w:rsid w:val="362F0086"/>
    <w:rsid w:val="363D403E"/>
    <w:rsid w:val="366D3CBC"/>
    <w:rsid w:val="36750E50"/>
    <w:rsid w:val="36776EAA"/>
    <w:rsid w:val="367C01BA"/>
    <w:rsid w:val="36831B9C"/>
    <w:rsid w:val="36B77EB7"/>
    <w:rsid w:val="36DE7BD3"/>
    <w:rsid w:val="37510F39"/>
    <w:rsid w:val="37592FE4"/>
    <w:rsid w:val="375E20CF"/>
    <w:rsid w:val="377336AC"/>
    <w:rsid w:val="377F502A"/>
    <w:rsid w:val="37804449"/>
    <w:rsid w:val="37817D02"/>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995310"/>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DF0FA6"/>
    <w:rsid w:val="39E23259"/>
    <w:rsid w:val="39EA289E"/>
    <w:rsid w:val="39EE0057"/>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AF357E"/>
    <w:rsid w:val="3CB05E10"/>
    <w:rsid w:val="3CBF3D07"/>
    <w:rsid w:val="3CE90D4D"/>
    <w:rsid w:val="3CEC5BD9"/>
    <w:rsid w:val="3D005BF0"/>
    <w:rsid w:val="3D0A2A8A"/>
    <w:rsid w:val="3D0D553D"/>
    <w:rsid w:val="3D12272E"/>
    <w:rsid w:val="3D321FA1"/>
    <w:rsid w:val="3D5C306C"/>
    <w:rsid w:val="3D6A3EE4"/>
    <w:rsid w:val="3D6E15B5"/>
    <w:rsid w:val="3D8762BD"/>
    <w:rsid w:val="3D941FD0"/>
    <w:rsid w:val="3DA75BB4"/>
    <w:rsid w:val="3DB73788"/>
    <w:rsid w:val="3DBE7888"/>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0F11FD"/>
    <w:rsid w:val="3F227ECC"/>
    <w:rsid w:val="3F2A1510"/>
    <w:rsid w:val="3F323523"/>
    <w:rsid w:val="3F5243FF"/>
    <w:rsid w:val="3F59407A"/>
    <w:rsid w:val="3F66080D"/>
    <w:rsid w:val="3F963935"/>
    <w:rsid w:val="3FBD7ADB"/>
    <w:rsid w:val="3FE66D38"/>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00539E"/>
    <w:rsid w:val="411E2BE4"/>
    <w:rsid w:val="413A144A"/>
    <w:rsid w:val="41694287"/>
    <w:rsid w:val="416948A9"/>
    <w:rsid w:val="416B194D"/>
    <w:rsid w:val="41724916"/>
    <w:rsid w:val="41851622"/>
    <w:rsid w:val="41BE3E52"/>
    <w:rsid w:val="41C36A02"/>
    <w:rsid w:val="41D8445C"/>
    <w:rsid w:val="41E40788"/>
    <w:rsid w:val="41F20931"/>
    <w:rsid w:val="41F85D27"/>
    <w:rsid w:val="420E2A1A"/>
    <w:rsid w:val="4237497C"/>
    <w:rsid w:val="424D68DB"/>
    <w:rsid w:val="42565FD0"/>
    <w:rsid w:val="42596CCD"/>
    <w:rsid w:val="425E5FDE"/>
    <w:rsid w:val="427F350F"/>
    <w:rsid w:val="42914340"/>
    <w:rsid w:val="42AF1A12"/>
    <w:rsid w:val="42B008AC"/>
    <w:rsid w:val="43127FA0"/>
    <w:rsid w:val="431D66E9"/>
    <w:rsid w:val="433C4CD6"/>
    <w:rsid w:val="4357457D"/>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9C290E"/>
    <w:rsid w:val="45A52B1C"/>
    <w:rsid w:val="45AC4CF4"/>
    <w:rsid w:val="45AD524F"/>
    <w:rsid w:val="45AE36B8"/>
    <w:rsid w:val="45CF7FBC"/>
    <w:rsid w:val="45F35C5E"/>
    <w:rsid w:val="462A74AF"/>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A05CEC"/>
    <w:rsid w:val="47B54AA8"/>
    <w:rsid w:val="47BD13B2"/>
    <w:rsid w:val="47BF5406"/>
    <w:rsid w:val="47C073E7"/>
    <w:rsid w:val="47C621A4"/>
    <w:rsid w:val="47DE197A"/>
    <w:rsid w:val="47E3143C"/>
    <w:rsid w:val="47F04F1C"/>
    <w:rsid w:val="47F261EE"/>
    <w:rsid w:val="4801327C"/>
    <w:rsid w:val="48391BF8"/>
    <w:rsid w:val="484B3CA6"/>
    <w:rsid w:val="48713429"/>
    <w:rsid w:val="487B3B0A"/>
    <w:rsid w:val="487F761D"/>
    <w:rsid w:val="48850709"/>
    <w:rsid w:val="4891605D"/>
    <w:rsid w:val="48CC0A6E"/>
    <w:rsid w:val="48D173C6"/>
    <w:rsid w:val="48E02F78"/>
    <w:rsid w:val="48E76F84"/>
    <w:rsid w:val="48F00546"/>
    <w:rsid w:val="48FB0E4C"/>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30E7B"/>
    <w:rsid w:val="4AED5C11"/>
    <w:rsid w:val="4AFF253A"/>
    <w:rsid w:val="4B096721"/>
    <w:rsid w:val="4B151DD8"/>
    <w:rsid w:val="4B1E03CD"/>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0A001B"/>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8F486D"/>
    <w:rsid w:val="4F951D60"/>
    <w:rsid w:val="4F9B52CA"/>
    <w:rsid w:val="4FAB27E4"/>
    <w:rsid w:val="4FAD4336"/>
    <w:rsid w:val="4FEA66FB"/>
    <w:rsid w:val="50000326"/>
    <w:rsid w:val="5012456C"/>
    <w:rsid w:val="501B0160"/>
    <w:rsid w:val="5028413A"/>
    <w:rsid w:val="502E0E02"/>
    <w:rsid w:val="5034185C"/>
    <w:rsid w:val="50412BC6"/>
    <w:rsid w:val="50662285"/>
    <w:rsid w:val="50935D58"/>
    <w:rsid w:val="509473B7"/>
    <w:rsid w:val="50955464"/>
    <w:rsid w:val="50BA1003"/>
    <w:rsid w:val="50C85002"/>
    <w:rsid w:val="50D3250E"/>
    <w:rsid w:val="50D33AD4"/>
    <w:rsid w:val="50D565E3"/>
    <w:rsid w:val="51251091"/>
    <w:rsid w:val="512B4D4B"/>
    <w:rsid w:val="51351C9B"/>
    <w:rsid w:val="513D3709"/>
    <w:rsid w:val="515323AC"/>
    <w:rsid w:val="515911D2"/>
    <w:rsid w:val="5159308A"/>
    <w:rsid w:val="51607B17"/>
    <w:rsid w:val="51636223"/>
    <w:rsid w:val="51665649"/>
    <w:rsid w:val="517462FF"/>
    <w:rsid w:val="518F2123"/>
    <w:rsid w:val="51996C1B"/>
    <w:rsid w:val="51A56DF6"/>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74AF5"/>
    <w:rsid w:val="53385FAE"/>
    <w:rsid w:val="534E489F"/>
    <w:rsid w:val="536E730E"/>
    <w:rsid w:val="537C2BD7"/>
    <w:rsid w:val="53971E29"/>
    <w:rsid w:val="539D713D"/>
    <w:rsid w:val="53A35F99"/>
    <w:rsid w:val="53E10EB0"/>
    <w:rsid w:val="53E6334F"/>
    <w:rsid w:val="53FB17FA"/>
    <w:rsid w:val="54167AE8"/>
    <w:rsid w:val="541862F0"/>
    <w:rsid w:val="542D068B"/>
    <w:rsid w:val="546A6559"/>
    <w:rsid w:val="546F0B91"/>
    <w:rsid w:val="54B70A61"/>
    <w:rsid w:val="54B779B5"/>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A45CC4"/>
    <w:rsid w:val="55B13035"/>
    <w:rsid w:val="55BD15CA"/>
    <w:rsid w:val="55C10548"/>
    <w:rsid w:val="55C244BC"/>
    <w:rsid w:val="55C708F6"/>
    <w:rsid w:val="55D77025"/>
    <w:rsid w:val="55E14A9E"/>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F2A5F"/>
    <w:rsid w:val="56BB5794"/>
    <w:rsid w:val="56C16A07"/>
    <w:rsid w:val="56C56026"/>
    <w:rsid w:val="56C721C1"/>
    <w:rsid w:val="56C75E65"/>
    <w:rsid w:val="56ED49AC"/>
    <w:rsid w:val="56F42152"/>
    <w:rsid w:val="57037964"/>
    <w:rsid w:val="570D1D86"/>
    <w:rsid w:val="570E1422"/>
    <w:rsid w:val="573F549A"/>
    <w:rsid w:val="57553D3F"/>
    <w:rsid w:val="57703672"/>
    <w:rsid w:val="5773534B"/>
    <w:rsid w:val="57780B7F"/>
    <w:rsid w:val="578541CE"/>
    <w:rsid w:val="57856672"/>
    <w:rsid w:val="578C265D"/>
    <w:rsid w:val="579D25BA"/>
    <w:rsid w:val="57B9331D"/>
    <w:rsid w:val="57B975D7"/>
    <w:rsid w:val="57BB6757"/>
    <w:rsid w:val="57C82DD9"/>
    <w:rsid w:val="57CC044D"/>
    <w:rsid w:val="57E73B91"/>
    <w:rsid w:val="57F3287F"/>
    <w:rsid w:val="57F45188"/>
    <w:rsid w:val="57F81A83"/>
    <w:rsid w:val="57FA113C"/>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9F3897"/>
    <w:rsid w:val="58A045EF"/>
    <w:rsid w:val="58AE0C9D"/>
    <w:rsid w:val="58BD3A38"/>
    <w:rsid w:val="58DC744B"/>
    <w:rsid w:val="58F609E4"/>
    <w:rsid w:val="58FB67BC"/>
    <w:rsid w:val="5930657D"/>
    <w:rsid w:val="59327DEB"/>
    <w:rsid w:val="59392E42"/>
    <w:rsid w:val="593B5B55"/>
    <w:rsid w:val="593D19BE"/>
    <w:rsid w:val="597D137C"/>
    <w:rsid w:val="599D01FE"/>
    <w:rsid w:val="59AF4353"/>
    <w:rsid w:val="59B50362"/>
    <w:rsid w:val="59CB134C"/>
    <w:rsid w:val="59D13042"/>
    <w:rsid w:val="59EA652F"/>
    <w:rsid w:val="59ED4AA2"/>
    <w:rsid w:val="5A3F6176"/>
    <w:rsid w:val="5A5419CE"/>
    <w:rsid w:val="5A587AE0"/>
    <w:rsid w:val="5A5A38F1"/>
    <w:rsid w:val="5A617BFA"/>
    <w:rsid w:val="5A7629B7"/>
    <w:rsid w:val="5A83298E"/>
    <w:rsid w:val="5A84337E"/>
    <w:rsid w:val="5A891BB6"/>
    <w:rsid w:val="5A8D03AD"/>
    <w:rsid w:val="5AA34E07"/>
    <w:rsid w:val="5AD937F3"/>
    <w:rsid w:val="5ADB5FCA"/>
    <w:rsid w:val="5ADD77B5"/>
    <w:rsid w:val="5AE30663"/>
    <w:rsid w:val="5AE36AFC"/>
    <w:rsid w:val="5AE47198"/>
    <w:rsid w:val="5AEF3CA7"/>
    <w:rsid w:val="5AFB0199"/>
    <w:rsid w:val="5B0001EA"/>
    <w:rsid w:val="5B2D4307"/>
    <w:rsid w:val="5B5041D6"/>
    <w:rsid w:val="5B554FD4"/>
    <w:rsid w:val="5B6B25D0"/>
    <w:rsid w:val="5B6B4549"/>
    <w:rsid w:val="5B9F5E0C"/>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9D7700"/>
    <w:rsid w:val="5CAA3CDC"/>
    <w:rsid w:val="5CC14996"/>
    <w:rsid w:val="5CDB13F1"/>
    <w:rsid w:val="5CE42BFC"/>
    <w:rsid w:val="5D08718A"/>
    <w:rsid w:val="5D33075C"/>
    <w:rsid w:val="5D38401E"/>
    <w:rsid w:val="5D42131E"/>
    <w:rsid w:val="5D4B0C7E"/>
    <w:rsid w:val="5D6545FE"/>
    <w:rsid w:val="5D65772A"/>
    <w:rsid w:val="5D787E7B"/>
    <w:rsid w:val="5DA30012"/>
    <w:rsid w:val="5DC93120"/>
    <w:rsid w:val="5DDA6F3B"/>
    <w:rsid w:val="5DDB5F91"/>
    <w:rsid w:val="5E20592A"/>
    <w:rsid w:val="5E282729"/>
    <w:rsid w:val="5E2C3252"/>
    <w:rsid w:val="5E39000D"/>
    <w:rsid w:val="5E5007AD"/>
    <w:rsid w:val="5E5126D4"/>
    <w:rsid w:val="5E575A00"/>
    <w:rsid w:val="5E5B33A6"/>
    <w:rsid w:val="5EDF1257"/>
    <w:rsid w:val="5EEC29C3"/>
    <w:rsid w:val="5EF527AD"/>
    <w:rsid w:val="5F0241A8"/>
    <w:rsid w:val="5F031737"/>
    <w:rsid w:val="5F1A1471"/>
    <w:rsid w:val="5F1B570F"/>
    <w:rsid w:val="5F243B04"/>
    <w:rsid w:val="5F4013BA"/>
    <w:rsid w:val="5F515252"/>
    <w:rsid w:val="5F882D2B"/>
    <w:rsid w:val="5FA006F6"/>
    <w:rsid w:val="5FB80825"/>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45EFD"/>
    <w:rsid w:val="60D87E5D"/>
    <w:rsid w:val="60F668B8"/>
    <w:rsid w:val="60FC46B7"/>
    <w:rsid w:val="61002168"/>
    <w:rsid w:val="61172DD5"/>
    <w:rsid w:val="6138206E"/>
    <w:rsid w:val="61393A60"/>
    <w:rsid w:val="616270EF"/>
    <w:rsid w:val="61706EDF"/>
    <w:rsid w:val="61770AB3"/>
    <w:rsid w:val="619B1498"/>
    <w:rsid w:val="619B3BCB"/>
    <w:rsid w:val="61C5760F"/>
    <w:rsid w:val="61CB09F2"/>
    <w:rsid w:val="61F34165"/>
    <w:rsid w:val="62053AEE"/>
    <w:rsid w:val="62206297"/>
    <w:rsid w:val="62236A30"/>
    <w:rsid w:val="62426D4A"/>
    <w:rsid w:val="62842199"/>
    <w:rsid w:val="62904A5E"/>
    <w:rsid w:val="62B6346C"/>
    <w:rsid w:val="62C4291E"/>
    <w:rsid w:val="62C65CEC"/>
    <w:rsid w:val="62CD0306"/>
    <w:rsid w:val="62F27D6D"/>
    <w:rsid w:val="63005319"/>
    <w:rsid w:val="631814C9"/>
    <w:rsid w:val="632F7DE7"/>
    <w:rsid w:val="6347606A"/>
    <w:rsid w:val="635B012E"/>
    <w:rsid w:val="635E620F"/>
    <w:rsid w:val="6368049F"/>
    <w:rsid w:val="636A3EC3"/>
    <w:rsid w:val="636A6F4B"/>
    <w:rsid w:val="63793000"/>
    <w:rsid w:val="63A94A31"/>
    <w:rsid w:val="63AC1EAC"/>
    <w:rsid w:val="63C90B49"/>
    <w:rsid w:val="63C910E5"/>
    <w:rsid w:val="63CC75B9"/>
    <w:rsid w:val="63E30C41"/>
    <w:rsid w:val="63FB2EEE"/>
    <w:rsid w:val="63FE1629"/>
    <w:rsid w:val="640673D9"/>
    <w:rsid w:val="641E6EE2"/>
    <w:rsid w:val="64275148"/>
    <w:rsid w:val="64326B19"/>
    <w:rsid w:val="645214CF"/>
    <w:rsid w:val="64655883"/>
    <w:rsid w:val="6487530B"/>
    <w:rsid w:val="64BA39D7"/>
    <w:rsid w:val="64CF3CAA"/>
    <w:rsid w:val="64D96235"/>
    <w:rsid w:val="64DA01CC"/>
    <w:rsid w:val="650F5FAC"/>
    <w:rsid w:val="652D2807"/>
    <w:rsid w:val="6534392E"/>
    <w:rsid w:val="654F6FF9"/>
    <w:rsid w:val="656033A2"/>
    <w:rsid w:val="656B0071"/>
    <w:rsid w:val="65815AA0"/>
    <w:rsid w:val="658855D4"/>
    <w:rsid w:val="658867B3"/>
    <w:rsid w:val="659B42A0"/>
    <w:rsid w:val="65A8095A"/>
    <w:rsid w:val="65F1238A"/>
    <w:rsid w:val="65F35604"/>
    <w:rsid w:val="65FF3198"/>
    <w:rsid w:val="661644AB"/>
    <w:rsid w:val="663B062F"/>
    <w:rsid w:val="663E4EF3"/>
    <w:rsid w:val="66471F83"/>
    <w:rsid w:val="665A01D2"/>
    <w:rsid w:val="6688533A"/>
    <w:rsid w:val="66BB442F"/>
    <w:rsid w:val="66D02521"/>
    <w:rsid w:val="67004A1C"/>
    <w:rsid w:val="67097AAB"/>
    <w:rsid w:val="670C3488"/>
    <w:rsid w:val="672E09CF"/>
    <w:rsid w:val="67365DB5"/>
    <w:rsid w:val="673E5BCE"/>
    <w:rsid w:val="677507BF"/>
    <w:rsid w:val="6792126C"/>
    <w:rsid w:val="67A97CFB"/>
    <w:rsid w:val="67CF5A1D"/>
    <w:rsid w:val="67DA135C"/>
    <w:rsid w:val="67EB7F24"/>
    <w:rsid w:val="67EC006A"/>
    <w:rsid w:val="680328B7"/>
    <w:rsid w:val="680408C4"/>
    <w:rsid w:val="680D5EE5"/>
    <w:rsid w:val="68107593"/>
    <w:rsid w:val="684D1BE5"/>
    <w:rsid w:val="68651677"/>
    <w:rsid w:val="686F261C"/>
    <w:rsid w:val="687E3602"/>
    <w:rsid w:val="688F77C3"/>
    <w:rsid w:val="68A9751A"/>
    <w:rsid w:val="68AC366C"/>
    <w:rsid w:val="68B329E9"/>
    <w:rsid w:val="69030906"/>
    <w:rsid w:val="692C4F44"/>
    <w:rsid w:val="69326C25"/>
    <w:rsid w:val="693B403A"/>
    <w:rsid w:val="697D4944"/>
    <w:rsid w:val="697E2DEE"/>
    <w:rsid w:val="699B3DF9"/>
    <w:rsid w:val="69E1523E"/>
    <w:rsid w:val="6A1D2790"/>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93C22"/>
    <w:rsid w:val="6B7A6C48"/>
    <w:rsid w:val="6B8223B8"/>
    <w:rsid w:val="6BA303EE"/>
    <w:rsid w:val="6BC66E0E"/>
    <w:rsid w:val="6BCA3451"/>
    <w:rsid w:val="6BD57A1A"/>
    <w:rsid w:val="6BE52340"/>
    <w:rsid w:val="6BEA317F"/>
    <w:rsid w:val="6BEC555E"/>
    <w:rsid w:val="6C077B7C"/>
    <w:rsid w:val="6C3D68C7"/>
    <w:rsid w:val="6C865FBC"/>
    <w:rsid w:val="6C89469E"/>
    <w:rsid w:val="6C93673A"/>
    <w:rsid w:val="6C9559EA"/>
    <w:rsid w:val="6C991B9A"/>
    <w:rsid w:val="6CBB305B"/>
    <w:rsid w:val="6CC206BF"/>
    <w:rsid w:val="6CC30C66"/>
    <w:rsid w:val="6CDD0CB1"/>
    <w:rsid w:val="6CE419F3"/>
    <w:rsid w:val="6CE93DEC"/>
    <w:rsid w:val="6D225A73"/>
    <w:rsid w:val="6D4B705D"/>
    <w:rsid w:val="6D711A3E"/>
    <w:rsid w:val="6D736593"/>
    <w:rsid w:val="6D8D0D90"/>
    <w:rsid w:val="6D96046C"/>
    <w:rsid w:val="6DC91D5B"/>
    <w:rsid w:val="6DD50561"/>
    <w:rsid w:val="6DD95830"/>
    <w:rsid w:val="6DF021A3"/>
    <w:rsid w:val="6E124286"/>
    <w:rsid w:val="6E134309"/>
    <w:rsid w:val="6E1A1F69"/>
    <w:rsid w:val="6E2B2A93"/>
    <w:rsid w:val="6E3B5323"/>
    <w:rsid w:val="6E4F38F8"/>
    <w:rsid w:val="6E657BB2"/>
    <w:rsid w:val="6E6E43B8"/>
    <w:rsid w:val="6E793023"/>
    <w:rsid w:val="6E7F7AFB"/>
    <w:rsid w:val="6EB770BA"/>
    <w:rsid w:val="6EB96505"/>
    <w:rsid w:val="6ED43ACF"/>
    <w:rsid w:val="6EDF1CCE"/>
    <w:rsid w:val="6EE75420"/>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B774D1"/>
    <w:rsid w:val="70F2796B"/>
    <w:rsid w:val="710F1765"/>
    <w:rsid w:val="71102404"/>
    <w:rsid w:val="711A1C30"/>
    <w:rsid w:val="711D088F"/>
    <w:rsid w:val="711E6ABB"/>
    <w:rsid w:val="71377746"/>
    <w:rsid w:val="71400456"/>
    <w:rsid w:val="714C2EBE"/>
    <w:rsid w:val="71611C06"/>
    <w:rsid w:val="71636191"/>
    <w:rsid w:val="71686453"/>
    <w:rsid w:val="716F74C0"/>
    <w:rsid w:val="71A976A3"/>
    <w:rsid w:val="71B83D73"/>
    <w:rsid w:val="71C94377"/>
    <w:rsid w:val="71D6274F"/>
    <w:rsid w:val="72033A39"/>
    <w:rsid w:val="726E4C9E"/>
    <w:rsid w:val="7289516B"/>
    <w:rsid w:val="728E71A9"/>
    <w:rsid w:val="729310B6"/>
    <w:rsid w:val="729B0CF8"/>
    <w:rsid w:val="72A1101D"/>
    <w:rsid w:val="72C80096"/>
    <w:rsid w:val="72CD0489"/>
    <w:rsid w:val="72DB349B"/>
    <w:rsid w:val="72E10CF1"/>
    <w:rsid w:val="72E16E78"/>
    <w:rsid w:val="72EA15F7"/>
    <w:rsid w:val="73062CBE"/>
    <w:rsid w:val="731912B2"/>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50363"/>
    <w:rsid w:val="757918F4"/>
    <w:rsid w:val="75886342"/>
    <w:rsid w:val="758A779D"/>
    <w:rsid w:val="758E7458"/>
    <w:rsid w:val="75986751"/>
    <w:rsid w:val="75B9274E"/>
    <w:rsid w:val="75F55F14"/>
    <w:rsid w:val="75F83FB4"/>
    <w:rsid w:val="75F9318E"/>
    <w:rsid w:val="75FC2E47"/>
    <w:rsid w:val="760E47B2"/>
    <w:rsid w:val="76631090"/>
    <w:rsid w:val="76703988"/>
    <w:rsid w:val="7672217C"/>
    <w:rsid w:val="76A12DC3"/>
    <w:rsid w:val="76D15B17"/>
    <w:rsid w:val="77186B1E"/>
    <w:rsid w:val="77645C7D"/>
    <w:rsid w:val="777439C1"/>
    <w:rsid w:val="777D584D"/>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1D4569"/>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87563"/>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340896"/>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98562E"/>
    <w:rsid w:val="7DA008E1"/>
    <w:rsid w:val="7DA200E6"/>
    <w:rsid w:val="7DAA286B"/>
    <w:rsid w:val="7DB954F6"/>
    <w:rsid w:val="7DC07247"/>
    <w:rsid w:val="7DC62F24"/>
    <w:rsid w:val="7DCA4DE2"/>
    <w:rsid w:val="7DDA771D"/>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D52BAA"/>
    <w:rsid w:val="7EDA6457"/>
    <w:rsid w:val="7EE83A26"/>
    <w:rsid w:val="7EF96B1E"/>
    <w:rsid w:val="7F353C06"/>
    <w:rsid w:val="7F410352"/>
    <w:rsid w:val="7F440F7A"/>
    <w:rsid w:val="7F510226"/>
    <w:rsid w:val="7F5E5DAF"/>
    <w:rsid w:val="7F633EFB"/>
    <w:rsid w:val="7F634386"/>
    <w:rsid w:val="7FAC2A21"/>
    <w:rsid w:val="7FBF3E86"/>
    <w:rsid w:val="7FCA7309"/>
    <w:rsid w:val="7FDA1B5E"/>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link w:val="73"/>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 w:type="character" w:customStyle="1" w:styleId="73">
    <w:name w:val="3GPP Normal Text Char"/>
    <w:link w:val="61"/>
    <w:qFormat/>
    <w:uiPriority w:val="0"/>
    <w:rPr>
      <w:rFonts w:ascii="Times New Roman" w:hAnsi="Times New Roman" w:eastAsia="MS Mincho"/>
    </w:rPr>
  </w:style>
  <w:style w:type="paragraph" w:customStyle="1" w:styleId="74">
    <w:name w:val="TAN"/>
    <w:basedOn w:val="52"/>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C34AC-B5CE-4B88-B079-4DAA62F4FAC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1778</Words>
  <Characters>10140</Characters>
  <Lines>84</Lines>
  <Paragraphs>23</Paragraphs>
  <TotalTime>0</TotalTime>
  <ScaleCrop>false</ScaleCrop>
  <LinksUpToDate>false</LinksUpToDate>
  <CharactersWithSpaces>11895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2024-11-06T09:10:00Z</dcterms:created>
  <dc:creator>YuzhouHu</dc:creator>
  <cp:lastModifiedBy>Jiajun, Xu (ZTE, Sanechips)</cp:lastModifiedBy>
  <dcterms:modified xsi:type="dcterms:W3CDTF">2024-11-08T08:50:41Z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29DE4DE995F04EF19B5984BD02CD9B80</vt:lpwstr>
  </property>
</Properties>
</file>