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5E0D74A5"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 Meeting #1</w:t>
      </w:r>
      <w:r w:rsidR="001D116F">
        <w:rPr>
          <w:rFonts w:cs="Arial"/>
          <w:b/>
          <w:bCs/>
          <w:lang w:val="en-US" w:eastAsia="en-US"/>
        </w:rPr>
        <w:t>06</w:t>
      </w:r>
      <w:r w:rsidRPr="00127997">
        <w:rPr>
          <w:rFonts w:cs="Arial"/>
          <w:b/>
          <w:bCs/>
          <w:lang w:val="en-US" w:eastAsia="en-US"/>
        </w:rPr>
        <w:tab/>
        <w:t xml:space="preserve">                                          </w:t>
      </w:r>
      <w:r w:rsidR="001D116F" w:rsidRPr="001D116F">
        <w:rPr>
          <w:rFonts w:cs="Arial"/>
          <w:b/>
          <w:bCs/>
          <w:lang w:val="en-US" w:eastAsia="en-US"/>
        </w:rPr>
        <w:t>RP-242787</w:t>
      </w:r>
    </w:p>
    <w:p w14:paraId="27CAEAD4" w14:textId="2A1DA0B0" w:rsidR="00D92427" w:rsidRPr="00127997" w:rsidRDefault="001D116F" w:rsidP="0059582A">
      <w:pPr>
        <w:tabs>
          <w:tab w:val="left" w:pos="1979"/>
        </w:tabs>
        <w:spacing w:after="180" w:line="240" w:lineRule="auto"/>
        <w:jc w:val="left"/>
        <w:rPr>
          <w:rFonts w:cs="Arial"/>
          <w:b/>
          <w:bCs/>
          <w:lang w:val="en-US" w:eastAsia="en-US"/>
        </w:rPr>
      </w:pPr>
      <w:r>
        <w:rPr>
          <w:rFonts w:cs="Arial" w:hint="eastAsia"/>
          <w:b/>
          <w:bCs/>
          <w:lang w:val="en-US"/>
        </w:rPr>
        <w:t>Madrid</w:t>
      </w:r>
      <w:r w:rsidR="00DF6D3D">
        <w:rPr>
          <w:rFonts w:cs="Arial"/>
          <w:b/>
          <w:bCs/>
          <w:lang w:val="en-US" w:eastAsia="en-US"/>
        </w:rPr>
        <w:t xml:space="preserve">, </w:t>
      </w:r>
      <w:r>
        <w:rPr>
          <w:rFonts w:cs="Arial"/>
          <w:b/>
          <w:bCs/>
          <w:lang w:val="en-US" w:eastAsia="en-US"/>
        </w:rPr>
        <w:t>Spain</w:t>
      </w:r>
      <w:r w:rsidR="0059582A" w:rsidRPr="00127997">
        <w:rPr>
          <w:rFonts w:cs="Arial"/>
          <w:b/>
          <w:bCs/>
          <w:lang w:val="en-US" w:eastAsia="en-US"/>
        </w:rPr>
        <w:t xml:space="preserve">, </w:t>
      </w:r>
      <w:r>
        <w:rPr>
          <w:rFonts w:cs="Arial"/>
          <w:b/>
          <w:bCs/>
          <w:lang w:val="en-US" w:eastAsia="en-US"/>
        </w:rPr>
        <w:t>9</w:t>
      </w:r>
      <w:r w:rsidR="0059582A" w:rsidRPr="00127997">
        <w:rPr>
          <w:rFonts w:cs="Arial"/>
          <w:b/>
          <w:bCs/>
          <w:lang w:val="en-US" w:eastAsia="en-US"/>
        </w:rPr>
        <w:t xml:space="preserve"> – </w:t>
      </w:r>
      <w:r>
        <w:rPr>
          <w:rFonts w:cs="Arial"/>
          <w:b/>
          <w:bCs/>
          <w:lang w:val="en-US" w:eastAsia="en-US"/>
        </w:rPr>
        <w:t>1</w:t>
      </w:r>
      <w:r w:rsidR="00DF6D3D">
        <w:rPr>
          <w:rFonts w:cs="Arial"/>
          <w:b/>
          <w:bCs/>
          <w:lang w:val="en-US" w:eastAsia="en-US"/>
        </w:rPr>
        <w:t>2</w:t>
      </w:r>
      <w:r w:rsidR="0059582A" w:rsidRPr="00127997">
        <w:rPr>
          <w:rFonts w:cs="Arial"/>
          <w:b/>
          <w:bCs/>
          <w:lang w:val="en-US" w:eastAsia="en-US"/>
        </w:rPr>
        <w:t xml:space="preserve">, </w:t>
      </w:r>
      <w:r>
        <w:rPr>
          <w:rFonts w:cs="Arial"/>
          <w:b/>
          <w:bCs/>
          <w:lang w:val="en-US" w:eastAsia="en-US"/>
        </w:rPr>
        <w:t>Dec</w:t>
      </w:r>
      <w:r w:rsidR="00EB6D59">
        <w:rPr>
          <w:rFonts w:cs="Arial"/>
          <w:b/>
          <w:bCs/>
          <w:lang w:val="en-US" w:eastAsia="en-US"/>
        </w:rPr>
        <w:t xml:space="preserve">, </w:t>
      </w:r>
      <w:r w:rsidR="0059582A" w:rsidRPr="00127997">
        <w:rPr>
          <w:rFonts w:cs="Arial"/>
          <w:b/>
          <w:bCs/>
          <w:lang w:val="en-US" w:eastAsia="en-US"/>
        </w:rPr>
        <w:t>2024</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6AF5CBB7"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1D116F" w:rsidRPr="001D116F">
        <w:rPr>
          <w:rFonts w:cs="Arial"/>
          <w:b/>
          <w:bCs/>
          <w:lang w:val="en-US"/>
        </w:rPr>
        <w:t>Views on R20 AI/ML for Mobility</w:t>
      </w:r>
    </w:p>
    <w:p w14:paraId="12450CE5" w14:textId="70EA2D12"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1D116F">
        <w:rPr>
          <w:rFonts w:cs="Arial"/>
          <w:b/>
          <w:bCs/>
          <w:lang w:val="en-US"/>
        </w:rPr>
        <w:t>15.2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40477EAD" w14:textId="43294451" w:rsidR="005C20A1" w:rsidRPr="00127997" w:rsidRDefault="000938B4" w:rsidP="00140B1F">
      <w:r>
        <w:rPr>
          <w:bCs/>
          <w:lang w:val="en-US"/>
        </w:rPr>
        <w:t>AI/ML for mobility is studied by RAN2 in R19. In this contribution, we discuss the scope of R20 AI/ML for mobility.</w:t>
      </w:r>
      <w:r w:rsidR="000666FC">
        <w:t xml:space="preserve"> </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545E4C7E" w14:textId="7530D94C" w:rsidR="00441EB7" w:rsidRDefault="00441EB7" w:rsidP="00441EB7">
      <w:r>
        <w:t xml:space="preserve">The R19 SI includes following use cases, </w:t>
      </w:r>
    </w:p>
    <w:tbl>
      <w:tblPr>
        <w:tblStyle w:val="ac"/>
        <w:tblW w:w="0" w:type="auto"/>
        <w:tblLook w:val="04A0" w:firstRow="1" w:lastRow="0" w:firstColumn="1" w:lastColumn="0" w:noHBand="0" w:noVBand="1"/>
      </w:tblPr>
      <w:tblGrid>
        <w:gridCol w:w="9629"/>
      </w:tblGrid>
      <w:tr w:rsidR="00407A43" w14:paraId="4E30148E" w14:textId="77777777" w:rsidTr="00407A43">
        <w:tc>
          <w:tcPr>
            <w:tcW w:w="9629" w:type="dxa"/>
          </w:tcPr>
          <w:p w14:paraId="259174F0" w14:textId="77777777" w:rsidR="00407A43" w:rsidRPr="002E3F26" w:rsidRDefault="00407A43" w:rsidP="00407A43">
            <w:pPr>
              <w:widowControl w:val="0"/>
              <w:numPr>
                <w:ilvl w:val="0"/>
                <w:numId w:val="17"/>
              </w:numPr>
              <w:overflowPunct/>
              <w:autoSpaceDE/>
              <w:autoSpaceDN/>
              <w:adjustRightInd/>
              <w:spacing w:after="0" w:line="240" w:lineRule="auto"/>
              <w:textAlignment w:val="auto"/>
              <w:rPr>
                <w:bCs/>
                <w:szCs w:val="28"/>
                <w:lang w:val="en-US"/>
              </w:rPr>
            </w:pPr>
            <w:r w:rsidRPr="002E3F26">
              <w:rPr>
                <w:rFonts w:eastAsia="Calibri"/>
                <w:bCs/>
                <w:szCs w:val="28"/>
                <w:lang w:val="en-US"/>
              </w:rPr>
              <w:t xml:space="preserve">AI/ML based RRM measurement and event prediction, </w:t>
            </w:r>
          </w:p>
          <w:p w14:paraId="583FDD7F" w14:textId="77777777" w:rsidR="00407A43" w:rsidRPr="002E3F26" w:rsidRDefault="00407A43" w:rsidP="00407A43">
            <w:pPr>
              <w:widowControl w:val="0"/>
              <w:numPr>
                <w:ilvl w:val="1"/>
                <w:numId w:val="17"/>
              </w:numPr>
              <w:overflowPunct/>
              <w:autoSpaceDE/>
              <w:autoSpaceDN/>
              <w:adjustRightInd/>
              <w:spacing w:after="0" w:line="240" w:lineRule="auto"/>
              <w:textAlignment w:val="auto"/>
              <w:rPr>
                <w:rFonts w:eastAsia="等线"/>
                <w:bCs/>
                <w:szCs w:val="28"/>
                <w:lang w:val="en-US"/>
              </w:rPr>
            </w:pPr>
            <w:r w:rsidRPr="002E3F26">
              <w:rPr>
                <w:rFonts w:eastAsia="Calibri"/>
                <w:bCs/>
                <w:szCs w:val="28"/>
                <w:lang w:val="en-US"/>
              </w:rPr>
              <w:t>Cell-level measurement prediction including intra and inter-frequency (UE sided and NW sided model) [RAN2]</w:t>
            </w:r>
          </w:p>
          <w:p w14:paraId="252147D3" w14:textId="77777777" w:rsidR="00407A43" w:rsidRPr="002E3F26" w:rsidRDefault="00407A43" w:rsidP="00407A43">
            <w:pPr>
              <w:widowControl w:val="0"/>
              <w:numPr>
                <w:ilvl w:val="2"/>
                <w:numId w:val="17"/>
              </w:numPr>
              <w:overflowPunct/>
              <w:autoSpaceDE/>
              <w:autoSpaceDN/>
              <w:adjustRightInd/>
              <w:spacing w:after="0" w:line="240" w:lineRule="auto"/>
              <w:textAlignment w:val="auto"/>
              <w:rPr>
                <w:rFonts w:eastAsia="等线"/>
                <w:bCs/>
                <w:szCs w:val="28"/>
                <w:lang w:val="en-US"/>
              </w:rPr>
            </w:pPr>
            <w:r w:rsidRPr="002E3F26">
              <w:rPr>
                <w:rFonts w:eastAsia="Calibri"/>
                <w:bCs/>
                <w:szCs w:val="28"/>
                <w:lang w:val="en-US"/>
              </w:rPr>
              <w:t>Inter-cell Beam-level measurement prediction for L3 Mobility (UE sided and NW sided model) [RAN2]</w:t>
            </w:r>
          </w:p>
          <w:p w14:paraId="08CD38B5" w14:textId="77777777" w:rsidR="00407A43" w:rsidRPr="002E3F26" w:rsidRDefault="00407A43" w:rsidP="00407A43">
            <w:pPr>
              <w:widowControl w:val="0"/>
              <w:numPr>
                <w:ilvl w:val="1"/>
                <w:numId w:val="17"/>
              </w:numPr>
              <w:overflowPunct/>
              <w:autoSpaceDE/>
              <w:autoSpaceDN/>
              <w:adjustRightInd/>
              <w:spacing w:after="0" w:line="240" w:lineRule="auto"/>
              <w:textAlignment w:val="auto"/>
              <w:rPr>
                <w:bCs/>
                <w:szCs w:val="28"/>
                <w:lang w:val="en-US"/>
              </w:rPr>
            </w:pPr>
            <w:r w:rsidRPr="002E3F26">
              <w:rPr>
                <w:rFonts w:eastAsia="Calibri"/>
                <w:bCs/>
                <w:szCs w:val="28"/>
                <w:lang w:val="en-US"/>
              </w:rPr>
              <w:t>HO failure/RLF prediction (UE sided model)</w:t>
            </w:r>
            <w:r w:rsidRPr="004B55BE">
              <w:rPr>
                <w:rFonts w:eastAsia="Calibri"/>
                <w:bCs/>
                <w:szCs w:val="28"/>
                <w:lang w:val="en-US"/>
              </w:rPr>
              <w:t xml:space="preserve"> </w:t>
            </w:r>
            <w:r w:rsidRPr="002E3F26">
              <w:rPr>
                <w:rFonts w:eastAsia="Calibri"/>
                <w:bCs/>
                <w:szCs w:val="28"/>
                <w:lang w:val="en-US"/>
              </w:rPr>
              <w:t>[RAN2]</w:t>
            </w:r>
          </w:p>
          <w:p w14:paraId="32039321" w14:textId="1339008D" w:rsidR="00407A43" w:rsidRPr="00407A43" w:rsidRDefault="00407A43" w:rsidP="00407A43">
            <w:pPr>
              <w:widowControl w:val="0"/>
              <w:numPr>
                <w:ilvl w:val="1"/>
                <w:numId w:val="17"/>
              </w:numPr>
              <w:overflowPunct/>
              <w:autoSpaceDE/>
              <w:autoSpaceDN/>
              <w:adjustRightInd/>
              <w:spacing w:after="0" w:line="240" w:lineRule="auto"/>
              <w:textAlignment w:val="auto"/>
              <w:rPr>
                <w:lang w:val="en-US"/>
              </w:rPr>
            </w:pPr>
            <w:r w:rsidRPr="002E3F26">
              <w:rPr>
                <w:rFonts w:eastAsia="Calibri"/>
                <w:bCs/>
                <w:szCs w:val="28"/>
                <w:lang w:val="en-US"/>
              </w:rPr>
              <w:t>Measurement events prediction (UE sided model)</w:t>
            </w:r>
            <w:r>
              <w:rPr>
                <w:rFonts w:eastAsia="Calibri"/>
                <w:bCs/>
                <w:szCs w:val="28"/>
                <w:lang w:val="en-US"/>
              </w:rPr>
              <w:t xml:space="preserve"> </w:t>
            </w:r>
            <w:r w:rsidRPr="002E3F26">
              <w:rPr>
                <w:rFonts w:eastAsia="Calibri"/>
                <w:bCs/>
                <w:szCs w:val="28"/>
                <w:lang w:val="en-US"/>
              </w:rPr>
              <w:t>[RAN2]</w:t>
            </w:r>
          </w:p>
        </w:tc>
      </w:tr>
    </w:tbl>
    <w:p w14:paraId="2A46231A" w14:textId="77777777" w:rsidR="00407A43" w:rsidRDefault="00407A43" w:rsidP="00434CC7">
      <w:pPr>
        <w:rPr>
          <w:lang w:val="en-US"/>
        </w:rPr>
      </w:pPr>
    </w:p>
    <w:p w14:paraId="28875021" w14:textId="77777777" w:rsidR="00787F31" w:rsidRDefault="00441EB7" w:rsidP="00434CC7">
      <w:r>
        <w:t xml:space="preserve">Regarding RRM prediction, RAN2 has done lots of simulation results on prediction accuracy. The simulation results showed the prediction can be close to the ground truth in some cases. </w:t>
      </w:r>
      <w:r w:rsidR="00407A43">
        <w:t xml:space="preserve">The RSRP difference can be very small. </w:t>
      </w:r>
      <w:r>
        <w:t xml:space="preserve">RAN2 is going to further simulate the generalization and system level performance. We believe the performance gain of RRM prediction can be expected. Therefore, RRM prediction can be included in the R20 WI. Furthermore, the </w:t>
      </w:r>
      <w:r w:rsidR="00787F31">
        <w:t>RRM prediction is categorized into following cases,</w:t>
      </w:r>
    </w:p>
    <w:tbl>
      <w:tblPr>
        <w:tblStyle w:val="ac"/>
        <w:tblW w:w="7225" w:type="dxa"/>
        <w:jc w:val="center"/>
        <w:tblLook w:val="04A0" w:firstRow="1" w:lastRow="0" w:firstColumn="1" w:lastColumn="0" w:noHBand="0" w:noVBand="1"/>
      </w:tblPr>
      <w:tblGrid>
        <w:gridCol w:w="1141"/>
        <w:gridCol w:w="4524"/>
        <w:gridCol w:w="1560"/>
      </w:tblGrid>
      <w:tr w:rsidR="00787F31" w14:paraId="544CC43D" w14:textId="77777777" w:rsidTr="00787F31">
        <w:trPr>
          <w:jc w:val="center"/>
        </w:trPr>
        <w:tc>
          <w:tcPr>
            <w:tcW w:w="1141" w:type="dxa"/>
          </w:tcPr>
          <w:p w14:paraId="0E24DB3B" w14:textId="77777777" w:rsidR="00787F31" w:rsidRDefault="00787F31" w:rsidP="009373D7">
            <w:pPr>
              <w:spacing w:beforeLines="50" w:before="120"/>
              <w:rPr>
                <w:sz w:val="20"/>
              </w:rPr>
            </w:pPr>
            <w:r>
              <w:rPr>
                <w:sz w:val="20"/>
              </w:rPr>
              <w:t>Case number</w:t>
            </w:r>
          </w:p>
        </w:tc>
        <w:tc>
          <w:tcPr>
            <w:tcW w:w="4524" w:type="dxa"/>
          </w:tcPr>
          <w:p w14:paraId="5D42AD1B" w14:textId="77777777" w:rsidR="00787F31" w:rsidRDefault="00787F31" w:rsidP="009373D7">
            <w:pPr>
              <w:spacing w:beforeLines="50" w:before="120"/>
              <w:rPr>
                <w:sz w:val="20"/>
              </w:rPr>
            </w:pPr>
            <w:r>
              <w:rPr>
                <w:sz w:val="20"/>
              </w:rPr>
              <w:t>Evaluation scenario combination</w:t>
            </w:r>
          </w:p>
        </w:tc>
        <w:tc>
          <w:tcPr>
            <w:tcW w:w="1560" w:type="dxa"/>
          </w:tcPr>
          <w:p w14:paraId="61F7BB33" w14:textId="77777777" w:rsidR="00787F31" w:rsidRDefault="00787F31" w:rsidP="009373D7">
            <w:pPr>
              <w:spacing w:beforeLines="50" w:before="120"/>
              <w:rPr>
                <w:sz w:val="20"/>
              </w:rPr>
            </w:pPr>
            <w:r>
              <w:rPr>
                <w:sz w:val="20"/>
              </w:rPr>
              <w:t>target study goal</w:t>
            </w:r>
          </w:p>
        </w:tc>
      </w:tr>
      <w:tr w:rsidR="00787F31" w14:paraId="5D20B307" w14:textId="77777777" w:rsidTr="00787F31">
        <w:trPr>
          <w:jc w:val="center"/>
        </w:trPr>
        <w:tc>
          <w:tcPr>
            <w:tcW w:w="1141" w:type="dxa"/>
          </w:tcPr>
          <w:p w14:paraId="20113B98" w14:textId="77777777" w:rsidR="00787F31" w:rsidRDefault="00787F31" w:rsidP="009373D7">
            <w:pPr>
              <w:spacing w:beforeLines="50" w:before="120"/>
              <w:rPr>
                <w:sz w:val="20"/>
              </w:rPr>
            </w:pPr>
            <w:r>
              <w:rPr>
                <w:rFonts w:hint="eastAsia"/>
                <w:sz w:val="20"/>
              </w:rPr>
              <w:t>1</w:t>
            </w:r>
          </w:p>
        </w:tc>
        <w:tc>
          <w:tcPr>
            <w:tcW w:w="4524" w:type="dxa"/>
          </w:tcPr>
          <w:p w14:paraId="2673C0E1" w14:textId="77777777" w:rsidR="00787F31" w:rsidRDefault="00787F31" w:rsidP="009373D7">
            <w:pPr>
              <w:spacing w:beforeLines="50" w:before="120"/>
              <w:rPr>
                <w:sz w:val="20"/>
              </w:rPr>
            </w:pPr>
            <w:r>
              <w:rPr>
                <w:sz w:val="20"/>
              </w:rPr>
              <w:t xml:space="preserve">FR1 to FR1 intra-frequency temporal domain </w:t>
            </w:r>
            <w:r>
              <w:rPr>
                <w:rFonts w:hint="eastAsia"/>
                <w:sz w:val="20"/>
              </w:rPr>
              <w:t>case</w:t>
            </w:r>
            <w:r>
              <w:rPr>
                <w:sz w:val="20"/>
              </w:rPr>
              <w:t xml:space="preserve"> A</w:t>
            </w:r>
          </w:p>
        </w:tc>
        <w:tc>
          <w:tcPr>
            <w:tcW w:w="1560" w:type="dxa"/>
          </w:tcPr>
          <w:p w14:paraId="41BB4F8E" w14:textId="77777777" w:rsidR="00787F31" w:rsidRDefault="00787F31" w:rsidP="009373D7">
            <w:pPr>
              <w:spacing w:beforeLines="50" w:before="120"/>
              <w:rPr>
                <w:sz w:val="20"/>
              </w:rPr>
            </w:pPr>
            <w:r>
              <w:rPr>
                <w:rFonts w:hint="eastAsia"/>
                <w:sz w:val="20"/>
              </w:rPr>
              <w:t>2</w:t>
            </w:r>
            <w:r>
              <w:rPr>
                <w:sz w:val="20"/>
                <w:vertAlign w:val="superscript"/>
              </w:rPr>
              <w:t>nd</w:t>
            </w:r>
            <w:r>
              <w:rPr>
                <w:sz w:val="20"/>
              </w:rPr>
              <w:t xml:space="preserve">   goal</w:t>
            </w:r>
          </w:p>
        </w:tc>
      </w:tr>
      <w:tr w:rsidR="00787F31" w14:paraId="0855B5F7" w14:textId="77777777" w:rsidTr="00787F31">
        <w:trPr>
          <w:jc w:val="center"/>
        </w:trPr>
        <w:tc>
          <w:tcPr>
            <w:tcW w:w="1141" w:type="dxa"/>
          </w:tcPr>
          <w:p w14:paraId="4A80FE04" w14:textId="77777777" w:rsidR="00787F31" w:rsidRDefault="00787F31" w:rsidP="009373D7">
            <w:pPr>
              <w:spacing w:beforeLines="50" w:before="120"/>
              <w:rPr>
                <w:sz w:val="20"/>
              </w:rPr>
            </w:pPr>
            <w:r>
              <w:rPr>
                <w:rFonts w:hint="eastAsia"/>
                <w:sz w:val="20"/>
              </w:rPr>
              <w:t>2</w:t>
            </w:r>
          </w:p>
        </w:tc>
        <w:tc>
          <w:tcPr>
            <w:tcW w:w="4524" w:type="dxa"/>
          </w:tcPr>
          <w:p w14:paraId="2B7E1C8C" w14:textId="77777777" w:rsidR="00787F31" w:rsidRDefault="00787F31" w:rsidP="009373D7">
            <w:pPr>
              <w:spacing w:beforeLines="50" w:before="120"/>
              <w:rPr>
                <w:sz w:val="20"/>
              </w:rPr>
            </w:pPr>
            <w:r>
              <w:rPr>
                <w:sz w:val="20"/>
              </w:rPr>
              <w:t xml:space="preserve">FR1 to FR1 intra-frequency temporal domain </w:t>
            </w:r>
            <w:r>
              <w:rPr>
                <w:rFonts w:hint="eastAsia"/>
                <w:sz w:val="20"/>
              </w:rPr>
              <w:t>case</w:t>
            </w:r>
            <w:r>
              <w:rPr>
                <w:sz w:val="20"/>
              </w:rPr>
              <w:t xml:space="preserve"> B</w:t>
            </w:r>
          </w:p>
        </w:tc>
        <w:tc>
          <w:tcPr>
            <w:tcW w:w="1560" w:type="dxa"/>
          </w:tcPr>
          <w:p w14:paraId="2019FB88" w14:textId="77777777" w:rsidR="00787F31" w:rsidRDefault="00787F31" w:rsidP="009373D7">
            <w:pPr>
              <w:spacing w:beforeLines="50" w:before="120"/>
              <w:rPr>
                <w:sz w:val="20"/>
              </w:rPr>
            </w:pPr>
            <w:r>
              <w:rPr>
                <w:sz w:val="20"/>
                <w:vertAlign w:val="superscript"/>
              </w:rPr>
              <w:t xml:space="preserve">  </w:t>
            </w:r>
            <w:r>
              <w:rPr>
                <w:sz w:val="20"/>
              </w:rPr>
              <w:t>1</w:t>
            </w:r>
            <w:proofErr w:type="gramStart"/>
            <w:r>
              <w:rPr>
                <w:sz w:val="20"/>
                <w:vertAlign w:val="superscript"/>
              </w:rPr>
              <w:t>st</w:t>
            </w:r>
            <w:r>
              <w:rPr>
                <w:sz w:val="20"/>
              </w:rPr>
              <w:t xml:space="preserve">  goal</w:t>
            </w:r>
            <w:proofErr w:type="gramEnd"/>
          </w:p>
        </w:tc>
      </w:tr>
      <w:tr w:rsidR="00787F31" w14:paraId="692D4CF2" w14:textId="77777777" w:rsidTr="00787F31">
        <w:trPr>
          <w:jc w:val="center"/>
        </w:trPr>
        <w:tc>
          <w:tcPr>
            <w:tcW w:w="1141" w:type="dxa"/>
          </w:tcPr>
          <w:p w14:paraId="5B32791B" w14:textId="77777777" w:rsidR="00787F31" w:rsidRDefault="00787F31" w:rsidP="009373D7">
            <w:pPr>
              <w:spacing w:beforeLines="50" w:before="120"/>
              <w:rPr>
                <w:sz w:val="20"/>
              </w:rPr>
            </w:pPr>
            <w:r>
              <w:rPr>
                <w:rFonts w:hint="eastAsia"/>
                <w:sz w:val="20"/>
              </w:rPr>
              <w:t>3</w:t>
            </w:r>
          </w:p>
        </w:tc>
        <w:tc>
          <w:tcPr>
            <w:tcW w:w="4524" w:type="dxa"/>
          </w:tcPr>
          <w:p w14:paraId="170C062E" w14:textId="77777777" w:rsidR="00787F31" w:rsidRDefault="00787F31" w:rsidP="009373D7">
            <w:pPr>
              <w:spacing w:beforeLines="50" w:before="120"/>
              <w:rPr>
                <w:sz w:val="20"/>
              </w:rPr>
            </w:pPr>
            <w:r>
              <w:rPr>
                <w:rFonts w:hint="eastAsia"/>
                <w:sz w:val="20"/>
              </w:rPr>
              <w:t>F</w:t>
            </w:r>
            <w:r>
              <w:rPr>
                <w:sz w:val="20"/>
              </w:rPr>
              <w:t>R1 to FR1 inter-frequency (frequency domain)</w:t>
            </w:r>
          </w:p>
        </w:tc>
        <w:tc>
          <w:tcPr>
            <w:tcW w:w="1560" w:type="dxa"/>
          </w:tcPr>
          <w:p w14:paraId="4355BF12" w14:textId="77777777" w:rsidR="00787F31" w:rsidRDefault="00787F31" w:rsidP="009373D7">
            <w:pPr>
              <w:spacing w:beforeLines="50" w:before="120"/>
              <w:rPr>
                <w:sz w:val="20"/>
              </w:rPr>
            </w:pPr>
            <w:r>
              <w:rPr>
                <w:sz w:val="20"/>
              </w:rPr>
              <w:t>1</w:t>
            </w:r>
            <w:r>
              <w:rPr>
                <w:sz w:val="20"/>
                <w:vertAlign w:val="superscript"/>
              </w:rPr>
              <w:t>st</w:t>
            </w:r>
            <w:r>
              <w:rPr>
                <w:sz w:val="20"/>
              </w:rPr>
              <w:t xml:space="preserve"> goal</w:t>
            </w:r>
          </w:p>
        </w:tc>
      </w:tr>
      <w:tr w:rsidR="00787F31" w14:paraId="526BA1E4" w14:textId="77777777" w:rsidTr="00787F31">
        <w:trPr>
          <w:jc w:val="center"/>
        </w:trPr>
        <w:tc>
          <w:tcPr>
            <w:tcW w:w="1141" w:type="dxa"/>
          </w:tcPr>
          <w:p w14:paraId="09EDD747" w14:textId="77777777" w:rsidR="00787F31" w:rsidRDefault="00787F31" w:rsidP="009373D7">
            <w:pPr>
              <w:spacing w:beforeLines="50" w:before="120"/>
              <w:rPr>
                <w:sz w:val="20"/>
              </w:rPr>
            </w:pPr>
            <w:r>
              <w:rPr>
                <w:rFonts w:hint="eastAsia"/>
                <w:sz w:val="20"/>
              </w:rPr>
              <w:t>4</w:t>
            </w:r>
          </w:p>
        </w:tc>
        <w:tc>
          <w:tcPr>
            <w:tcW w:w="4524" w:type="dxa"/>
          </w:tcPr>
          <w:p w14:paraId="37FCDB55" w14:textId="77777777" w:rsidR="00787F31" w:rsidRDefault="00787F31" w:rsidP="009373D7">
            <w:pPr>
              <w:spacing w:beforeLines="50" w:before="120"/>
              <w:rPr>
                <w:sz w:val="20"/>
              </w:rPr>
            </w:pPr>
            <w:r>
              <w:rPr>
                <w:sz w:val="20"/>
              </w:rPr>
              <w:t>FR2 to FR2 intra-frequency temporal domain case A</w:t>
            </w:r>
          </w:p>
        </w:tc>
        <w:tc>
          <w:tcPr>
            <w:tcW w:w="1560" w:type="dxa"/>
          </w:tcPr>
          <w:p w14:paraId="7A771442" w14:textId="77777777" w:rsidR="00787F31" w:rsidRDefault="00787F31" w:rsidP="009373D7">
            <w:pPr>
              <w:spacing w:beforeLines="50" w:before="120"/>
              <w:rPr>
                <w:sz w:val="20"/>
                <w:highlight w:val="yellow"/>
              </w:rPr>
            </w:pPr>
            <w:r>
              <w:rPr>
                <w:sz w:val="20"/>
              </w:rPr>
              <w:t>2</w:t>
            </w:r>
            <w:r>
              <w:rPr>
                <w:sz w:val="20"/>
                <w:vertAlign w:val="superscript"/>
              </w:rPr>
              <w:t>nd</w:t>
            </w:r>
            <w:r>
              <w:rPr>
                <w:sz w:val="20"/>
              </w:rPr>
              <w:t xml:space="preserve"> goal</w:t>
            </w:r>
          </w:p>
        </w:tc>
      </w:tr>
      <w:tr w:rsidR="00787F31" w14:paraId="2E4C5668" w14:textId="77777777" w:rsidTr="00787F31">
        <w:trPr>
          <w:jc w:val="center"/>
        </w:trPr>
        <w:tc>
          <w:tcPr>
            <w:tcW w:w="1141" w:type="dxa"/>
          </w:tcPr>
          <w:p w14:paraId="062E98D3" w14:textId="77777777" w:rsidR="00787F31" w:rsidRDefault="00787F31" w:rsidP="009373D7">
            <w:pPr>
              <w:spacing w:beforeLines="50" w:before="120"/>
              <w:rPr>
                <w:sz w:val="20"/>
              </w:rPr>
            </w:pPr>
            <w:r>
              <w:rPr>
                <w:rFonts w:hint="eastAsia"/>
                <w:sz w:val="20"/>
              </w:rPr>
              <w:t>5</w:t>
            </w:r>
          </w:p>
        </w:tc>
        <w:tc>
          <w:tcPr>
            <w:tcW w:w="4524" w:type="dxa"/>
          </w:tcPr>
          <w:p w14:paraId="36A66B5A" w14:textId="77777777" w:rsidR="00787F31" w:rsidRDefault="00787F31" w:rsidP="009373D7">
            <w:pPr>
              <w:spacing w:beforeLines="50" w:before="120"/>
              <w:rPr>
                <w:sz w:val="20"/>
              </w:rPr>
            </w:pPr>
            <w:r>
              <w:rPr>
                <w:sz w:val="20"/>
              </w:rPr>
              <w:t>FR2 to FR2 intra-frequency temporal domain case B</w:t>
            </w:r>
          </w:p>
        </w:tc>
        <w:tc>
          <w:tcPr>
            <w:tcW w:w="1560" w:type="dxa"/>
          </w:tcPr>
          <w:p w14:paraId="29712A99" w14:textId="77777777" w:rsidR="00787F31" w:rsidRDefault="00787F31" w:rsidP="009373D7">
            <w:pPr>
              <w:spacing w:beforeLines="50" w:before="120"/>
              <w:rPr>
                <w:sz w:val="20"/>
              </w:rPr>
            </w:pPr>
            <w:r>
              <w:rPr>
                <w:sz w:val="20"/>
              </w:rPr>
              <w:t>1</w:t>
            </w:r>
            <w:r>
              <w:rPr>
                <w:sz w:val="20"/>
                <w:vertAlign w:val="superscript"/>
              </w:rPr>
              <w:t>st</w:t>
            </w:r>
            <w:r>
              <w:rPr>
                <w:sz w:val="20"/>
              </w:rPr>
              <w:t xml:space="preserve"> goal</w:t>
            </w:r>
          </w:p>
        </w:tc>
      </w:tr>
      <w:tr w:rsidR="00787F31" w14:paraId="1A753C03" w14:textId="77777777" w:rsidTr="00787F31">
        <w:trPr>
          <w:jc w:val="center"/>
        </w:trPr>
        <w:tc>
          <w:tcPr>
            <w:tcW w:w="1141" w:type="dxa"/>
          </w:tcPr>
          <w:p w14:paraId="419B91BF" w14:textId="77777777" w:rsidR="00787F31" w:rsidRDefault="00787F31" w:rsidP="009373D7">
            <w:pPr>
              <w:spacing w:beforeLines="50" w:before="120"/>
              <w:rPr>
                <w:sz w:val="20"/>
              </w:rPr>
            </w:pPr>
            <w:r>
              <w:rPr>
                <w:rFonts w:hint="eastAsia"/>
                <w:sz w:val="20"/>
              </w:rPr>
              <w:t>6</w:t>
            </w:r>
          </w:p>
        </w:tc>
        <w:tc>
          <w:tcPr>
            <w:tcW w:w="4524" w:type="dxa"/>
          </w:tcPr>
          <w:p w14:paraId="2E8D6263" w14:textId="77777777" w:rsidR="00787F31" w:rsidRDefault="00787F31" w:rsidP="009373D7">
            <w:pPr>
              <w:spacing w:beforeLines="50" w:before="120"/>
              <w:rPr>
                <w:sz w:val="20"/>
              </w:rPr>
            </w:pPr>
            <w:r>
              <w:rPr>
                <w:rFonts w:hint="eastAsia"/>
                <w:sz w:val="20"/>
              </w:rPr>
              <w:t>F</w:t>
            </w:r>
            <w:r>
              <w:rPr>
                <w:sz w:val="20"/>
              </w:rPr>
              <w:t>R2 to FR2 intra-frequency spatial domain</w:t>
            </w:r>
          </w:p>
        </w:tc>
        <w:tc>
          <w:tcPr>
            <w:tcW w:w="1560" w:type="dxa"/>
          </w:tcPr>
          <w:p w14:paraId="01044C48" w14:textId="77777777" w:rsidR="00787F31" w:rsidRDefault="00787F31" w:rsidP="009373D7">
            <w:pPr>
              <w:spacing w:beforeLines="50" w:before="120"/>
              <w:rPr>
                <w:sz w:val="20"/>
              </w:rPr>
            </w:pPr>
            <w:r>
              <w:rPr>
                <w:sz w:val="20"/>
              </w:rPr>
              <w:t>1</w:t>
            </w:r>
            <w:proofErr w:type="gramStart"/>
            <w:r>
              <w:rPr>
                <w:sz w:val="20"/>
                <w:vertAlign w:val="superscript"/>
              </w:rPr>
              <w:t>st</w:t>
            </w:r>
            <w:r>
              <w:rPr>
                <w:sz w:val="20"/>
              </w:rPr>
              <w:t xml:space="preserve">  goal</w:t>
            </w:r>
            <w:proofErr w:type="gramEnd"/>
          </w:p>
        </w:tc>
      </w:tr>
    </w:tbl>
    <w:p w14:paraId="7BBFF4F2" w14:textId="77777777" w:rsidR="00787F31" w:rsidRDefault="00787F31" w:rsidP="00434CC7"/>
    <w:p w14:paraId="32423272" w14:textId="7269162B" w:rsidR="00441EB7" w:rsidRDefault="00787F31" w:rsidP="00434CC7">
      <w:r>
        <w:lastRenderedPageBreak/>
        <w:t>S</w:t>
      </w:r>
      <w:r w:rsidR="00441EB7">
        <w:t>imulation is focused on temporal and frequency domain prediction</w:t>
      </w:r>
      <w:r>
        <w:t xml:space="preserve"> i.e. case 2, 3, 4.</w:t>
      </w:r>
      <w:r w:rsidR="00441EB7">
        <w:t xml:space="preserve"> </w:t>
      </w:r>
      <w:r w:rsidR="00686264">
        <w:t>RAN2 didn’t discuss much on s</w:t>
      </w:r>
      <w:r w:rsidR="00441EB7">
        <w:t>patial domain prediction</w:t>
      </w:r>
      <w:r w:rsidR="00686264">
        <w:t xml:space="preserve">, due to </w:t>
      </w:r>
      <w:r>
        <w:t>lack of simulation results</w:t>
      </w:r>
      <w:r w:rsidR="00441EB7">
        <w:t>.</w:t>
      </w:r>
      <w:r>
        <w:t xml:space="preserve"> Therefore, the RRM prediction on temporal and frequency domain should be prioritized over spatial domain.</w:t>
      </w:r>
    </w:p>
    <w:p w14:paraId="7FAEEB79" w14:textId="3BAE9DB5" w:rsidR="00441EB7" w:rsidRPr="00441EB7" w:rsidRDefault="00441EB7" w:rsidP="00434CC7">
      <w:pPr>
        <w:rPr>
          <w:b/>
        </w:rPr>
      </w:pPr>
      <w:r w:rsidRPr="00441EB7">
        <w:rPr>
          <w:rFonts w:hint="eastAsia"/>
          <w:b/>
        </w:rPr>
        <w:t>P</w:t>
      </w:r>
      <w:r w:rsidRPr="00441EB7">
        <w:rPr>
          <w:b/>
        </w:rPr>
        <w:t>roposal 1: RRM prediction on temporal and frequency domain is included in R20 WI.</w:t>
      </w:r>
    </w:p>
    <w:p w14:paraId="79BF3F6E" w14:textId="40CBE81C" w:rsidR="00CE6293" w:rsidRDefault="00441EB7" w:rsidP="00434CC7">
      <w:r>
        <w:rPr>
          <w:rFonts w:hint="eastAsia"/>
        </w:rPr>
        <w:t>E</w:t>
      </w:r>
      <w:r>
        <w:t xml:space="preserve">vent and RLF prediction can be done in direct or indirect way. RAN2 has agreed </w:t>
      </w:r>
      <w:r w:rsidR="00686264">
        <w:t xml:space="preserve">to prioritize indirect prediction and </w:t>
      </w:r>
      <w:r>
        <w:t xml:space="preserve">the </w:t>
      </w:r>
      <w:r w:rsidR="00686264">
        <w:t xml:space="preserve">related </w:t>
      </w:r>
      <w:r>
        <w:t>simulation assumption</w:t>
      </w:r>
      <w:r w:rsidR="00686264">
        <w:t>s</w:t>
      </w:r>
      <w:r>
        <w:t xml:space="preserve">. </w:t>
      </w:r>
      <w:r w:rsidR="00407A43">
        <w:t>Simulation results are</w:t>
      </w:r>
      <w:r>
        <w:t xml:space="preserve"> expected</w:t>
      </w:r>
      <w:r w:rsidR="00407A43">
        <w:t xml:space="preserve"> to be submitted in the following meetings. Event and RLF prediction can be useful to improve the mobility performance. If the simulation results </w:t>
      </w:r>
      <w:r w:rsidR="00686264">
        <w:t>can show acceptable</w:t>
      </w:r>
      <w:r w:rsidR="00407A43">
        <w:t xml:space="preserve"> </w:t>
      </w:r>
      <w:r w:rsidR="00686264">
        <w:t xml:space="preserve">prediction </w:t>
      </w:r>
      <w:r w:rsidR="00407A43">
        <w:t>accuracy</w:t>
      </w:r>
      <w:r w:rsidR="00686264">
        <w:t>,</w:t>
      </w:r>
      <w:r w:rsidR="00407A43">
        <w:t xml:space="preserve"> performance gain</w:t>
      </w:r>
      <w:r w:rsidR="00686264">
        <w:t xml:space="preserve"> can be expected.</w:t>
      </w:r>
      <w:r w:rsidR="00407A43">
        <w:t xml:space="preserve"> </w:t>
      </w:r>
      <w:r w:rsidR="00686264">
        <w:t xml:space="preserve">Therefore, </w:t>
      </w:r>
      <w:r w:rsidR="00407A43">
        <w:t>event and RLF prediction can be included in R20 WI.</w:t>
      </w:r>
    </w:p>
    <w:p w14:paraId="118BFAC6" w14:textId="70081EF9" w:rsidR="00441EB7" w:rsidRDefault="00407A43" w:rsidP="00434CC7">
      <w:pPr>
        <w:rPr>
          <w:b/>
        </w:rPr>
      </w:pPr>
      <w:r w:rsidRPr="00407A43">
        <w:rPr>
          <w:rFonts w:hint="eastAsia"/>
          <w:b/>
        </w:rPr>
        <w:t>P</w:t>
      </w:r>
      <w:r w:rsidRPr="00407A43">
        <w:rPr>
          <w:b/>
        </w:rPr>
        <w:t>roposal 2: Event and RLF prediction can be included in the R20 WI, if simulation results show acceptable prediction accuracy and performance gain.</w:t>
      </w:r>
    </w:p>
    <w:p w14:paraId="02991BC4" w14:textId="786B0B3A" w:rsidR="00686264" w:rsidRPr="00407A43" w:rsidRDefault="00686264" w:rsidP="00434CC7">
      <w:pPr>
        <w:rPr>
          <w:rFonts w:hint="eastAsia"/>
          <w:b/>
        </w:rPr>
      </w:pPr>
      <w:r>
        <w:rPr>
          <w:b/>
        </w:rPr>
        <w:t>Proposal 3: Only indirect prediction is supported for event and RLF prediction.</w:t>
      </w:r>
    </w:p>
    <w:p w14:paraId="6BE8685A" w14:textId="2758CE41" w:rsidR="00441EB7" w:rsidRDefault="00441EB7" w:rsidP="00434CC7">
      <w:r>
        <w:rPr>
          <w:rFonts w:hint="eastAsia"/>
        </w:rPr>
        <w:t>H</w:t>
      </w:r>
      <w:r>
        <w:t xml:space="preserve">OF prediction is deprioritized by RAN2. No simulation is done so far. </w:t>
      </w:r>
      <w:r w:rsidR="00407A43">
        <w:t>Due to the heavy load, RAN2 may not be able to do any simulation regarding HOF prediction. Therefore, HOF prediction may not be included in the R20 WI. However, we understand HOF is a key performance KPI in mobility. HOF prediction may be useful. RAN2 can study the HOF prediction if possible.</w:t>
      </w:r>
    </w:p>
    <w:p w14:paraId="14ED5F4B" w14:textId="527FF235" w:rsidR="00407A43" w:rsidRPr="00407A43" w:rsidRDefault="00407A43" w:rsidP="00434CC7">
      <w:pPr>
        <w:rPr>
          <w:b/>
        </w:rPr>
      </w:pPr>
      <w:r w:rsidRPr="00407A43">
        <w:rPr>
          <w:rFonts w:hint="eastAsia"/>
          <w:b/>
        </w:rPr>
        <w:t>P</w:t>
      </w:r>
      <w:r w:rsidRPr="00407A43">
        <w:rPr>
          <w:b/>
        </w:rPr>
        <w:t xml:space="preserve">roposal </w:t>
      </w:r>
      <w:r w:rsidR="00686264">
        <w:rPr>
          <w:b/>
        </w:rPr>
        <w:t>4</w:t>
      </w:r>
      <w:r w:rsidRPr="00407A43">
        <w:rPr>
          <w:b/>
        </w:rPr>
        <w:t xml:space="preserve">: </w:t>
      </w:r>
      <w:r w:rsidR="00686264">
        <w:rPr>
          <w:b/>
        </w:rPr>
        <w:t xml:space="preserve">Further study on </w:t>
      </w:r>
      <w:r w:rsidRPr="00407A43">
        <w:rPr>
          <w:b/>
        </w:rPr>
        <w:t xml:space="preserve">HOF prediction </w:t>
      </w:r>
      <w:r w:rsidR="00686264">
        <w:rPr>
          <w:b/>
        </w:rPr>
        <w:t>can be considered in R20.</w:t>
      </w:r>
    </w:p>
    <w:p w14:paraId="44C647ED" w14:textId="230BB63A" w:rsidR="00441EB7" w:rsidRPr="00C5675D" w:rsidRDefault="00B06FF3" w:rsidP="00434CC7">
      <w:r>
        <w:t>The work is mainly on RAN2. Besides RAN2, RAN4 should also be involved to specify the necessary RRM/test requirement.</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509A34D3" w:rsidR="00764848" w:rsidRDefault="00364AA7" w:rsidP="00764848">
      <w:pPr>
        <w:spacing w:afterLines="50" w:line="240" w:lineRule="auto"/>
        <w:jc w:val="left"/>
      </w:pPr>
      <w:r w:rsidRPr="00127997">
        <w:t xml:space="preserve">According to the </w:t>
      </w:r>
      <w:r w:rsidR="00434CC7">
        <w:t>discussion</w:t>
      </w:r>
      <w:r w:rsidRPr="00127997">
        <w:t xml:space="preserve"> above, we have the following proposals:</w:t>
      </w:r>
    </w:p>
    <w:p w14:paraId="1AD1F938" w14:textId="2B72F528" w:rsidR="00BF5D58" w:rsidRDefault="00BF5D58" w:rsidP="00BF5D58">
      <w:pPr>
        <w:rPr>
          <w:b/>
        </w:rPr>
      </w:pPr>
    </w:p>
    <w:p w14:paraId="222459CA" w14:textId="77777777" w:rsidR="00686264" w:rsidRPr="00441EB7" w:rsidRDefault="00686264" w:rsidP="00686264">
      <w:pPr>
        <w:rPr>
          <w:b/>
        </w:rPr>
      </w:pPr>
      <w:r w:rsidRPr="00441EB7">
        <w:rPr>
          <w:rFonts w:hint="eastAsia"/>
          <w:b/>
        </w:rPr>
        <w:t>P</w:t>
      </w:r>
      <w:r w:rsidRPr="00441EB7">
        <w:rPr>
          <w:b/>
        </w:rPr>
        <w:t>roposal 1: RRM prediction on temporal and frequency domain is included in R20 WI.</w:t>
      </w:r>
    </w:p>
    <w:p w14:paraId="679569BB" w14:textId="77777777" w:rsidR="00686264" w:rsidRDefault="00686264" w:rsidP="00686264">
      <w:pPr>
        <w:rPr>
          <w:b/>
        </w:rPr>
      </w:pPr>
      <w:r w:rsidRPr="00407A43">
        <w:rPr>
          <w:rFonts w:hint="eastAsia"/>
          <w:b/>
        </w:rPr>
        <w:t>P</w:t>
      </w:r>
      <w:r w:rsidRPr="00407A43">
        <w:rPr>
          <w:b/>
        </w:rPr>
        <w:t>roposal 2: Event and RLF prediction can be included in the R20 WI, if simulation results show acceptable prediction accuracy and performance gain.</w:t>
      </w:r>
    </w:p>
    <w:p w14:paraId="6A06127B" w14:textId="77777777" w:rsidR="00686264" w:rsidRPr="00407A43" w:rsidRDefault="00686264" w:rsidP="00686264">
      <w:pPr>
        <w:rPr>
          <w:rFonts w:hint="eastAsia"/>
          <w:b/>
        </w:rPr>
      </w:pPr>
      <w:r>
        <w:rPr>
          <w:b/>
        </w:rPr>
        <w:t>Proposal 3: Only indirect prediction is supported for event and RLF prediction.</w:t>
      </w:r>
    </w:p>
    <w:p w14:paraId="05FFF9F0" w14:textId="77777777" w:rsidR="00686264" w:rsidRPr="00407A43" w:rsidRDefault="00686264" w:rsidP="00686264">
      <w:pPr>
        <w:rPr>
          <w:b/>
        </w:rPr>
      </w:pPr>
      <w:r w:rsidRPr="00407A43">
        <w:rPr>
          <w:rFonts w:hint="eastAsia"/>
          <w:b/>
        </w:rPr>
        <w:t>P</w:t>
      </w:r>
      <w:r w:rsidRPr="00407A43">
        <w:rPr>
          <w:b/>
        </w:rPr>
        <w:t xml:space="preserve">roposal </w:t>
      </w:r>
      <w:r>
        <w:rPr>
          <w:b/>
        </w:rPr>
        <w:t>4</w:t>
      </w:r>
      <w:r w:rsidRPr="00407A43">
        <w:rPr>
          <w:b/>
        </w:rPr>
        <w:t xml:space="preserve">: </w:t>
      </w:r>
      <w:r>
        <w:rPr>
          <w:b/>
        </w:rPr>
        <w:t xml:space="preserve">Further study on </w:t>
      </w:r>
      <w:r w:rsidRPr="00407A43">
        <w:rPr>
          <w:b/>
        </w:rPr>
        <w:t xml:space="preserve">HOF prediction </w:t>
      </w:r>
      <w:r>
        <w:rPr>
          <w:b/>
        </w:rPr>
        <w:t>can be considered in R20.</w:t>
      </w:r>
    </w:p>
    <w:p w14:paraId="698E6DAA" w14:textId="77777777" w:rsidR="00434CC7" w:rsidRPr="00686264" w:rsidRDefault="00434CC7" w:rsidP="00764848">
      <w:pPr>
        <w:spacing w:afterLines="50" w:line="240" w:lineRule="auto"/>
        <w:jc w:val="left"/>
      </w:pPr>
      <w:bookmarkStart w:id="1" w:name="_GoBack"/>
      <w:bookmarkEnd w:id="1"/>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3F4A0356" w14:textId="4B0A072D" w:rsidR="00820C9F" w:rsidRPr="000938B4" w:rsidRDefault="000938B4" w:rsidP="000938B4">
      <w:pPr>
        <w:pStyle w:val="Doc-text2"/>
        <w:ind w:left="0" w:firstLine="0"/>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 xml:space="preserve">] </w:t>
      </w:r>
      <w:r w:rsidRPr="000938B4">
        <w:rPr>
          <w:rFonts w:eastAsiaTheme="minorEastAsia"/>
          <w:lang w:eastAsia="zh-CN"/>
        </w:rPr>
        <w:t>RP-242393</w:t>
      </w:r>
    </w:p>
    <w:sectPr w:rsidR="00820C9F" w:rsidRPr="000938B4"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F9540" w14:textId="77777777" w:rsidR="00892071" w:rsidRDefault="00892071">
      <w:pPr>
        <w:spacing w:after="0" w:line="240" w:lineRule="auto"/>
      </w:pPr>
      <w:r>
        <w:separator/>
      </w:r>
    </w:p>
  </w:endnote>
  <w:endnote w:type="continuationSeparator" w:id="0">
    <w:p w14:paraId="5DDCF7FC" w14:textId="77777777" w:rsidR="00892071" w:rsidRDefault="00892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3954E" w14:textId="77777777" w:rsidR="00892071" w:rsidRDefault="00892071">
      <w:pPr>
        <w:spacing w:after="0" w:line="240" w:lineRule="auto"/>
      </w:pPr>
      <w:r>
        <w:separator/>
      </w:r>
    </w:p>
  </w:footnote>
  <w:footnote w:type="continuationSeparator" w:id="0">
    <w:p w14:paraId="6E0A9E77" w14:textId="77777777" w:rsidR="00892071" w:rsidRDefault="00892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0587A"/>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81256"/>
    <w:multiLevelType w:val="hybridMultilevel"/>
    <w:tmpl w:val="11540BDC"/>
    <w:lvl w:ilvl="0" w:tplc="E92256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0"/>
  </w:num>
  <w:num w:numId="6">
    <w:abstractNumId w:val="8"/>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7"/>
  </w:num>
  <w:num w:numId="14">
    <w:abstractNumId w:val="1"/>
  </w:num>
  <w:num w:numId="15">
    <w:abstractNumId w:val="6"/>
  </w:num>
  <w:num w:numId="16">
    <w:abstractNumId w:val="9"/>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8B4"/>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16F"/>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D7DB2"/>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2C5"/>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20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A43"/>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CC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B7"/>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1C5"/>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4"/>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F31"/>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B31"/>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1C13"/>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E6B"/>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071"/>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86"/>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8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863"/>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6FF3"/>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20D"/>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D58"/>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43"/>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75D"/>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93"/>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48D"/>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1F1"/>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F86"/>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27664"/>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1C1"/>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159"/>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99"/>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99"/>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567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1920933">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2D2FB-0B18-4636-9097-448A55EC7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15</cp:revision>
  <cp:lastPrinted>2018-04-04T09:40:00Z</cp:lastPrinted>
  <dcterms:created xsi:type="dcterms:W3CDTF">2024-11-07T11:51:00Z</dcterms:created>
  <dcterms:modified xsi:type="dcterms:W3CDTF">2024-12-02T10:33:00Z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ies>
</file>