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Source:</w:t>
      </w:r>
      <w:r w:rsidRPr="002A65D9">
        <w:rPr>
          <w:rFonts w:ascii="Arial" w:hAnsi="Arial" w:cs="Arial"/>
          <w:b/>
          <w:sz w:val="22"/>
          <w:lang w:val="en-GB"/>
        </w:rPr>
        <w:tab/>
      </w:r>
      <w:r>
        <w:rPr>
          <w:rFonts w:ascii="Arial" w:hAnsi="Arial" w:cs="Arial" w:hint="eastAsia"/>
          <w:b/>
          <w:sz w:val="22"/>
          <w:lang w:val="en-GB"/>
        </w:rPr>
        <w:t>Samsung Electronics Co., Ltd.</w:t>
      </w:r>
    </w:p>
    <w:p w:rsidR="0015619A" w:rsidRPr="002A65D9"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Title:</w:t>
      </w:r>
      <w:r w:rsidRPr="002A65D9">
        <w:rPr>
          <w:rFonts w:ascii="Arial" w:hAnsi="Arial" w:cs="Arial"/>
          <w:b/>
          <w:sz w:val="22"/>
          <w:lang w:val="en-GB"/>
        </w:rPr>
        <w:tab/>
      </w:r>
      <w:r w:rsidR="000C1E55" w:rsidRPr="000C1E55">
        <w:rPr>
          <w:rFonts w:ascii="Arial" w:hAnsi="Arial" w:cs="Arial"/>
          <w:b/>
          <w:sz w:val="22"/>
          <w:lang w:val="en-GB"/>
        </w:rPr>
        <w:t>Use case and requirements for joint object protection</w:t>
      </w:r>
    </w:p>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t>for discussion and agreement</w:t>
      </w:r>
    </w:p>
    <w:p w:rsidR="0015619A" w:rsidRPr="00093793"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Agenda Item:</w:t>
      </w:r>
      <w:r w:rsidRPr="002A65D9">
        <w:rPr>
          <w:rFonts w:ascii="Arial" w:hAnsi="Arial" w:cs="Arial"/>
          <w:b/>
          <w:sz w:val="22"/>
          <w:lang w:val="en-GB"/>
        </w:rPr>
        <w:tab/>
      </w:r>
      <w:r w:rsidR="002A56CD">
        <w:rPr>
          <w:rFonts w:ascii="Arial" w:hAnsi="Arial" w:cs="Arial"/>
          <w:b/>
          <w:sz w:val="22"/>
          <w:lang w:val="en-GB"/>
        </w:rPr>
        <w:t>7</w:t>
      </w:r>
    </w:p>
    <w:p w:rsidR="0015619A" w:rsidRPr="00093793" w:rsidRDefault="0015619A" w:rsidP="0015619A">
      <w:pPr>
        <w:pStyle w:val="Heading1"/>
        <w:numPr>
          <w:ilvl w:val="0"/>
          <w:numId w:val="0"/>
        </w:numPr>
        <w:pBdr>
          <w:top w:val="single" w:sz="12" w:space="0" w:color="auto"/>
        </w:pBdr>
        <w:ind w:left="432" w:hanging="432"/>
      </w:pPr>
    </w:p>
    <w:p w:rsidR="005C3B80" w:rsidRPr="0015619A" w:rsidRDefault="005C3B80" w:rsidP="005C3B80">
      <w:pPr>
        <w:pStyle w:val="Heading1"/>
        <w:rPr>
          <w:rFonts w:cs="Calibri"/>
          <w:lang w:val="de-AT"/>
        </w:rPr>
      </w:pPr>
      <w:r w:rsidRPr="0015619A">
        <w:rPr>
          <w:rFonts w:cs="Calibri"/>
          <w:lang w:val="de-AT"/>
        </w:rPr>
        <w:t>Introduction</w:t>
      </w:r>
    </w:p>
    <w:p w:rsidR="008C68F2" w:rsidRPr="00DB02F7" w:rsidRDefault="00DB02F7" w:rsidP="008C68F2">
      <w:pPr>
        <w:rPr>
          <w:rFonts w:ascii="Calibri" w:hAnsi="Calibri" w:cs="Calibri"/>
          <w:sz w:val="24"/>
        </w:rPr>
      </w:pPr>
      <w:r w:rsidRPr="00DB02F7">
        <w:rPr>
          <w:rFonts w:ascii="Calibri" w:hAnsi="Calibri" w:cs="Calibri"/>
          <w:sz w:val="24"/>
        </w:rPr>
        <w:t>3GPP SA4 has started work on Enhanced MBMS Operation (MI-EMO)</w:t>
      </w:r>
      <w:r w:rsidR="00DD3331">
        <w:rPr>
          <w:rFonts w:ascii="Calibri" w:hAnsi="Calibri" w:cs="Calibri"/>
          <w:sz w:val="24"/>
        </w:rPr>
        <w:t xml:space="preserve"> [1]</w:t>
      </w:r>
      <w:r w:rsidR="007B5E68" w:rsidRPr="00DB02F7">
        <w:rPr>
          <w:rFonts w:ascii="Calibri" w:hAnsi="Calibri" w:cs="Calibri"/>
          <w:sz w:val="24"/>
        </w:rPr>
        <w:t>.</w:t>
      </w:r>
      <w:r w:rsidRPr="00DB02F7">
        <w:rPr>
          <w:rFonts w:ascii="Calibri" w:hAnsi="Calibri" w:cs="Calibri"/>
          <w:sz w:val="24"/>
        </w:rPr>
        <w:t xml:space="preserve"> One of the objectives of this WID is to improve the performance of the download service in MBMS. This covers aspects such as enhanced protocol e</w:t>
      </w:r>
      <w:bookmarkStart w:id="0" w:name="_GoBack"/>
      <w:bookmarkEnd w:id="0"/>
      <w:r w:rsidRPr="00DB02F7">
        <w:rPr>
          <w:rFonts w:ascii="Calibri" w:hAnsi="Calibri" w:cs="Calibri"/>
          <w:sz w:val="24"/>
        </w:rPr>
        <w:t xml:space="preserve">fficiency and better error performance through joint protection of multiple files simultaneously. </w:t>
      </w:r>
      <w:r w:rsidR="007B5E68" w:rsidRPr="00DB02F7">
        <w:rPr>
          <w:rFonts w:ascii="Calibri" w:hAnsi="Calibri" w:cs="Calibri"/>
          <w:sz w:val="24"/>
        </w:rPr>
        <w:t xml:space="preserve"> </w:t>
      </w:r>
    </w:p>
    <w:p w:rsidR="00DB02F7" w:rsidRPr="00DB02F7" w:rsidRDefault="00DB02F7" w:rsidP="008C68F2">
      <w:pPr>
        <w:rPr>
          <w:rFonts w:ascii="Calibri" w:hAnsi="Calibri" w:cs="Calibri"/>
          <w:sz w:val="24"/>
        </w:rPr>
      </w:pPr>
      <w:r w:rsidRPr="00DB02F7">
        <w:rPr>
          <w:rFonts w:ascii="Calibri" w:hAnsi="Calibri" w:cs="Calibri"/>
          <w:sz w:val="24"/>
        </w:rPr>
        <w:t>In this contribution, we provide a use case, working assumption, and requirements for improved FEC protection.</w:t>
      </w:r>
    </w:p>
    <w:p w:rsidR="00572D11" w:rsidRPr="00572D11" w:rsidRDefault="00DD3331" w:rsidP="00572D11">
      <w:pPr>
        <w:pStyle w:val="Heading1"/>
        <w:rPr>
          <w:rFonts w:eastAsia="SimSun"/>
          <w:lang w:eastAsia="zh-CN"/>
        </w:rPr>
      </w:pPr>
      <w:r>
        <w:rPr>
          <w:rFonts w:eastAsia="Malgun Gothic"/>
        </w:rPr>
        <w:t>Use Case</w:t>
      </w:r>
    </w:p>
    <w:p w:rsidR="00DD3331" w:rsidRDefault="00DD3331" w:rsidP="00BB2C78">
      <w:pPr>
        <w:rPr>
          <w:rFonts w:ascii="Calibri" w:hAnsi="Calibri" w:cs="Calibri"/>
          <w:sz w:val="24"/>
        </w:rPr>
      </w:pPr>
      <w:r w:rsidRPr="00DD3331">
        <w:rPr>
          <w:rFonts w:ascii="Calibri" w:hAnsi="Calibri" w:cs="Calibri"/>
          <w:sz w:val="24"/>
        </w:rPr>
        <w:t>A live event is expected to generate a lot of interest among mobile users, so the mobile operator decides to offer it via MBMS</w:t>
      </w:r>
      <w:r w:rsidR="00BB2C78" w:rsidRPr="00DD3331">
        <w:rPr>
          <w:rFonts w:ascii="Calibri" w:hAnsi="Calibri" w:cs="Calibri"/>
          <w:sz w:val="24"/>
        </w:rPr>
        <w:t>.</w:t>
      </w:r>
      <w:r w:rsidRPr="00DD3331">
        <w:rPr>
          <w:rFonts w:ascii="Calibri" w:hAnsi="Calibri" w:cs="Calibri"/>
          <w:sz w:val="24"/>
        </w:rPr>
        <w:t xml:space="preserve"> To reduce content preparation overhead, the service is offered as is over MBMS, i.e. using DASH. The content was prepared with separate Adaptation Sets and Representations for each media component (Audio, Video, </w:t>
      </w:r>
      <w:proofErr w:type="gramStart"/>
      <w:r w:rsidRPr="00DD3331">
        <w:rPr>
          <w:rFonts w:ascii="Calibri" w:hAnsi="Calibri" w:cs="Calibri"/>
          <w:sz w:val="24"/>
        </w:rPr>
        <w:t>Text, …)</w:t>
      </w:r>
      <w:proofErr w:type="gramEnd"/>
      <w:r w:rsidRPr="00DD3331">
        <w:rPr>
          <w:rFonts w:ascii="Calibri" w:hAnsi="Calibri" w:cs="Calibri"/>
          <w:sz w:val="24"/>
        </w:rPr>
        <w:t xml:space="preserve">. The transmission power is required to be used efficiently in the SFN area, which results in fair to poor reception quality at some spots of the SFN area. </w:t>
      </w:r>
    </w:p>
    <w:p w:rsidR="00DD3331" w:rsidRDefault="00DD3331" w:rsidP="00BB2C78">
      <w:pPr>
        <w:rPr>
          <w:rFonts w:ascii="Calibri" w:hAnsi="Calibri" w:cs="Calibri"/>
          <w:sz w:val="24"/>
        </w:rPr>
      </w:pPr>
    </w:p>
    <w:p w:rsidR="00DD3331" w:rsidRPr="00DD3331" w:rsidRDefault="00DD3331" w:rsidP="00DD3331">
      <w:pPr>
        <w:pStyle w:val="Heading1"/>
        <w:rPr>
          <w:rFonts w:eastAsia="Malgun Gothic"/>
        </w:rPr>
      </w:pPr>
      <w:r w:rsidRPr="00DD3331">
        <w:rPr>
          <w:rFonts w:eastAsia="Malgun Gothic"/>
        </w:rPr>
        <w:t>Requirements</w:t>
      </w:r>
    </w:p>
    <w:p w:rsidR="00DD3331" w:rsidRDefault="00DD3331" w:rsidP="00BB2C78">
      <w:pPr>
        <w:rPr>
          <w:rFonts w:ascii="Calibri" w:hAnsi="Calibri" w:cs="Calibri"/>
          <w:sz w:val="24"/>
        </w:rPr>
      </w:pPr>
      <w:r>
        <w:rPr>
          <w:rFonts w:ascii="Calibri" w:hAnsi="Calibri" w:cs="Calibri"/>
          <w:sz w:val="24"/>
        </w:rPr>
        <w:t>The following requirements apply:</w:t>
      </w:r>
    </w:p>
    <w:p w:rsidR="00DD3331" w:rsidRDefault="00DD3331" w:rsidP="00DD3331">
      <w:pPr>
        <w:pStyle w:val="ListParagraph"/>
        <w:numPr>
          <w:ilvl w:val="0"/>
          <w:numId w:val="20"/>
        </w:numPr>
        <w:ind w:leftChars="0"/>
        <w:rPr>
          <w:rFonts w:ascii="Calibri" w:hAnsi="Calibri" w:cs="Calibri"/>
          <w:sz w:val="24"/>
        </w:rPr>
      </w:pPr>
      <w:r>
        <w:rPr>
          <w:rFonts w:ascii="Calibri" w:hAnsi="Calibri" w:cs="Calibri"/>
          <w:sz w:val="24"/>
        </w:rPr>
        <w:t>The solution should minimize the delay to retrieve the media content</w:t>
      </w:r>
    </w:p>
    <w:p w:rsidR="00DD3331" w:rsidRPr="00DD3331" w:rsidRDefault="00DD3331" w:rsidP="00DD3331">
      <w:pPr>
        <w:pStyle w:val="ListParagraph"/>
        <w:numPr>
          <w:ilvl w:val="0"/>
          <w:numId w:val="20"/>
        </w:numPr>
        <w:ind w:leftChars="0"/>
        <w:rPr>
          <w:rFonts w:ascii="Calibri" w:hAnsi="Calibri" w:cs="Calibri"/>
          <w:sz w:val="24"/>
        </w:rPr>
      </w:pPr>
      <w:r>
        <w:rPr>
          <w:rFonts w:ascii="Calibri" w:hAnsi="Calibri" w:cs="Calibri"/>
          <w:sz w:val="24"/>
        </w:rPr>
        <w:t xml:space="preserve">The solution should provide improved error resilience </w:t>
      </w:r>
    </w:p>
    <w:p w:rsidR="00DD3331" w:rsidRPr="00DD3331" w:rsidRDefault="00DD3331" w:rsidP="00DD3331">
      <w:pPr>
        <w:pStyle w:val="Heading1"/>
        <w:rPr>
          <w:rFonts w:eastAsia="Malgun Gothic"/>
        </w:rPr>
      </w:pPr>
      <w:r w:rsidRPr="00DD3331">
        <w:rPr>
          <w:rFonts w:eastAsia="Malgun Gothic"/>
        </w:rPr>
        <w:t>Working Assumptions</w:t>
      </w:r>
    </w:p>
    <w:p w:rsidR="00DD3331" w:rsidRDefault="00DD3331" w:rsidP="00BB2C78">
      <w:pPr>
        <w:rPr>
          <w:rFonts w:ascii="Calibri" w:hAnsi="Calibri" w:cs="Calibri"/>
          <w:sz w:val="24"/>
        </w:rPr>
      </w:pPr>
      <w:r>
        <w:rPr>
          <w:rFonts w:ascii="Calibri" w:hAnsi="Calibri" w:cs="Calibri"/>
          <w:sz w:val="24"/>
        </w:rPr>
        <w:t>The following working assumptions are extracted:</w:t>
      </w:r>
    </w:p>
    <w:p w:rsidR="00BB2C78" w:rsidRDefault="00DD3331" w:rsidP="00DD3331">
      <w:pPr>
        <w:pStyle w:val="ListParagraph"/>
        <w:numPr>
          <w:ilvl w:val="0"/>
          <w:numId w:val="21"/>
        </w:numPr>
        <w:ind w:leftChars="0"/>
        <w:rPr>
          <w:rFonts w:ascii="Calibri" w:hAnsi="Calibri" w:cs="Calibri"/>
          <w:sz w:val="24"/>
        </w:rPr>
      </w:pPr>
      <w:r w:rsidRPr="00DD3331">
        <w:rPr>
          <w:rFonts w:ascii="Calibri" w:hAnsi="Calibri" w:cs="Calibri"/>
          <w:sz w:val="24"/>
        </w:rPr>
        <w:t xml:space="preserve">FEC </w:t>
      </w:r>
      <w:r>
        <w:rPr>
          <w:rFonts w:ascii="Calibri" w:hAnsi="Calibri" w:cs="Calibri"/>
          <w:sz w:val="24"/>
        </w:rPr>
        <w:t>is used as the</w:t>
      </w:r>
      <w:r w:rsidRPr="00DD3331">
        <w:rPr>
          <w:rFonts w:ascii="Calibri" w:hAnsi="Calibri" w:cs="Calibri"/>
          <w:sz w:val="24"/>
        </w:rPr>
        <w:t xml:space="preserve"> only tool for error </w:t>
      </w:r>
      <w:r>
        <w:rPr>
          <w:rFonts w:ascii="Calibri" w:hAnsi="Calibri" w:cs="Calibri"/>
          <w:sz w:val="24"/>
        </w:rPr>
        <w:t>recovery</w:t>
      </w:r>
      <w:r w:rsidRPr="00DD3331">
        <w:rPr>
          <w:rFonts w:ascii="Calibri" w:hAnsi="Calibri" w:cs="Calibri"/>
          <w:sz w:val="24"/>
        </w:rPr>
        <w:t xml:space="preserve"> for the terminals that is sui</w:t>
      </w:r>
      <w:r>
        <w:rPr>
          <w:rFonts w:ascii="Calibri" w:hAnsi="Calibri" w:cs="Calibri"/>
          <w:sz w:val="24"/>
        </w:rPr>
        <w:t>table for a low-delay scenario</w:t>
      </w:r>
    </w:p>
    <w:p w:rsidR="00DD3331" w:rsidRDefault="00DD3331" w:rsidP="00DD3331">
      <w:pPr>
        <w:pStyle w:val="ListParagraph"/>
        <w:numPr>
          <w:ilvl w:val="0"/>
          <w:numId w:val="21"/>
        </w:numPr>
        <w:ind w:leftChars="0"/>
        <w:rPr>
          <w:rFonts w:ascii="Calibri" w:hAnsi="Calibri" w:cs="Calibri"/>
          <w:sz w:val="24"/>
        </w:rPr>
      </w:pPr>
      <w:r>
        <w:rPr>
          <w:rFonts w:ascii="Calibri" w:hAnsi="Calibri" w:cs="Calibri"/>
          <w:sz w:val="24"/>
        </w:rPr>
        <w:t>FEC protection should be equivalent for all components of media presentation</w:t>
      </w:r>
    </w:p>
    <w:p w:rsidR="00DD3331" w:rsidRPr="00DD3331" w:rsidRDefault="00DD3331" w:rsidP="00DD3331">
      <w:pPr>
        <w:pStyle w:val="ListParagraph"/>
        <w:numPr>
          <w:ilvl w:val="0"/>
          <w:numId w:val="21"/>
        </w:numPr>
        <w:ind w:leftChars="0"/>
        <w:rPr>
          <w:rFonts w:ascii="Calibri" w:hAnsi="Calibri" w:cs="Calibri"/>
          <w:sz w:val="24"/>
        </w:rPr>
      </w:pPr>
      <w:r>
        <w:rPr>
          <w:rFonts w:ascii="Calibri" w:hAnsi="Calibri" w:cs="Calibri"/>
          <w:sz w:val="24"/>
        </w:rPr>
        <w:t>FEC protection should be aligned among the different components of the media presentation, so that synchronize</w:t>
      </w:r>
      <w:r w:rsidR="000C1E55">
        <w:rPr>
          <w:rFonts w:ascii="Calibri" w:hAnsi="Calibri" w:cs="Calibri"/>
          <w:sz w:val="24"/>
        </w:rPr>
        <w:t>d media should be recovered in a synchronized manner to not jeopardize synchronization</w:t>
      </w:r>
    </w:p>
    <w:p w:rsidR="0015619A" w:rsidRPr="0015619A" w:rsidRDefault="00572D11" w:rsidP="0015619A">
      <w:pPr>
        <w:pStyle w:val="Heading1"/>
        <w:keepLines/>
        <w:tabs>
          <w:tab w:val="num" w:pos="432"/>
        </w:tabs>
        <w:overflowPunct w:val="0"/>
        <w:autoSpaceDE w:val="0"/>
        <w:autoSpaceDN w:val="0"/>
        <w:adjustRightInd w:val="0"/>
        <w:spacing w:after="180"/>
        <w:jc w:val="left"/>
        <w:textAlignment w:val="baseline"/>
        <w:rPr>
          <w:rFonts w:cs="Calibri"/>
        </w:rPr>
      </w:pPr>
      <w:r>
        <w:rPr>
          <w:rFonts w:eastAsia="Malgun Gothic" w:cs="Calibri" w:hint="eastAsia"/>
          <w:lang w:eastAsia="ko-KR"/>
        </w:rPr>
        <w:t>Conclusion</w:t>
      </w:r>
    </w:p>
    <w:p w:rsidR="00916B92" w:rsidRPr="000C1E55" w:rsidRDefault="000C1E55" w:rsidP="001541CA">
      <w:pPr>
        <w:rPr>
          <w:rFonts w:ascii="Calibri" w:hAnsi="Calibri" w:cs="Calibri"/>
          <w:sz w:val="24"/>
        </w:rPr>
      </w:pPr>
      <w:r w:rsidRPr="000C1E55">
        <w:rPr>
          <w:rFonts w:ascii="Calibri" w:hAnsi="Calibri" w:cs="Calibri"/>
          <w:sz w:val="24"/>
        </w:rPr>
        <w:t>We propose to adopt the above use case and the derived requirements and use cases as part of the permanent document and/or technical report on MI-EMO</w:t>
      </w:r>
      <w:r w:rsidR="001541CA" w:rsidRPr="000C1E55">
        <w:rPr>
          <w:rFonts w:ascii="Calibri" w:hAnsi="Calibri" w:cs="Calibri"/>
          <w:sz w:val="24"/>
        </w:rPr>
        <w:t xml:space="preserve">. </w:t>
      </w:r>
    </w:p>
    <w:p w:rsidR="00916B92" w:rsidRDefault="00916B92" w:rsidP="00916B92">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lastRenderedPageBreak/>
        <w:t>References</w:t>
      </w:r>
    </w:p>
    <w:p w:rsidR="00916B92" w:rsidRPr="000C1E55" w:rsidRDefault="00916B92" w:rsidP="008C68F2">
      <w:pPr>
        <w:rPr>
          <w:rFonts w:ascii="Calibri" w:hAnsi="Calibri" w:cs="Calibri"/>
          <w:sz w:val="24"/>
        </w:rPr>
      </w:pPr>
      <w:r w:rsidRPr="000C1E55">
        <w:rPr>
          <w:rFonts w:ascii="Calibri" w:hAnsi="Calibri" w:cs="Calibri" w:hint="eastAsia"/>
          <w:sz w:val="24"/>
        </w:rPr>
        <w:t>[1]</w:t>
      </w:r>
      <w:r w:rsidR="0056356C" w:rsidRPr="000C1E55">
        <w:rPr>
          <w:rFonts w:ascii="Calibri" w:hAnsi="Calibri" w:cs="Calibri" w:hint="eastAsia"/>
          <w:sz w:val="24"/>
        </w:rPr>
        <w:t xml:space="preserve"> </w:t>
      </w:r>
      <w:r w:rsidR="00DD3331" w:rsidRPr="000C1E55">
        <w:rPr>
          <w:rFonts w:ascii="Calibri" w:hAnsi="Calibri" w:cs="Calibri"/>
          <w:sz w:val="24"/>
        </w:rPr>
        <w:tab/>
        <w:t>S4-130264, New work item: Enhanced MBMS Operation (MI-EMO)</w:t>
      </w:r>
    </w:p>
    <w:sectPr w:rsidR="00916B92" w:rsidRPr="000C1E55" w:rsidSect="005E5A28">
      <w:head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80B" w:rsidRDefault="00FA580B"/>
  </w:endnote>
  <w:endnote w:type="continuationSeparator" w:id="0">
    <w:p w:rsidR="00FA580B" w:rsidRDefault="00FA5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80B" w:rsidRDefault="00FA580B"/>
  </w:footnote>
  <w:footnote w:type="continuationSeparator" w:id="0">
    <w:p w:rsidR="00FA580B" w:rsidRDefault="00FA58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19A" w:rsidRPr="0015619A" w:rsidRDefault="0015619A"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434CC9">
      <w:rPr>
        <w:rFonts w:ascii="Calibri" w:hAnsi="Calibri" w:cs="Calibri"/>
        <w:b/>
        <w:szCs w:val="20"/>
      </w:rPr>
      <w:t>4</w:t>
    </w:r>
    <w:r w:rsidRPr="0015619A">
      <w:rPr>
        <w:rFonts w:ascii="Calibri" w:hAnsi="Calibri" w:cs="Calibri"/>
        <w:b/>
        <w:szCs w:val="20"/>
      </w:rPr>
      <w:t xml:space="preserve"> meeting</w:t>
    </w:r>
    <w:r w:rsidR="008B4A1F">
      <w:rPr>
        <w:rFonts w:ascii="Calibri" w:hAnsi="Calibri" w:cs="Calibri" w:hint="eastAsia"/>
        <w:b/>
        <w:szCs w:val="20"/>
      </w:rPr>
      <w:t xml:space="preserve"> </w:t>
    </w:r>
    <w:r w:rsidR="008B4A1F">
      <w:rPr>
        <w:rFonts w:ascii="Calibri" w:hAnsi="Calibri" w:cs="Calibri" w:hint="eastAsia"/>
        <w:b/>
        <w:szCs w:val="20"/>
      </w:rPr>
      <w:tab/>
    </w:r>
    <w:proofErr w:type="spellStart"/>
    <w:r w:rsidRPr="0015619A">
      <w:rPr>
        <w:rFonts w:ascii="Calibri" w:hAnsi="Calibri" w:cs="Calibri"/>
        <w:b/>
        <w:i/>
        <w:szCs w:val="20"/>
      </w:rPr>
      <w:t>Tdoc</w:t>
    </w:r>
    <w:proofErr w:type="spellEnd"/>
    <w:r w:rsidRPr="0015619A">
      <w:rPr>
        <w:rFonts w:ascii="Calibri" w:hAnsi="Calibri" w:cs="Calibri"/>
        <w:b/>
        <w:i/>
        <w:szCs w:val="20"/>
      </w:rPr>
      <w:t xml:space="preserve"> S4-</w:t>
    </w:r>
    <w:r w:rsidR="00084864" w:rsidRPr="0015619A">
      <w:rPr>
        <w:rFonts w:ascii="Calibri" w:hAnsi="Calibri" w:cs="Calibri"/>
        <w:b/>
        <w:i/>
        <w:szCs w:val="20"/>
      </w:rPr>
      <w:t>1</w:t>
    </w:r>
    <w:r w:rsidR="002A56CD">
      <w:rPr>
        <w:rFonts w:ascii="Calibri" w:hAnsi="Calibri" w:cs="Calibri"/>
        <w:b/>
        <w:i/>
        <w:szCs w:val="20"/>
      </w:rPr>
      <w:t>30</w:t>
    </w:r>
    <w:r w:rsidR="00DB02F7">
      <w:rPr>
        <w:rFonts w:ascii="Calibri" w:hAnsi="Calibri" w:cs="Calibri"/>
        <w:b/>
        <w:i/>
        <w:szCs w:val="20"/>
      </w:rPr>
      <w:t>716</w:t>
    </w:r>
  </w:p>
  <w:p w:rsidR="0015619A" w:rsidRPr="00916B92" w:rsidRDefault="00434CC9" w:rsidP="008C68F2">
    <w:pPr>
      <w:tabs>
        <w:tab w:val="right" w:pos="9072"/>
      </w:tabs>
      <w:rPr>
        <w:rFonts w:ascii="Calibri" w:eastAsia="SimSun" w:hAnsi="Calibri" w:cs="Calibri"/>
        <w:szCs w:val="20"/>
      </w:rPr>
    </w:pPr>
    <w:r>
      <w:rPr>
        <w:rFonts w:ascii="Calibri" w:hAnsi="Calibri" w:cs="Calibri"/>
        <w:szCs w:val="20"/>
        <w:lang w:eastAsia="zh-CN"/>
      </w:rPr>
      <w:t>8</w:t>
    </w:r>
    <w:r w:rsidR="0015619A" w:rsidRPr="0015619A">
      <w:rPr>
        <w:rFonts w:ascii="Calibri" w:hAnsi="Calibri" w:cs="Calibri"/>
        <w:szCs w:val="20"/>
        <w:lang w:eastAsia="zh-CN"/>
      </w:rPr>
      <w:t>-</w:t>
    </w:r>
    <w:r w:rsidR="002A56CD">
      <w:rPr>
        <w:rFonts w:ascii="Calibri" w:hAnsi="Calibri" w:cs="Calibri"/>
        <w:szCs w:val="20"/>
        <w:lang w:eastAsia="zh-CN"/>
      </w:rPr>
      <w:t>1</w:t>
    </w:r>
    <w:r>
      <w:rPr>
        <w:rFonts w:ascii="Calibri" w:hAnsi="Calibri" w:cs="Calibri"/>
        <w:szCs w:val="20"/>
        <w:lang w:eastAsia="zh-CN"/>
      </w:rPr>
      <w:t>2</w:t>
    </w:r>
    <w:r w:rsidR="0015619A" w:rsidRPr="0015619A">
      <w:rPr>
        <w:rFonts w:ascii="Calibri" w:hAnsi="Calibri" w:cs="Calibri"/>
        <w:szCs w:val="20"/>
        <w:lang w:eastAsia="zh-CN"/>
      </w:rPr>
      <w:t xml:space="preserve"> </w:t>
    </w:r>
    <w:r>
      <w:rPr>
        <w:rFonts w:ascii="Calibri" w:hAnsi="Calibri" w:cs="Calibri"/>
        <w:szCs w:val="20"/>
        <w:lang w:eastAsia="zh-CN"/>
      </w:rPr>
      <w:t>July</w:t>
    </w:r>
    <w:r w:rsidR="0015619A" w:rsidRPr="0015619A">
      <w:rPr>
        <w:rFonts w:ascii="Calibri" w:hAnsi="Calibri" w:cs="Calibri"/>
        <w:szCs w:val="20"/>
        <w:lang w:eastAsia="zh-CN"/>
      </w:rPr>
      <w:t xml:space="preserve">, </w:t>
    </w:r>
    <w:r>
      <w:rPr>
        <w:rFonts w:ascii="Calibri" w:hAnsi="Calibri" w:cs="Calibri"/>
        <w:szCs w:val="20"/>
        <w:lang w:eastAsia="zh-CN"/>
      </w:rPr>
      <w:t>Dublin</w:t>
    </w:r>
    <w:r w:rsidR="0015619A" w:rsidRPr="0015619A">
      <w:rPr>
        <w:rFonts w:ascii="Calibri" w:hAnsi="Calibri" w:cs="Calibri"/>
        <w:szCs w:val="20"/>
        <w:lang w:eastAsia="zh-CN"/>
      </w:rPr>
      <w:t xml:space="preserve">, </w:t>
    </w:r>
    <w:r>
      <w:rPr>
        <w:rFonts w:ascii="Calibri" w:hAnsi="Calibri" w:cs="Calibri"/>
        <w:szCs w:val="20"/>
        <w:lang w:eastAsia="zh-CN"/>
      </w:rPr>
      <w:t>IE</w:t>
    </w:r>
    <w:r w:rsidR="0015619A" w:rsidRPr="0015619A">
      <w:rPr>
        <w:rFonts w:ascii="Calibri" w:hAnsi="Calibri" w:cs="Calibri"/>
        <w:szCs w:val="20"/>
        <w:lang w:eastAsia="zh-CN"/>
      </w:rPr>
      <w:tab/>
    </w:r>
    <w:r w:rsidR="00FC6C51">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9616135"/>
    <w:multiLevelType w:val="hybridMultilevel"/>
    <w:tmpl w:val="0052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B7C3AAF"/>
    <w:multiLevelType w:val="hybridMultilevel"/>
    <w:tmpl w:val="26DE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1"/>
  </w:num>
  <w:num w:numId="3">
    <w:abstractNumId w:val="12"/>
  </w:num>
  <w:num w:numId="4">
    <w:abstractNumId w:val="10"/>
  </w:num>
  <w:num w:numId="5">
    <w:abstractNumId w:val="5"/>
  </w:num>
  <w:num w:numId="6">
    <w:abstractNumId w:val="13"/>
  </w:num>
  <w:num w:numId="7">
    <w:abstractNumId w:val="4"/>
  </w:num>
  <w:num w:numId="8">
    <w:abstractNumId w:val="11"/>
  </w:num>
  <w:num w:numId="9">
    <w:abstractNumId w:val="11"/>
  </w:num>
  <w:num w:numId="10">
    <w:abstractNumId w:val="9"/>
  </w:num>
  <w:num w:numId="11">
    <w:abstractNumId w:val="11"/>
  </w:num>
  <w:num w:numId="12">
    <w:abstractNumId w:val="3"/>
  </w:num>
  <w:num w:numId="13">
    <w:abstractNumId w:val="11"/>
  </w:num>
  <w:num w:numId="14">
    <w:abstractNumId w:val="11"/>
  </w:num>
  <w:num w:numId="15">
    <w:abstractNumId w:val="0"/>
  </w:num>
  <w:num w:numId="16">
    <w:abstractNumId w:val="7"/>
  </w:num>
  <w:num w:numId="17">
    <w:abstractNumId w:val="1"/>
  </w:num>
  <w:num w:numId="18">
    <w:abstractNumId w:val="11"/>
  </w:num>
  <w:num w:numId="19">
    <w:abstractNumId w:val="11"/>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352B6"/>
    <w:rsid w:val="000533A1"/>
    <w:rsid w:val="00057C9C"/>
    <w:rsid w:val="00084864"/>
    <w:rsid w:val="000A339D"/>
    <w:rsid w:val="000B762B"/>
    <w:rsid w:val="000C1E55"/>
    <w:rsid w:val="000D7CD8"/>
    <w:rsid w:val="000E483F"/>
    <w:rsid w:val="000E66DB"/>
    <w:rsid w:val="00117759"/>
    <w:rsid w:val="001541CA"/>
    <w:rsid w:val="0015619A"/>
    <w:rsid w:val="001809CF"/>
    <w:rsid w:val="001C1BFF"/>
    <w:rsid w:val="001D406D"/>
    <w:rsid w:val="001D62D2"/>
    <w:rsid w:val="001D70FB"/>
    <w:rsid w:val="001F42B3"/>
    <w:rsid w:val="002041EB"/>
    <w:rsid w:val="00220E59"/>
    <w:rsid w:val="00240328"/>
    <w:rsid w:val="00270396"/>
    <w:rsid w:val="002A56CD"/>
    <w:rsid w:val="00312298"/>
    <w:rsid w:val="00316AA2"/>
    <w:rsid w:val="0032133D"/>
    <w:rsid w:val="0040048F"/>
    <w:rsid w:val="00434CC9"/>
    <w:rsid w:val="0048770D"/>
    <w:rsid w:val="00490945"/>
    <w:rsid w:val="004A2ECA"/>
    <w:rsid w:val="004B35CF"/>
    <w:rsid w:val="004D3C01"/>
    <w:rsid w:val="004E143A"/>
    <w:rsid w:val="004F3C6B"/>
    <w:rsid w:val="00522EFD"/>
    <w:rsid w:val="0054205B"/>
    <w:rsid w:val="0056356C"/>
    <w:rsid w:val="00572D11"/>
    <w:rsid w:val="00595EC5"/>
    <w:rsid w:val="005B58A0"/>
    <w:rsid w:val="005C3B80"/>
    <w:rsid w:val="005E5A28"/>
    <w:rsid w:val="00621899"/>
    <w:rsid w:val="00635558"/>
    <w:rsid w:val="00647AD4"/>
    <w:rsid w:val="0066196A"/>
    <w:rsid w:val="006B0EB0"/>
    <w:rsid w:val="006D4DF6"/>
    <w:rsid w:val="007A6127"/>
    <w:rsid w:val="007B5E68"/>
    <w:rsid w:val="007F1E93"/>
    <w:rsid w:val="0084450C"/>
    <w:rsid w:val="008B36B6"/>
    <w:rsid w:val="008B4A1F"/>
    <w:rsid w:val="008C68F2"/>
    <w:rsid w:val="00916B92"/>
    <w:rsid w:val="00954EF6"/>
    <w:rsid w:val="00984A55"/>
    <w:rsid w:val="009F1D38"/>
    <w:rsid w:val="00A65538"/>
    <w:rsid w:val="00A92EF1"/>
    <w:rsid w:val="00AC59AE"/>
    <w:rsid w:val="00B06561"/>
    <w:rsid w:val="00B21549"/>
    <w:rsid w:val="00B23CB3"/>
    <w:rsid w:val="00B354FF"/>
    <w:rsid w:val="00B54BB4"/>
    <w:rsid w:val="00B948E8"/>
    <w:rsid w:val="00BB2C78"/>
    <w:rsid w:val="00BB5D39"/>
    <w:rsid w:val="00C5363A"/>
    <w:rsid w:val="00C676A7"/>
    <w:rsid w:val="00CA2A9A"/>
    <w:rsid w:val="00CB037C"/>
    <w:rsid w:val="00D4313A"/>
    <w:rsid w:val="00D65FDE"/>
    <w:rsid w:val="00DA1369"/>
    <w:rsid w:val="00DB02F7"/>
    <w:rsid w:val="00DD3331"/>
    <w:rsid w:val="00DE2D45"/>
    <w:rsid w:val="00DE6AA3"/>
    <w:rsid w:val="00DF1611"/>
    <w:rsid w:val="00E14AE8"/>
    <w:rsid w:val="00EC124F"/>
    <w:rsid w:val="00ED0CA9"/>
    <w:rsid w:val="00EF6392"/>
    <w:rsid w:val="00F137B0"/>
    <w:rsid w:val="00F420FA"/>
    <w:rsid w:val="00F47ADE"/>
    <w:rsid w:val="00F6184E"/>
    <w:rsid w:val="00F83313"/>
    <w:rsid w:val="00FA580B"/>
    <w:rsid w:val="00FC6C51"/>
    <w:rsid w:val="00FE529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CCD3B3-F2AC-4879-960B-4A3F649D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7A2BE-7022-4384-B4BF-814954BB6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293</Words>
  <Characters>1675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Imed Bouazizi</cp:lastModifiedBy>
  <cp:revision>9</cp:revision>
  <dcterms:created xsi:type="dcterms:W3CDTF">2013-04-09T20:59:00Z</dcterms:created>
  <dcterms:modified xsi:type="dcterms:W3CDTF">2013-07-02T20:20:00Z</dcterms:modified>
</cp:coreProperties>
</file>