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245668D7"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F062FB">
        <w:rPr>
          <w:rFonts w:ascii="Arial" w:hAnsi="Arial" w:cs="Arial"/>
          <w:b/>
          <w:bCs/>
          <w:szCs w:val="24"/>
          <w:lang w:val="en-US" w:eastAsia="ja-JP"/>
        </w:rPr>
        <w:t>10.8</w:t>
      </w:r>
    </w:p>
    <w:p w14:paraId="50877FE2" w14:textId="37C98C4C"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ins w:id="0" w:author="Author">
        <w:r w:rsidR="00A141D8">
          <w:rPr>
            <w:rFonts w:ascii="Arial" w:hAnsi="Arial" w:cs="Arial"/>
            <w:szCs w:val="24"/>
            <w:lang w:val="en-US" w:eastAsia="ja-JP"/>
          </w:rPr>
          <w:t>, Interdigital</w:t>
        </w:r>
      </w:ins>
    </w:p>
    <w:p w14:paraId="7941CEF3" w14:textId="6B54C2E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 xml:space="preserve">[5G_RTP] </w:t>
      </w:r>
      <w:r w:rsidR="0056686C">
        <w:rPr>
          <w:rFonts w:ascii="Arial" w:hAnsi="Arial" w:cs="Arial"/>
          <w:b/>
          <w:szCs w:val="24"/>
          <w:lang w:val="en-US" w:eastAsia="ja-JP"/>
        </w:rPr>
        <w:t xml:space="preserve">Signaling the Usage of PDU Set and End of </w:t>
      </w:r>
      <w:proofErr w:type="gramStart"/>
      <w:r w:rsidR="0056686C">
        <w:rPr>
          <w:rFonts w:ascii="Arial" w:hAnsi="Arial" w:cs="Arial"/>
          <w:b/>
          <w:szCs w:val="24"/>
          <w:lang w:val="en-US" w:eastAsia="ja-JP"/>
        </w:rPr>
        <w:t>Burst  marking</w:t>
      </w:r>
      <w:proofErr w:type="gramEnd"/>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1" w:name="_Toc504713888"/>
      <w:r w:rsidRPr="00C112DE">
        <w:t>Introduction</w:t>
      </w:r>
    </w:p>
    <w:p w14:paraId="4B08FFC7" w14:textId="788D2E79" w:rsidR="0056686C" w:rsidRDefault="0056686C" w:rsidP="0056686C">
      <w:pPr>
        <w:rPr>
          <w:lang w:val="en-US"/>
        </w:rPr>
      </w:pPr>
      <w:r w:rsidRPr="0056686C">
        <w:rPr>
          <w:lang w:val="en-US"/>
        </w:rPr>
        <w:t>The marking of XR traffic is a mechanism that helps the network to identify XR traffic and optimize its delivery. The concept of PDU Sets has been introduced specifically for this purpose but can also be used for other types of traffic. PDU Sets are PDUs that are consumed together by the receiver, and as such should be handled together by the network.</w:t>
      </w:r>
      <w:r>
        <w:rPr>
          <w:lang w:val="en-US"/>
        </w:rPr>
        <w:t xml:space="preserve"> End of Burst (EoB) provides another tool to optimize delivery of the XR traffic by allowing for appropriate usage of </w:t>
      </w:r>
      <w:r w:rsidR="003B7234">
        <w:rPr>
          <w:lang w:val="en-US"/>
        </w:rPr>
        <w:t>Connected mode Discontinuous Reception (CDRX), in order to save power on the receiver side.</w:t>
      </w:r>
    </w:p>
    <w:p w14:paraId="60B056DE" w14:textId="130E1071" w:rsidR="003B7234" w:rsidRPr="0056686C" w:rsidRDefault="003B7234" w:rsidP="0056686C">
      <w:pPr>
        <w:rPr>
          <w:lang w:val="en-US"/>
        </w:rPr>
      </w:pPr>
      <w:r>
        <w:rPr>
          <w:lang w:val="en-US"/>
        </w:rPr>
        <w:t>The PDU Set marking is performed for RTP/SRTP traffic through the usage of an RTP header extension that is appended to the RTP packet header of each PDU of an RTP stream that has PDU Set marking activated. The UPF will be able to inspect downlink traffic and extract the information about PDU Set marking and pass it to the gNB.</w:t>
      </w:r>
    </w:p>
    <w:p w14:paraId="6AC089A2" w14:textId="6B5DEC60" w:rsidR="00F108B7" w:rsidRDefault="00F108B7" w:rsidP="001921D4">
      <w:pPr>
        <w:rPr>
          <w:lang w:val="en-US"/>
        </w:rPr>
      </w:pPr>
      <w:r>
        <w:rPr>
          <w:lang w:val="en-US"/>
        </w:rPr>
        <w:t xml:space="preserve">In this contribution, we </w:t>
      </w:r>
      <w:r w:rsidR="003B7234">
        <w:rPr>
          <w:lang w:val="en-US"/>
        </w:rPr>
        <w:t>propose two signaling mechanisms to configure PDU Set marking with the PCF, which in turn will configure the UPF</w:t>
      </w:r>
      <w:r>
        <w:rPr>
          <w:lang w:val="en-US"/>
        </w:rPr>
        <w:t>.</w:t>
      </w:r>
    </w:p>
    <w:p w14:paraId="3551B604" w14:textId="5BC92AD8" w:rsidR="00F108B7" w:rsidRDefault="00E5180B" w:rsidP="00F108B7">
      <w:pPr>
        <w:pStyle w:val="Heading1"/>
        <w:numPr>
          <w:ilvl w:val="0"/>
          <w:numId w:val="3"/>
        </w:numPr>
      </w:pPr>
      <w:r>
        <w:t>Signaling the use of PDU Set marking and EoB</w:t>
      </w:r>
    </w:p>
    <w:p w14:paraId="00AAB516" w14:textId="3C68FCDE" w:rsidR="007F6DA5" w:rsidRDefault="00E5180B" w:rsidP="00E5180B">
      <w:pPr>
        <w:pStyle w:val="Heading2"/>
        <w:numPr>
          <w:ilvl w:val="1"/>
          <w:numId w:val="25"/>
        </w:numPr>
      </w:pPr>
      <w:r w:rsidRPr="00E5180B">
        <w:t>Background</w:t>
      </w:r>
    </w:p>
    <w:p w14:paraId="1F8CCCF2" w14:textId="338F721C" w:rsidR="00E5180B" w:rsidRDefault="006E58EF" w:rsidP="00E5180B">
      <w:pPr>
        <w:rPr>
          <w:lang w:val="en-US"/>
        </w:rPr>
      </w:pPr>
      <w:r>
        <w:rPr>
          <w:lang w:val="en-US"/>
        </w:rPr>
        <w:t xml:space="preserve">The UE and the Application Server (or remote UE) negotiate the usage of PDU Set and EoB marking during the offer/answer exchange at session setup or during an update (e.g. through a SIP re-Invite). </w:t>
      </w:r>
    </w:p>
    <w:p w14:paraId="08F2DD74" w14:textId="6AF07083" w:rsidR="00D36E8C" w:rsidRDefault="00D36E8C" w:rsidP="00E5180B">
      <w:pPr>
        <w:rPr>
          <w:lang w:val="en-US"/>
        </w:rPr>
      </w:pPr>
      <w:bookmarkStart w:id="2" w:name="_Hlk131503343"/>
      <w:r>
        <w:rPr>
          <w:lang w:val="en-US"/>
        </w:rPr>
        <w:t>According to RFC8285, the negotiation of the used RTP header extensions is performed through the inclusion of the “extmap” attribute</w:t>
      </w:r>
      <w:r w:rsidR="0025419A">
        <w:rPr>
          <w:lang w:val="en-US"/>
        </w:rPr>
        <w:t xml:space="preserve">. The URN for the </w:t>
      </w:r>
      <w:r w:rsidR="00E9412D">
        <w:rPr>
          <w:lang w:val="en-US"/>
        </w:rPr>
        <w:t>PDU Set marking shall be set to “</w:t>
      </w:r>
      <w:r w:rsidR="00E9412D" w:rsidRPr="00E9412D">
        <w:rPr>
          <w:b/>
          <w:bCs/>
          <w:lang w:val="en-US"/>
        </w:rPr>
        <w:t>urn:3gpp:pdus-marking:rel-18</w:t>
      </w:r>
      <w:r w:rsidR="00E9412D">
        <w:rPr>
          <w:lang w:val="en-US"/>
        </w:rPr>
        <w:t>”.</w:t>
      </w:r>
    </w:p>
    <w:p w14:paraId="5F93322E" w14:textId="5CEEB671" w:rsidR="00E9412D" w:rsidRDefault="00B41668" w:rsidP="00E5180B">
      <w:pPr>
        <w:rPr>
          <w:lang w:val="en-US"/>
        </w:rPr>
      </w:pPr>
      <w:r>
        <w:rPr>
          <w:lang w:val="en-US"/>
        </w:rPr>
        <w:t>The following options are currently supported for an RTP stream and apply to all RTP packets of that RTP stream, throughout the lifetime of the RTP session:</w:t>
      </w:r>
    </w:p>
    <w:p w14:paraId="079C7D91" w14:textId="6216264E" w:rsidR="00B41668" w:rsidRDefault="00B41668" w:rsidP="00B41668">
      <w:pPr>
        <w:pStyle w:val="ListParagraph"/>
        <w:numPr>
          <w:ilvl w:val="0"/>
          <w:numId w:val="26"/>
        </w:numPr>
      </w:pPr>
      <w:r>
        <w:t>One-byte or two-byte header extension format identified through the extension attribute “</w:t>
      </w:r>
      <w:r w:rsidRPr="00B41668">
        <w:rPr>
          <w:b/>
          <w:bCs/>
        </w:rPr>
        <w:t>short</w:t>
      </w:r>
      <w:r>
        <w:t>” or “</w:t>
      </w:r>
      <w:r w:rsidRPr="00B41668">
        <w:rPr>
          <w:b/>
          <w:bCs/>
        </w:rPr>
        <w:t>long</w:t>
      </w:r>
      <w:r>
        <w:t>” correspondingly. If not present, the header extension format shall be deduced from the preamble bytes 0xBEDE or 0x100 (+appbits). In any case, the Application Server shall not change the format during the RTP session.</w:t>
      </w:r>
    </w:p>
    <w:p w14:paraId="1B9B5DF9" w14:textId="6ADFF293" w:rsidR="00B41668" w:rsidRDefault="00B41668" w:rsidP="00B41668">
      <w:pPr>
        <w:pStyle w:val="ListParagraph"/>
        <w:numPr>
          <w:ilvl w:val="0"/>
          <w:numId w:val="26"/>
        </w:numPr>
      </w:pPr>
      <w:r>
        <w:t>PDU Set size in bytes identified through the presence of the string flag “</w:t>
      </w:r>
      <w:r w:rsidRPr="00B41668">
        <w:rPr>
          <w:b/>
          <w:bCs/>
        </w:rPr>
        <w:t>pdu-set-size</w:t>
      </w:r>
      <w:r>
        <w:t>”. If not present, the receiver shall assume that the PDU Set Size field is not present. This leads to a shorter header extension for that RTP session.</w:t>
      </w:r>
    </w:p>
    <w:p w14:paraId="1CAE64EA" w14:textId="05AC0BA2" w:rsidR="00B41668" w:rsidRDefault="00B41668" w:rsidP="00B41668">
      <w:pPr>
        <w:pStyle w:val="ListParagraph"/>
        <w:numPr>
          <w:ilvl w:val="0"/>
          <w:numId w:val="26"/>
        </w:numPr>
      </w:pPr>
      <w:r>
        <w:lastRenderedPageBreak/>
        <w:t>End of Burst marking identified through the presence of the string flag “</w:t>
      </w:r>
      <w:r w:rsidRPr="00B41668">
        <w:rPr>
          <w:b/>
          <w:bCs/>
        </w:rPr>
        <w:t>end-of-burst</w:t>
      </w:r>
      <w:r>
        <w:t>”. When not present, the receiver shall ignore the EoB bits.</w:t>
      </w:r>
    </w:p>
    <w:p w14:paraId="647442AB" w14:textId="77777777" w:rsidR="009260B0" w:rsidRDefault="009260B0" w:rsidP="00B41668"/>
    <w:p w14:paraId="72F1563E" w14:textId="04AD5558" w:rsidR="00B41668" w:rsidRDefault="009260B0" w:rsidP="00B41668">
      <w:r>
        <w:t>The ABNF syntax for the extmap attribute is then as follows:</w:t>
      </w:r>
    </w:p>
    <w:p w14:paraId="0497B69C" w14:textId="6BE3067C" w:rsidR="009260B0" w:rsidRPr="009260B0" w:rsidRDefault="009260B0" w:rsidP="009260B0">
      <w:pPr>
        <w:ind w:firstLine="284"/>
        <w:rPr>
          <w:i/>
          <w:iCs/>
          <w:lang w:val="en-US"/>
        </w:rPr>
      </w:pPr>
      <w:r w:rsidRPr="009260B0">
        <w:rPr>
          <w:i/>
          <w:iCs/>
          <w:lang w:val="en-US"/>
        </w:rPr>
        <w:t>extmap-attr="a=extmap:" 1*5DIGIT ["/" direction] SP "urn:3gpp:pdus-marking:rel-18" SP extensionattributes</w:t>
      </w:r>
    </w:p>
    <w:p w14:paraId="0E9D32A3" w14:textId="6B0DE86E" w:rsidR="009260B0" w:rsidRPr="009260B0" w:rsidRDefault="009260B0" w:rsidP="009260B0">
      <w:pPr>
        <w:ind w:firstLine="284"/>
        <w:rPr>
          <w:i/>
          <w:iCs/>
          <w:lang w:val="en-US"/>
        </w:rPr>
      </w:pPr>
      <w:r w:rsidRPr="009260B0">
        <w:rPr>
          <w:i/>
          <w:iCs/>
          <w:lang w:val="en-US"/>
        </w:rPr>
        <w:t>extensionattributes = *3(format / "pdu-set-size" / "end-of-burst")</w:t>
      </w:r>
    </w:p>
    <w:p w14:paraId="049A9C52" w14:textId="3AEFCEB6" w:rsidR="009260B0" w:rsidRPr="00126D01" w:rsidRDefault="009260B0" w:rsidP="00126D01">
      <w:pPr>
        <w:ind w:firstLine="284"/>
        <w:rPr>
          <w:i/>
          <w:iCs/>
          <w:lang w:val="fr-FR"/>
        </w:rPr>
      </w:pPr>
      <w:r w:rsidRPr="009260B0">
        <w:rPr>
          <w:i/>
          <w:iCs/>
          <w:lang w:val="en-US"/>
        </w:rPr>
        <w:t xml:space="preserve">format = </w:t>
      </w:r>
      <w:r w:rsidRPr="009260B0">
        <w:rPr>
          <w:i/>
          <w:iCs/>
          <w:lang w:val="fr-FR"/>
        </w:rPr>
        <w:t>"short" / "long"</w:t>
      </w:r>
    </w:p>
    <w:bookmarkEnd w:id="2"/>
    <w:p w14:paraId="725E6363" w14:textId="4DC55DE4" w:rsidR="00126D01" w:rsidRDefault="00126D01" w:rsidP="00E5180B">
      <w:pPr>
        <w:pStyle w:val="Heading2"/>
        <w:numPr>
          <w:ilvl w:val="1"/>
          <w:numId w:val="25"/>
        </w:numPr>
      </w:pPr>
      <w:r>
        <w:t>Configuration by the AF</w:t>
      </w:r>
    </w:p>
    <w:p w14:paraId="6292B583" w14:textId="77777777" w:rsidR="00E60008" w:rsidRDefault="00126D01" w:rsidP="00126D01">
      <w:pPr>
        <w:rPr>
          <w:lang w:val="en-US"/>
        </w:rPr>
      </w:pPr>
      <w:r>
        <w:rPr>
          <w:lang w:val="en-US"/>
        </w:rPr>
        <w:t xml:space="preserve">The AF uses the N5 </w:t>
      </w:r>
      <w:r w:rsidR="009A7C91">
        <w:rPr>
          <w:lang w:val="en-US"/>
        </w:rPr>
        <w:t xml:space="preserve">Npcf_PolicyAuthorization </w:t>
      </w:r>
      <w:r w:rsidR="00E60008">
        <w:rPr>
          <w:lang w:val="en-US"/>
        </w:rPr>
        <w:t xml:space="preserve">(TS29.514) </w:t>
      </w:r>
      <w:r w:rsidR="009A7C91">
        <w:rPr>
          <w:lang w:val="en-US"/>
        </w:rPr>
        <w:t>procedure or the N33 Nnef_AFSessionWithQoS</w:t>
      </w:r>
      <w:r w:rsidR="00E60008">
        <w:rPr>
          <w:lang w:val="en-US"/>
        </w:rPr>
        <w:t xml:space="preserve"> (TS29.122)</w:t>
      </w:r>
      <w:r w:rsidR="009A7C91">
        <w:rPr>
          <w:lang w:val="en-US"/>
        </w:rPr>
        <w:t xml:space="preserve"> procedure to request QoS allocation for the session.</w:t>
      </w:r>
      <w:r w:rsidR="00E60008">
        <w:rPr>
          <w:lang w:val="en-US"/>
        </w:rPr>
        <w:t xml:space="preserve"> </w:t>
      </w:r>
    </w:p>
    <w:p w14:paraId="2A7786EB" w14:textId="058CE736" w:rsidR="00126D01" w:rsidRDefault="00E60008" w:rsidP="00126D01">
      <w:pPr>
        <w:rPr>
          <w:lang w:val="en-US"/>
        </w:rPr>
      </w:pPr>
      <w:r>
        <w:rPr>
          <w:lang w:val="en-US"/>
        </w:rPr>
        <w:t>These methods are extended to add support for signaling the PDU Set and EoB marking to the PCF.</w:t>
      </w:r>
      <w:r w:rsidR="000B39BB">
        <w:rPr>
          <w:lang w:val="en-US"/>
        </w:rPr>
        <w:t xml:space="preserve"> </w:t>
      </w:r>
    </w:p>
    <w:p w14:paraId="1C9E0921" w14:textId="0C6DEAF7" w:rsidR="000B39BB" w:rsidRDefault="000B39BB" w:rsidP="00126D01">
      <w:pPr>
        <w:rPr>
          <w:lang w:val="en-US"/>
        </w:rPr>
      </w:pPr>
      <w:r>
        <w:rPr>
          <w:lang w:val="en-US"/>
        </w:rPr>
        <w:t>The MediaSubComponent data type is extended as follows: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0B39BB" w14:paraId="404B2E6D" w14:textId="77777777" w:rsidTr="00A07D5D">
        <w:trPr>
          <w:cantSplit/>
          <w:tblHeader/>
          <w:jc w:val="center"/>
        </w:trPr>
        <w:tc>
          <w:tcPr>
            <w:tcW w:w="1609" w:type="dxa"/>
            <w:shd w:val="clear" w:color="auto" w:fill="C0C0C0"/>
            <w:hideMark/>
          </w:tcPr>
          <w:p w14:paraId="56AA55E1" w14:textId="77777777" w:rsidR="000B39BB" w:rsidRDefault="000B39BB" w:rsidP="00A07D5D">
            <w:pPr>
              <w:pStyle w:val="TAH"/>
            </w:pPr>
            <w:r>
              <w:t>Attribute name</w:t>
            </w:r>
          </w:p>
        </w:tc>
        <w:tc>
          <w:tcPr>
            <w:tcW w:w="1800" w:type="dxa"/>
            <w:shd w:val="clear" w:color="auto" w:fill="C0C0C0"/>
            <w:hideMark/>
          </w:tcPr>
          <w:p w14:paraId="5FAD8B14" w14:textId="77777777" w:rsidR="000B39BB" w:rsidRDefault="000B39BB" w:rsidP="00A07D5D">
            <w:pPr>
              <w:pStyle w:val="TAH"/>
            </w:pPr>
            <w:r>
              <w:t>Data type</w:t>
            </w:r>
          </w:p>
        </w:tc>
        <w:tc>
          <w:tcPr>
            <w:tcW w:w="360" w:type="dxa"/>
            <w:shd w:val="clear" w:color="auto" w:fill="C0C0C0"/>
            <w:hideMark/>
          </w:tcPr>
          <w:p w14:paraId="1FBD5F26" w14:textId="77777777" w:rsidR="000B39BB" w:rsidRDefault="000B39BB" w:rsidP="00A07D5D">
            <w:pPr>
              <w:pStyle w:val="TAH"/>
            </w:pPr>
            <w:r>
              <w:t>P</w:t>
            </w:r>
          </w:p>
        </w:tc>
        <w:tc>
          <w:tcPr>
            <w:tcW w:w="1170" w:type="dxa"/>
            <w:shd w:val="clear" w:color="auto" w:fill="C0C0C0"/>
            <w:hideMark/>
          </w:tcPr>
          <w:p w14:paraId="3EF80953" w14:textId="77777777" w:rsidR="000B39BB" w:rsidRDefault="000B39BB" w:rsidP="00A07D5D">
            <w:pPr>
              <w:pStyle w:val="TAH"/>
            </w:pPr>
            <w:r>
              <w:t>Cardinality</w:t>
            </w:r>
          </w:p>
        </w:tc>
        <w:tc>
          <w:tcPr>
            <w:tcW w:w="3330" w:type="dxa"/>
            <w:shd w:val="clear" w:color="auto" w:fill="C0C0C0"/>
            <w:hideMark/>
          </w:tcPr>
          <w:p w14:paraId="4C8A8ACC" w14:textId="77777777" w:rsidR="000B39BB" w:rsidRDefault="000B39BB" w:rsidP="00A07D5D">
            <w:pPr>
              <w:pStyle w:val="TAH"/>
              <w:rPr>
                <w:rFonts w:cs="Arial"/>
                <w:szCs w:val="18"/>
              </w:rPr>
            </w:pPr>
            <w:r>
              <w:rPr>
                <w:rFonts w:cs="Arial"/>
                <w:szCs w:val="18"/>
              </w:rPr>
              <w:t>Description</w:t>
            </w:r>
          </w:p>
        </w:tc>
        <w:tc>
          <w:tcPr>
            <w:tcW w:w="1350" w:type="dxa"/>
            <w:shd w:val="clear" w:color="auto" w:fill="C0C0C0"/>
          </w:tcPr>
          <w:p w14:paraId="79FB7F2F" w14:textId="77777777" w:rsidR="000B39BB" w:rsidRDefault="000B39BB" w:rsidP="00A07D5D">
            <w:pPr>
              <w:pStyle w:val="TAH"/>
              <w:rPr>
                <w:rFonts w:cs="Arial"/>
                <w:szCs w:val="18"/>
              </w:rPr>
            </w:pPr>
            <w:r>
              <w:rPr>
                <w:rFonts w:cs="Arial"/>
                <w:szCs w:val="18"/>
              </w:rPr>
              <w:t>Applicability</w:t>
            </w:r>
          </w:p>
        </w:tc>
      </w:tr>
      <w:tr w:rsidR="000B39BB" w14:paraId="6717133B" w14:textId="77777777" w:rsidTr="00A07D5D">
        <w:trPr>
          <w:cantSplit/>
          <w:jc w:val="center"/>
        </w:trPr>
        <w:tc>
          <w:tcPr>
            <w:tcW w:w="1609" w:type="dxa"/>
          </w:tcPr>
          <w:p w14:paraId="1F40EB49" w14:textId="77777777" w:rsidR="000B39BB" w:rsidRDefault="000B39BB" w:rsidP="00A07D5D">
            <w:pPr>
              <w:pStyle w:val="TAL"/>
            </w:pPr>
            <w:r>
              <w:t>afSigProtocol</w:t>
            </w:r>
          </w:p>
        </w:tc>
        <w:tc>
          <w:tcPr>
            <w:tcW w:w="1800" w:type="dxa"/>
          </w:tcPr>
          <w:p w14:paraId="188F0146" w14:textId="77777777" w:rsidR="000B39BB" w:rsidRDefault="000B39BB" w:rsidP="00A07D5D">
            <w:pPr>
              <w:pStyle w:val="TAL"/>
            </w:pPr>
            <w:r>
              <w:t>AfSigProtocol</w:t>
            </w:r>
          </w:p>
        </w:tc>
        <w:tc>
          <w:tcPr>
            <w:tcW w:w="360" w:type="dxa"/>
          </w:tcPr>
          <w:p w14:paraId="4130A549" w14:textId="77777777" w:rsidR="000B39BB" w:rsidRDefault="000B39BB" w:rsidP="00A07D5D">
            <w:pPr>
              <w:pStyle w:val="TAC"/>
            </w:pPr>
            <w:r>
              <w:t>O</w:t>
            </w:r>
          </w:p>
        </w:tc>
        <w:tc>
          <w:tcPr>
            <w:tcW w:w="1170" w:type="dxa"/>
          </w:tcPr>
          <w:p w14:paraId="0241A69C" w14:textId="77777777" w:rsidR="000B39BB" w:rsidRDefault="000B39BB" w:rsidP="00A07D5D">
            <w:pPr>
              <w:pStyle w:val="TAC"/>
            </w:pPr>
            <w:r>
              <w:t>0..1</w:t>
            </w:r>
          </w:p>
        </w:tc>
        <w:tc>
          <w:tcPr>
            <w:tcW w:w="3330" w:type="dxa"/>
          </w:tcPr>
          <w:p w14:paraId="2BA14DEB" w14:textId="77777777" w:rsidR="000B39BB" w:rsidRDefault="000B39BB" w:rsidP="00A07D5D">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"flowUsage" attribute is set to the value "AF_SIGNALLING".</w:t>
            </w:r>
          </w:p>
        </w:tc>
        <w:tc>
          <w:tcPr>
            <w:tcW w:w="1350" w:type="dxa"/>
          </w:tcPr>
          <w:p w14:paraId="66370065" w14:textId="77777777" w:rsidR="000B39BB" w:rsidRDefault="000B39BB" w:rsidP="00A07D5D">
            <w:pPr>
              <w:pStyle w:val="TAL"/>
              <w:rPr>
                <w:rFonts w:cs="Arial"/>
                <w:szCs w:val="18"/>
              </w:rPr>
            </w:pPr>
            <w:r>
              <w:rPr>
                <w:rFonts w:cs="Arial"/>
                <w:szCs w:val="18"/>
              </w:rPr>
              <w:t>ProvAFsignalFlow</w:t>
            </w:r>
          </w:p>
        </w:tc>
      </w:tr>
      <w:tr w:rsidR="000B39BB" w14:paraId="4A516822" w14:textId="77777777" w:rsidTr="00A07D5D">
        <w:trPr>
          <w:cantSplit/>
          <w:jc w:val="center"/>
        </w:trPr>
        <w:tc>
          <w:tcPr>
            <w:tcW w:w="1609" w:type="dxa"/>
          </w:tcPr>
          <w:p w14:paraId="7B49B7E4" w14:textId="77777777" w:rsidR="000B39BB" w:rsidRDefault="000B39BB" w:rsidP="00A07D5D">
            <w:pPr>
              <w:pStyle w:val="TAL"/>
            </w:pPr>
            <w:r>
              <w:t>ethfDescs</w:t>
            </w:r>
          </w:p>
        </w:tc>
        <w:tc>
          <w:tcPr>
            <w:tcW w:w="1800" w:type="dxa"/>
          </w:tcPr>
          <w:p w14:paraId="56209086" w14:textId="77777777" w:rsidR="000B39BB" w:rsidRDefault="000B39BB" w:rsidP="00A07D5D">
            <w:pPr>
              <w:pStyle w:val="TAL"/>
            </w:pPr>
            <w:r>
              <w:t>array(EthFlowDescription)</w:t>
            </w:r>
          </w:p>
        </w:tc>
        <w:tc>
          <w:tcPr>
            <w:tcW w:w="360" w:type="dxa"/>
          </w:tcPr>
          <w:p w14:paraId="3A5557B2" w14:textId="77777777" w:rsidR="000B39BB" w:rsidRDefault="000B39BB" w:rsidP="00A07D5D">
            <w:pPr>
              <w:pStyle w:val="TAC"/>
            </w:pPr>
            <w:r>
              <w:t>O</w:t>
            </w:r>
          </w:p>
        </w:tc>
        <w:tc>
          <w:tcPr>
            <w:tcW w:w="1170" w:type="dxa"/>
          </w:tcPr>
          <w:p w14:paraId="77121A88" w14:textId="77777777" w:rsidR="000B39BB" w:rsidRDefault="000B39BB" w:rsidP="00A07D5D">
            <w:pPr>
              <w:pStyle w:val="TAC"/>
            </w:pPr>
            <w:r>
              <w:t>1..2</w:t>
            </w:r>
          </w:p>
        </w:tc>
        <w:tc>
          <w:tcPr>
            <w:tcW w:w="3330" w:type="dxa"/>
          </w:tcPr>
          <w:p w14:paraId="0C90CF91" w14:textId="77777777" w:rsidR="000B39BB" w:rsidRDefault="000B39BB" w:rsidP="00A07D5D">
            <w:pPr>
              <w:pStyle w:val="TAL"/>
              <w:rPr>
                <w:rFonts w:cs="Arial"/>
                <w:szCs w:val="18"/>
              </w:rPr>
            </w:pPr>
            <w:r>
              <w:rPr>
                <w:rFonts w:cs="Arial"/>
                <w:szCs w:val="18"/>
              </w:rPr>
              <w:t>Contains the flow description for the Uplink and/or Downlink Ethernet flows.</w:t>
            </w:r>
          </w:p>
        </w:tc>
        <w:tc>
          <w:tcPr>
            <w:tcW w:w="1350" w:type="dxa"/>
          </w:tcPr>
          <w:p w14:paraId="2A77A067" w14:textId="77777777" w:rsidR="000B39BB" w:rsidRDefault="000B39BB" w:rsidP="00A07D5D">
            <w:pPr>
              <w:pStyle w:val="TAL"/>
              <w:rPr>
                <w:rFonts w:cs="Arial"/>
                <w:szCs w:val="18"/>
              </w:rPr>
            </w:pPr>
          </w:p>
        </w:tc>
      </w:tr>
      <w:tr w:rsidR="000B39BB" w14:paraId="5F2E0BF9" w14:textId="77777777" w:rsidTr="00A07D5D">
        <w:trPr>
          <w:cantSplit/>
          <w:jc w:val="center"/>
        </w:trPr>
        <w:tc>
          <w:tcPr>
            <w:tcW w:w="1609" w:type="dxa"/>
          </w:tcPr>
          <w:p w14:paraId="3014BC97" w14:textId="77777777" w:rsidR="000B39BB" w:rsidRDefault="000B39BB" w:rsidP="00A07D5D">
            <w:pPr>
              <w:pStyle w:val="TAL"/>
            </w:pPr>
            <w:r>
              <w:t>fNum</w:t>
            </w:r>
          </w:p>
        </w:tc>
        <w:tc>
          <w:tcPr>
            <w:tcW w:w="1800" w:type="dxa"/>
          </w:tcPr>
          <w:p w14:paraId="2693B756" w14:textId="77777777" w:rsidR="000B39BB" w:rsidRDefault="000B39BB" w:rsidP="00A07D5D">
            <w:pPr>
              <w:pStyle w:val="TAL"/>
            </w:pPr>
            <w:r>
              <w:t>integer</w:t>
            </w:r>
          </w:p>
        </w:tc>
        <w:tc>
          <w:tcPr>
            <w:tcW w:w="360" w:type="dxa"/>
          </w:tcPr>
          <w:p w14:paraId="0BED26DA" w14:textId="77777777" w:rsidR="000B39BB" w:rsidRDefault="000B39BB" w:rsidP="00A07D5D">
            <w:pPr>
              <w:pStyle w:val="TAC"/>
            </w:pPr>
            <w:r>
              <w:t>M</w:t>
            </w:r>
          </w:p>
        </w:tc>
        <w:tc>
          <w:tcPr>
            <w:tcW w:w="1170" w:type="dxa"/>
          </w:tcPr>
          <w:p w14:paraId="23F82D0C" w14:textId="77777777" w:rsidR="000B39BB" w:rsidRDefault="000B39BB" w:rsidP="00A07D5D">
            <w:pPr>
              <w:pStyle w:val="TAC"/>
            </w:pPr>
            <w:r>
              <w:t>1</w:t>
            </w:r>
          </w:p>
        </w:tc>
        <w:tc>
          <w:tcPr>
            <w:tcW w:w="3330" w:type="dxa"/>
          </w:tcPr>
          <w:p w14:paraId="02E4F383" w14:textId="77777777" w:rsidR="000B39BB" w:rsidRDefault="000B39BB" w:rsidP="00A07D5D">
            <w:pPr>
              <w:pStyle w:val="TAL"/>
              <w:rPr>
                <w:rFonts w:cs="Arial"/>
                <w:szCs w:val="18"/>
              </w:rPr>
            </w:pPr>
            <w:r>
              <w:rPr>
                <w:rFonts w:cs="Arial"/>
                <w:szCs w:val="18"/>
              </w:rPr>
              <w:t>Identifies the ordinal number of the service data flow.</w:t>
            </w:r>
          </w:p>
        </w:tc>
        <w:tc>
          <w:tcPr>
            <w:tcW w:w="1350" w:type="dxa"/>
          </w:tcPr>
          <w:p w14:paraId="245EAD60" w14:textId="77777777" w:rsidR="000B39BB" w:rsidRDefault="000B39BB" w:rsidP="00A07D5D">
            <w:pPr>
              <w:pStyle w:val="TAL"/>
              <w:rPr>
                <w:rFonts w:cs="Arial"/>
                <w:szCs w:val="18"/>
              </w:rPr>
            </w:pPr>
          </w:p>
        </w:tc>
      </w:tr>
      <w:tr w:rsidR="000B39BB" w14:paraId="07D80DD6" w14:textId="77777777" w:rsidTr="00A07D5D">
        <w:trPr>
          <w:cantSplit/>
          <w:jc w:val="center"/>
        </w:trPr>
        <w:tc>
          <w:tcPr>
            <w:tcW w:w="1609" w:type="dxa"/>
          </w:tcPr>
          <w:p w14:paraId="048E46F9" w14:textId="77777777" w:rsidR="000B39BB" w:rsidRDefault="000B39BB" w:rsidP="00A07D5D">
            <w:pPr>
              <w:pStyle w:val="TAL"/>
            </w:pPr>
            <w:r>
              <w:t>fDescs</w:t>
            </w:r>
          </w:p>
        </w:tc>
        <w:tc>
          <w:tcPr>
            <w:tcW w:w="1800" w:type="dxa"/>
          </w:tcPr>
          <w:p w14:paraId="61456711" w14:textId="77777777" w:rsidR="000B39BB" w:rsidRDefault="000B39BB" w:rsidP="00A07D5D">
            <w:pPr>
              <w:pStyle w:val="TAL"/>
            </w:pPr>
            <w:r>
              <w:t>array(FlowDescription)</w:t>
            </w:r>
          </w:p>
        </w:tc>
        <w:tc>
          <w:tcPr>
            <w:tcW w:w="360" w:type="dxa"/>
          </w:tcPr>
          <w:p w14:paraId="3E8FE240" w14:textId="77777777" w:rsidR="000B39BB" w:rsidRDefault="000B39BB" w:rsidP="00A07D5D">
            <w:pPr>
              <w:pStyle w:val="TAC"/>
            </w:pPr>
            <w:r>
              <w:t>O</w:t>
            </w:r>
          </w:p>
        </w:tc>
        <w:tc>
          <w:tcPr>
            <w:tcW w:w="1170" w:type="dxa"/>
          </w:tcPr>
          <w:p w14:paraId="30E77A62" w14:textId="77777777" w:rsidR="000B39BB" w:rsidRDefault="000B39BB" w:rsidP="00A07D5D">
            <w:pPr>
              <w:pStyle w:val="TAC"/>
            </w:pPr>
            <w:r>
              <w:t>1..2</w:t>
            </w:r>
          </w:p>
        </w:tc>
        <w:tc>
          <w:tcPr>
            <w:tcW w:w="3330" w:type="dxa"/>
          </w:tcPr>
          <w:p w14:paraId="3B4EBFDE" w14:textId="77777777" w:rsidR="000B39BB" w:rsidRDefault="000B39BB" w:rsidP="00A07D5D">
            <w:pPr>
              <w:pStyle w:val="TAL"/>
              <w:rPr>
                <w:rFonts w:cs="Arial"/>
                <w:szCs w:val="18"/>
              </w:rPr>
            </w:pPr>
            <w:r>
              <w:rPr>
                <w:rFonts w:cs="Arial"/>
                <w:szCs w:val="18"/>
              </w:rPr>
              <w:t>Contains the flow description for the Uplink and/or Downlink IP flows.</w:t>
            </w:r>
          </w:p>
        </w:tc>
        <w:tc>
          <w:tcPr>
            <w:tcW w:w="1350" w:type="dxa"/>
          </w:tcPr>
          <w:p w14:paraId="57237F50" w14:textId="77777777" w:rsidR="000B39BB" w:rsidRDefault="000B39BB" w:rsidP="00A07D5D">
            <w:pPr>
              <w:pStyle w:val="TAL"/>
              <w:rPr>
                <w:rFonts w:cs="Arial"/>
                <w:szCs w:val="18"/>
              </w:rPr>
            </w:pPr>
          </w:p>
        </w:tc>
      </w:tr>
      <w:tr w:rsidR="000B39BB" w14:paraId="0A6EAE5A" w14:textId="77777777" w:rsidTr="00A07D5D">
        <w:trPr>
          <w:cantSplit/>
          <w:jc w:val="center"/>
        </w:trPr>
        <w:tc>
          <w:tcPr>
            <w:tcW w:w="1609" w:type="dxa"/>
          </w:tcPr>
          <w:p w14:paraId="06978231" w14:textId="77777777" w:rsidR="000B39BB" w:rsidRDefault="000B39BB" w:rsidP="00A07D5D">
            <w:pPr>
              <w:pStyle w:val="TAL"/>
            </w:pPr>
            <w:r>
              <w:t>fStatus</w:t>
            </w:r>
          </w:p>
        </w:tc>
        <w:tc>
          <w:tcPr>
            <w:tcW w:w="1800" w:type="dxa"/>
          </w:tcPr>
          <w:p w14:paraId="7D6A5528" w14:textId="77777777" w:rsidR="000B39BB" w:rsidRDefault="000B39BB" w:rsidP="00A07D5D">
            <w:pPr>
              <w:pStyle w:val="TAL"/>
            </w:pPr>
            <w:r>
              <w:t>FlowStatus</w:t>
            </w:r>
          </w:p>
        </w:tc>
        <w:tc>
          <w:tcPr>
            <w:tcW w:w="360" w:type="dxa"/>
          </w:tcPr>
          <w:p w14:paraId="7351EB0C" w14:textId="77777777" w:rsidR="000B39BB" w:rsidRDefault="000B39BB" w:rsidP="00A07D5D">
            <w:pPr>
              <w:pStyle w:val="TAC"/>
            </w:pPr>
            <w:r>
              <w:t>O</w:t>
            </w:r>
          </w:p>
        </w:tc>
        <w:tc>
          <w:tcPr>
            <w:tcW w:w="1170" w:type="dxa"/>
          </w:tcPr>
          <w:p w14:paraId="28B30D98" w14:textId="77777777" w:rsidR="000B39BB" w:rsidRDefault="000B39BB" w:rsidP="00A07D5D">
            <w:pPr>
              <w:pStyle w:val="TAC"/>
            </w:pPr>
            <w:r>
              <w:t>0..1</w:t>
            </w:r>
          </w:p>
        </w:tc>
        <w:tc>
          <w:tcPr>
            <w:tcW w:w="3330" w:type="dxa"/>
          </w:tcPr>
          <w:p w14:paraId="781D38C9" w14:textId="77777777" w:rsidR="000B39BB" w:rsidRDefault="000B39BB" w:rsidP="00A07D5D">
            <w:pPr>
              <w:pStyle w:val="TAL"/>
              <w:rPr>
                <w:rFonts w:cs="Arial"/>
                <w:szCs w:val="18"/>
              </w:rPr>
            </w:pPr>
            <w:r>
              <w:rPr>
                <w:rFonts w:cs="Arial"/>
                <w:szCs w:val="18"/>
              </w:rPr>
              <w:t>Indicates whether the status of the service data flows is enabled or disabled.</w:t>
            </w:r>
          </w:p>
        </w:tc>
        <w:tc>
          <w:tcPr>
            <w:tcW w:w="1350" w:type="dxa"/>
          </w:tcPr>
          <w:p w14:paraId="14187C8B" w14:textId="77777777" w:rsidR="000B39BB" w:rsidRDefault="000B39BB" w:rsidP="00A07D5D">
            <w:pPr>
              <w:pStyle w:val="TAL"/>
              <w:rPr>
                <w:rFonts w:cs="Arial"/>
                <w:szCs w:val="18"/>
              </w:rPr>
            </w:pPr>
          </w:p>
        </w:tc>
      </w:tr>
      <w:tr w:rsidR="000B39BB" w14:paraId="67B9ECC3" w14:textId="77777777" w:rsidTr="00A07D5D">
        <w:trPr>
          <w:cantSplit/>
          <w:jc w:val="center"/>
        </w:trPr>
        <w:tc>
          <w:tcPr>
            <w:tcW w:w="1609" w:type="dxa"/>
          </w:tcPr>
          <w:p w14:paraId="53235B9B" w14:textId="77777777" w:rsidR="000B39BB" w:rsidRDefault="000B39BB" w:rsidP="00A07D5D">
            <w:pPr>
              <w:pStyle w:val="TAL"/>
            </w:pPr>
            <w:r>
              <w:t>flowUsage</w:t>
            </w:r>
          </w:p>
        </w:tc>
        <w:tc>
          <w:tcPr>
            <w:tcW w:w="1800" w:type="dxa"/>
          </w:tcPr>
          <w:p w14:paraId="0E7E29E5" w14:textId="77777777" w:rsidR="000B39BB" w:rsidRDefault="000B39BB" w:rsidP="00A07D5D">
            <w:pPr>
              <w:pStyle w:val="TAL"/>
            </w:pPr>
            <w:r>
              <w:t>FlowUsage</w:t>
            </w:r>
          </w:p>
        </w:tc>
        <w:tc>
          <w:tcPr>
            <w:tcW w:w="360" w:type="dxa"/>
          </w:tcPr>
          <w:p w14:paraId="1919EED7" w14:textId="77777777" w:rsidR="000B39BB" w:rsidRDefault="000B39BB" w:rsidP="00A07D5D">
            <w:pPr>
              <w:pStyle w:val="TAC"/>
            </w:pPr>
            <w:r>
              <w:t>O</w:t>
            </w:r>
          </w:p>
        </w:tc>
        <w:tc>
          <w:tcPr>
            <w:tcW w:w="1170" w:type="dxa"/>
          </w:tcPr>
          <w:p w14:paraId="12EC6DDF" w14:textId="77777777" w:rsidR="000B39BB" w:rsidRDefault="000B39BB" w:rsidP="00A07D5D">
            <w:pPr>
              <w:pStyle w:val="TAC"/>
            </w:pPr>
            <w:r>
              <w:t>0..1</w:t>
            </w:r>
          </w:p>
        </w:tc>
        <w:tc>
          <w:tcPr>
            <w:tcW w:w="3330" w:type="dxa"/>
          </w:tcPr>
          <w:p w14:paraId="133FCD98" w14:textId="77777777" w:rsidR="000B39BB" w:rsidRDefault="000B39BB" w:rsidP="00A07D5D">
            <w:pPr>
              <w:pStyle w:val="TAL"/>
              <w:rPr>
                <w:rFonts w:cs="Arial"/>
                <w:szCs w:val="18"/>
              </w:rPr>
            </w:pPr>
            <w:r>
              <w:rPr>
                <w:rFonts w:cs="Arial"/>
                <w:szCs w:val="18"/>
              </w:rPr>
              <w:t>Flow usage of the flows (e.g. RTCP, AF signalling).</w:t>
            </w:r>
          </w:p>
        </w:tc>
        <w:tc>
          <w:tcPr>
            <w:tcW w:w="1350" w:type="dxa"/>
          </w:tcPr>
          <w:p w14:paraId="11BF01EF" w14:textId="77777777" w:rsidR="000B39BB" w:rsidRDefault="000B39BB" w:rsidP="00A07D5D">
            <w:pPr>
              <w:pStyle w:val="TAL"/>
              <w:rPr>
                <w:rFonts w:cs="Arial"/>
                <w:szCs w:val="18"/>
              </w:rPr>
            </w:pPr>
          </w:p>
        </w:tc>
      </w:tr>
      <w:tr w:rsidR="000B39BB" w14:paraId="1094C4F6" w14:textId="77777777" w:rsidTr="00A07D5D">
        <w:trPr>
          <w:cantSplit/>
          <w:jc w:val="center"/>
        </w:trPr>
        <w:tc>
          <w:tcPr>
            <w:tcW w:w="1609" w:type="dxa"/>
          </w:tcPr>
          <w:p w14:paraId="62BCE4DB" w14:textId="77777777" w:rsidR="000B39BB" w:rsidRDefault="000B39BB" w:rsidP="00A07D5D">
            <w:pPr>
              <w:pStyle w:val="TAL"/>
            </w:pPr>
            <w:r>
              <w:t>marBwUl</w:t>
            </w:r>
          </w:p>
        </w:tc>
        <w:tc>
          <w:tcPr>
            <w:tcW w:w="1800" w:type="dxa"/>
          </w:tcPr>
          <w:p w14:paraId="03A4949B" w14:textId="77777777" w:rsidR="000B39BB" w:rsidRDefault="000B39BB" w:rsidP="00A07D5D">
            <w:pPr>
              <w:pStyle w:val="TAL"/>
            </w:pPr>
            <w:r>
              <w:t>BitRate</w:t>
            </w:r>
          </w:p>
        </w:tc>
        <w:tc>
          <w:tcPr>
            <w:tcW w:w="360" w:type="dxa"/>
          </w:tcPr>
          <w:p w14:paraId="5BE5B920" w14:textId="77777777" w:rsidR="000B39BB" w:rsidRDefault="000B39BB" w:rsidP="00A07D5D">
            <w:pPr>
              <w:pStyle w:val="TAC"/>
            </w:pPr>
            <w:r>
              <w:t>O</w:t>
            </w:r>
          </w:p>
        </w:tc>
        <w:tc>
          <w:tcPr>
            <w:tcW w:w="1170" w:type="dxa"/>
          </w:tcPr>
          <w:p w14:paraId="16FBF105" w14:textId="77777777" w:rsidR="000B39BB" w:rsidRDefault="000B39BB" w:rsidP="00A07D5D">
            <w:pPr>
              <w:pStyle w:val="TAC"/>
            </w:pPr>
            <w:r>
              <w:t>0..1</w:t>
            </w:r>
          </w:p>
        </w:tc>
        <w:tc>
          <w:tcPr>
            <w:tcW w:w="3330" w:type="dxa"/>
          </w:tcPr>
          <w:p w14:paraId="5A5A11F9" w14:textId="77777777" w:rsidR="000B39BB" w:rsidRDefault="000B39BB" w:rsidP="00A07D5D">
            <w:pPr>
              <w:pStyle w:val="TAL"/>
              <w:rPr>
                <w:rFonts w:cs="Arial"/>
                <w:szCs w:val="18"/>
              </w:rPr>
            </w:pPr>
            <w:r>
              <w:rPr>
                <w:rFonts w:cs="Arial"/>
                <w:szCs w:val="18"/>
              </w:rPr>
              <w:t>Maximum requested bandwidth for the Uplink.</w:t>
            </w:r>
          </w:p>
        </w:tc>
        <w:tc>
          <w:tcPr>
            <w:tcW w:w="1350" w:type="dxa"/>
          </w:tcPr>
          <w:p w14:paraId="4C707066" w14:textId="77777777" w:rsidR="000B39BB" w:rsidRDefault="000B39BB" w:rsidP="00A07D5D">
            <w:pPr>
              <w:pStyle w:val="TAL"/>
              <w:rPr>
                <w:rFonts w:cs="Arial"/>
                <w:szCs w:val="18"/>
              </w:rPr>
            </w:pPr>
          </w:p>
        </w:tc>
      </w:tr>
      <w:tr w:rsidR="000B39BB" w14:paraId="3FEF2D5D" w14:textId="77777777" w:rsidTr="00A07D5D">
        <w:trPr>
          <w:cantSplit/>
          <w:jc w:val="center"/>
        </w:trPr>
        <w:tc>
          <w:tcPr>
            <w:tcW w:w="1609" w:type="dxa"/>
          </w:tcPr>
          <w:p w14:paraId="3654C4EB" w14:textId="77777777" w:rsidR="000B39BB" w:rsidRDefault="000B39BB" w:rsidP="00A07D5D">
            <w:pPr>
              <w:pStyle w:val="TAL"/>
            </w:pPr>
            <w:r>
              <w:t>marBwDl</w:t>
            </w:r>
          </w:p>
        </w:tc>
        <w:tc>
          <w:tcPr>
            <w:tcW w:w="1800" w:type="dxa"/>
          </w:tcPr>
          <w:p w14:paraId="6D134402" w14:textId="77777777" w:rsidR="000B39BB" w:rsidRDefault="000B39BB" w:rsidP="00A07D5D">
            <w:pPr>
              <w:pStyle w:val="TAL"/>
            </w:pPr>
            <w:r>
              <w:t>BitRate</w:t>
            </w:r>
          </w:p>
        </w:tc>
        <w:tc>
          <w:tcPr>
            <w:tcW w:w="360" w:type="dxa"/>
          </w:tcPr>
          <w:p w14:paraId="1724FC5C" w14:textId="77777777" w:rsidR="000B39BB" w:rsidRDefault="000B39BB" w:rsidP="00A07D5D">
            <w:pPr>
              <w:pStyle w:val="TAC"/>
            </w:pPr>
            <w:r>
              <w:t>O</w:t>
            </w:r>
          </w:p>
        </w:tc>
        <w:tc>
          <w:tcPr>
            <w:tcW w:w="1170" w:type="dxa"/>
          </w:tcPr>
          <w:p w14:paraId="00F2242D" w14:textId="77777777" w:rsidR="000B39BB" w:rsidRDefault="000B39BB" w:rsidP="00A07D5D">
            <w:pPr>
              <w:pStyle w:val="TAC"/>
            </w:pPr>
            <w:r>
              <w:t>0..1</w:t>
            </w:r>
          </w:p>
        </w:tc>
        <w:tc>
          <w:tcPr>
            <w:tcW w:w="3330" w:type="dxa"/>
          </w:tcPr>
          <w:p w14:paraId="64628226" w14:textId="77777777" w:rsidR="000B39BB" w:rsidRDefault="000B39BB" w:rsidP="00A07D5D">
            <w:pPr>
              <w:pStyle w:val="TAL"/>
              <w:rPr>
                <w:rFonts w:cs="Arial"/>
                <w:szCs w:val="18"/>
              </w:rPr>
            </w:pPr>
            <w:r>
              <w:rPr>
                <w:rFonts w:cs="Arial"/>
                <w:szCs w:val="18"/>
              </w:rPr>
              <w:t>Maximum requested bandwidth for the Downlink.</w:t>
            </w:r>
          </w:p>
        </w:tc>
        <w:tc>
          <w:tcPr>
            <w:tcW w:w="1350" w:type="dxa"/>
          </w:tcPr>
          <w:p w14:paraId="3227E7AA" w14:textId="77777777" w:rsidR="000B39BB" w:rsidRDefault="000B39BB" w:rsidP="00A07D5D">
            <w:pPr>
              <w:pStyle w:val="TAL"/>
              <w:rPr>
                <w:rFonts w:cs="Arial"/>
                <w:szCs w:val="18"/>
              </w:rPr>
            </w:pPr>
          </w:p>
        </w:tc>
      </w:tr>
      <w:tr w:rsidR="000B39BB" w14:paraId="4A4C2AA4" w14:textId="77777777" w:rsidTr="00A07D5D">
        <w:trPr>
          <w:cantSplit/>
          <w:jc w:val="center"/>
        </w:trPr>
        <w:tc>
          <w:tcPr>
            <w:tcW w:w="1609" w:type="dxa"/>
          </w:tcPr>
          <w:p w14:paraId="55AC22FF" w14:textId="77777777" w:rsidR="000B39BB" w:rsidRDefault="000B39BB" w:rsidP="00A07D5D">
            <w:pPr>
              <w:pStyle w:val="TAL"/>
            </w:pPr>
            <w:r>
              <w:t>tosTrCl</w:t>
            </w:r>
          </w:p>
        </w:tc>
        <w:tc>
          <w:tcPr>
            <w:tcW w:w="1800" w:type="dxa"/>
          </w:tcPr>
          <w:p w14:paraId="47C78526" w14:textId="77777777" w:rsidR="000B39BB" w:rsidRDefault="000B39BB" w:rsidP="00A07D5D">
            <w:pPr>
              <w:pStyle w:val="TAL"/>
            </w:pPr>
            <w:r>
              <w:t>TosTrafficClass</w:t>
            </w:r>
          </w:p>
        </w:tc>
        <w:tc>
          <w:tcPr>
            <w:tcW w:w="360" w:type="dxa"/>
          </w:tcPr>
          <w:p w14:paraId="4C4BEDF4" w14:textId="77777777" w:rsidR="000B39BB" w:rsidRDefault="000B39BB" w:rsidP="00A07D5D">
            <w:pPr>
              <w:pStyle w:val="TAC"/>
            </w:pPr>
            <w:r>
              <w:t>O</w:t>
            </w:r>
          </w:p>
        </w:tc>
        <w:tc>
          <w:tcPr>
            <w:tcW w:w="1170" w:type="dxa"/>
          </w:tcPr>
          <w:p w14:paraId="17F479BE" w14:textId="77777777" w:rsidR="000B39BB" w:rsidRDefault="000B39BB" w:rsidP="00A07D5D">
            <w:pPr>
              <w:pStyle w:val="TAC"/>
            </w:pPr>
            <w:r>
              <w:t>0..1</w:t>
            </w:r>
          </w:p>
        </w:tc>
        <w:tc>
          <w:tcPr>
            <w:tcW w:w="3330" w:type="dxa"/>
          </w:tcPr>
          <w:p w14:paraId="18EF282C" w14:textId="77777777" w:rsidR="000B39BB" w:rsidRDefault="000B39BB" w:rsidP="00A07D5D">
            <w:pPr>
              <w:pStyle w:val="TAL"/>
              <w:rPr>
                <w:rFonts w:cs="Arial"/>
                <w:szCs w:val="18"/>
              </w:rPr>
            </w:pPr>
            <w:r>
              <w:rPr>
                <w:rFonts w:cs="Arial"/>
                <w:szCs w:val="18"/>
              </w:rPr>
              <w:t>Type of Service or Traffic Class.</w:t>
            </w:r>
          </w:p>
        </w:tc>
        <w:tc>
          <w:tcPr>
            <w:tcW w:w="1350" w:type="dxa"/>
          </w:tcPr>
          <w:p w14:paraId="29E4D1AA" w14:textId="77777777" w:rsidR="000B39BB" w:rsidRDefault="000B39BB" w:rsidP="00A07D5D">
            <w:pPr>
              <w:pStyle w:val="TAL"/>
              <w:rPr>
                <w:rFonts w:cs="Arial"/>
                <w:szCs w:val="18"/>
              </w:rPr>
            </w:pPr>
          </w:p>
        </w:tc>
      </w:tr>
      <w:tr w:rsidR="000B39BB" w:rsidRPr="000B39BB" w14:paraId="27FEE3FF" w14:textId="77777777" w:rsidTr="00A07D5D">
        <w:trPr>
          <w:cantSplit/>
          <w:jc w:val="center"/>
        </w:trPr>
        <w:tc>
          <w:tcPr>
            <w:tcW w:w="1609" w:type="dxa"/>
          </w:tcPr>
          <w:p w14:paraId="4D6F380E" w14:textId="5B20E915" w:rsidR="000B39BB" w:rsidRPr="000B39BB" w:rsidRDefault="000B39BB" w:rsidP="00A07D5D">
            <w:pPr>
              <w:pStyle w:val="TAL"/>
              <w:rPr>
                <w:color w:val="FF0000"/>
              </w:rPr>
            </w:pPr>
            <w:r w:rsidRPr="000B39BB">
              <w:rPr>
                <w:color w:val="FF0000"/>
              </w:rPr>
              <w:t>pduSetMarking</w:t>
            </w:r>
          </w:p>
        </w:tc>
        <w:tc>
          <w:tcPr>
            <w:tcW w:w="1800" w:type="dxa"/>
          </w:tcPr>
          <w:p w14:paraId="3EC651AB" w14:textId="12872877" w:rsidR="000B39BB" w:rsidRPr="000B39BB" w:rsidRDefault="000B39BB" w:rsidP="00A07D5D">
            <w:pPr>
              <w:pStyle w:val="TAL"/>
              <w:rPr>
                <w:color w:val="FF0000"/>
              </w:rPr>
            </w:pPr>
            <w:r w:rsidRPr="000B39BB">
              <w:rPr>
                <w:color w:val="FF0000"/>
              </w:rPr>
              <w:t>PDUSetMarking</w:t>
            </w:r>
          </w:p>
        </w:tc>
        <w:tc>
          <w:tcPr>
            <w:tcW w:w="360" w:type="dxa"/>
          </w:tcPr>
          <w:p w14:paraId="5937EC21" w14:textId="2DA4045D" w:rsidR="000B39BB" w:rsidRPr="000B39BB" w:rsidRDefault="000B39BB" w:rsidP="00A07D5D">
            <w:pPr>
              <w:pStyle w:val="TAC"/>
              <w:rPr>
                <w:color w:val="FF0000"/>
              </w:rPr>
            </w:pPr>
            <w:r w:rsidRPr="000B39BB">
              <w:rPr>
                <w:color w:val="FF0000"/>
              </w:rPr>
              <w:t>O</w:t>
            </w:r>
          </w:p>
        </w:tc>
        <w:tc>
          <w:tcPr>
            <w:tcW w:w="1170" w:type="dxa"/>
          </w:tcPr>
          <w:p w14:paraId="516A941D" w14:textId="3BE35E90" w:rsidR="000B39BB" w:rsidRPr="000B39BB" w:rsidRDefault="000B39BB" w:rsidP="00A07D5D">
            <w:pPr>
              <w:pStyle w:val="TAC"/>
              <w:rPr>
                <w:color w:val="FF0000"/>
              </w:rPr>
            </w:pPr>
            <w:r w:rsidRPr="000B39BB">
              <w:rPr>
                <w:color w:val="FF0000"/>
              </w:rPr>
              <w:t>0..1</w:t>
            </w:r>
          </w:p>
        </w:tc>
        <w:tc>
          <w:tcPr>
            <w:tcW w:w="3330" w:type="dxa"/>
          </w:tcPr>
          <w:p w14:paraId="00C10C7B" w14:textId="7936C619" w:rsidR="000B39BB" w:rsidRPr="000B39BB" w:rsidRDefault="000B39BB" w:rsidP="00A07D5D">
            <w:pPr>
              <w:pStyle w:val="TAL"/>
              <w:rPr>
                <w:rFonts w:cs="Arial"/>
                <w:color w:val="FF0000"/>
                <w:szCs w:val="18"/>
              </w:rPr>
            </w:pPr>
            <w:r w:rsidRPr="000B39BB">
              <w:rPr>
                <w:rFonts w:cs="Arial"/>
                <w:color w:val="FF0000"/>
                <w:szCs w:val="18"/>
              </w:rPr>
              <w:t>Configuration information for the PDU Set and end of burst marking.</w:t>
            </w:r>
          </w:p>
        </w:tc>
        <w:tc>
          <w:tcPr>
            <w:tcW w:w="1350" w:type="dxa"/>
          </w:tcPr>
          <w:p w14:paraId="09088C66" w14:textId="77777777" w:rsidR="000B39BB" w:rsidRPr="000B39BB" w:rsidRDefault="000B39BB" w:rsidP="00A07D5D">
            <w:pPr>
              <w:pStyle w:val="TAL"/>
              <w:rPr>
                <w:rFonts w:cs="Arial"/>
                <w:color w:val="FF0000"/>
                <w:szCs w:val="18"/>
              </w:rPr>
            </w:pPr>
          </w:p>
        </w:tc>
      </w:tr>
    </w:tbl>
    <w:p w14:paraId="6F297D9B" w14:textId="77777777" w:rsidR="000B39BB" w:rsidRDefault="000B39BB" w:rsidP="00126D01">
      <w:pPr>
        <w:rPr>
          <w:lang w:val="en-US"/>
        </w:rPr>
      </w:pPr>
    </w:p>
    <w:p w14:paraId="2A6ECC01" w14:textId="17A55924" w:rsidR="000B39BB" w:rsidRDefault="000B39BB" w:rsidP="00126D01">
      <w:pPr>
        <w:rPr>
          <w:lang w:val="en-US"/>
        </w:rPr>
      </w:pPr>
      <w:r>
        <w:rPr>
          <w:lang w:val="en-US"/>
        </w:rPr>
        <w:t>The PDUSetMarking data type is defined as follows: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0B39BB" w14:paraId="1B030E6C" w14:textId="77777777" w:rsidTr="00A07D5D">
        <w:trPr>
          <w:cantSplit/>
          <w:tblHeader/>
          <w:jc w:val="center"/>
        </w:trPr>
        <w:tc>
          <w:tcPr>
            <w:tcW w:w="1609" w:type="dxa"/>
            <w:shd w:val="clear" w:color="auto" w:fill="C0C0C0"/>
            <w:hideMark/>
          </w:tcPr>
          <w:p w14:paraId="195CCB60" w14:textId="77777777" w:rsidR="000B39BB" w:rsidRDefault="000B39BB" w:rsidP="00A07D5D">
            <w:pPr>
              <w:pStyle w:val="TAH"/>
            </w:pPr>
            <w:r>
              <w:t>Attribute name</w:t>
            </w:r>
          </w:p>
        </w:tc>
        <w:tc>
          <w:tcPr>
            <w:tcW w:w="1800" w:type="dxa"/>
            <w:shd w:val="clear" w:color="auto" w:fill="C0C0C0"/>
            <w:hideMark/>
          </w:tcPr>
          <w:p w14:paraId="17F2E252" w14:textId="77777777" w:rsidR="000B39BB" w:rsidRDefault="000B39BB" w:rsidP="00A07D5D">
            <w:pPr>
              <w:pStyle w:val="TAH"/>
            </w:pPr>
            <w:r>
              <w:t>Data type</w:t>
            </w:r>
          </w:p>
        </w:tc>
        <w:tc>
          <w:tcPr>
            <w:tcW w:w="360" w:type="dxa"/>
            <w:shd w:val="clear" w:color="auto" w:fill="C0C0C0"/>
            <w:hideMark/>
          </w:tcPr>
          <w:p w14:paraId="5BE10FFF" w14:textId="77777777" w:rsidR="000B39BB" w:rsidRDefault="000B39BB" w:rsidP="00A07D5D">
            <w:pPr>
              <w:pStyle w:val="TAH"/>
            </w:pPr>
            <w:r>
              <w:t>P</w:t>
            </w:r>
          </w:p>
        </w:tc>
        <w:tc>
          <w:tcPr>
            <w:tcW w:w="1170" w:type="dxa"/>
            <w:shd w:val="clear" w:color="auto" w:fill="C0C0C0"/>
            <w:hideMark/>
          </w:tcPr>
          <w:p w14:paraId="642F89EB" w14:textId="77777777" w:rsidR="000B39BB" w:rsidRDefault="000B39BB" w:rsidP="00A07D5D">
            <w:pPr>
              <w:pStyle w:val="TAH"/>
            </w:pPr>
            <w:r>
              <w:t>Cardinality</w:t>
            </w:r>
          </w:p>
        </w:tc>
        <w:tc>
          <w:tcPr>
            <w:tcW w:w="3330" w:type="dxa"/>
            <w:shd w:val="clear" w:color="auto" w:fill="C0C0C0"/>
            <w:hideMark/>
          </w:tcPr>
          <w:p w14:paraId="0ECAE5E0" w14:textId="77777777" w:rsidR="000B39BB" w:rsidRDefault="000B39BB" w:rsidP="00A07D5D">
            <w:pPr>
              <w:pStyle w:val="TAH"/>
              <w:rPr>
                <w:rFonts w:cs="Arial"/>
                <w:szCs w:val="18"/>
              </w:rPr>
            </w:pPr>
            <w:r>
              <w:rPr>
                <w:rFonts w:cs="Arial"/>
                <w:szCs w:val="18"/>
              </w:rPr>
              <w:t>Description</w:t>
            </w:r>
          </w:p>
        </w:tc>
        <w:tc>
          <w:tcPr>
            <w:tcW w:w="1350" w:type="dxa"/>
            <w:shd w:val="clear" w:color="auto" w:fill="C0C0C0"/>
          </w:tcPr>
          <w:p w14:paraId="18E16C43" w14:textId="77777777" w:rsidR="000B39BB" w:rsidRDefault="000B39BB" w:rsidP="00A07D5D">
            <w:pPr>
              <w:pStyle w:val="TAH"/>
              <w:rPr>
                <w:rFonts w:cs="Arial"/>
                <w:szCs w:val="18"/>
              </w:rPr>
            </w:pPr>
            <w:r>
              <w:rPr>
                <w:rFonts w:cs="Arial"/>
                <w:szCs w:val="18"/>
              </w:rPr>
              <w:t>Applicability</w:t>
            </w:r>
          </w:p>
        </w:tc>
      </w:tr>
      <w:tr w:rsidR="000B39BB" w14:paraId="1D5B5386" w14:textId="77777777" w:rsidTr="00A07D5D">
        <w:trPr>
          <w:cantSplit/>
          <w:jc w:val="center"/>
        </w:trPr>
        <w:tc>
          <w:tcPr>
            <w:tcW w:w="1609" w:type="dxa"/>
          </w:tcPr>
          <w:p w14:paraId="7077FD60" w14:textId="0CB70A30" w:rsidR="000B39BB" w:rsidRDefault="000B39BB" w:rsidP="00A07D5D">
            <w:pPr>
              <w:pStyle w:val="TAL"/>
            </w:pPr>
            <w:r>
              <w:t>version</w:t>
            </w:r>
          </w:p>
        </w:tc>
        <w:tc>
          <w:tcPr>
            <w:tcW w:w="1800" w:type="dxa"/>
          </w:tcPr>
          <w:p w14:paraId="46404EC6" w14:textId="555DA51A" w:rsidR="000B39BB" w:rsidRDefault="00581C23" w:rsidP="00A07D5D">
            <w:pPr>
              <w:pStyle w:val="TAL"/>
            </w:pPr>
            <w:r>
              <w:t>Integer</w:t>
            </w:r>
          </w:p>
        </w:tc>
        <w:tc>
          <w:tcPr>
            <w:tcW w:w="360" w:type="dxa"/>
          </w:tcPr>
          <w:p w14:paraId="2C1AE85C" w14:textId="5805E41C" w:rsidR="000B39BB" w:rsidRDefault="00581C23" w:rsidP="00A07D5D">
            <w:pPr>
              <w:pStyle w:val="TAC"/>
            </w:pPr>
            <w:r>
              <w:t>O</w:t>
            </w:r>
          </w:p>
        </w:tc>
        <w:tc>
          <w:tcPr>
            <w:tcW w:w="1170" w:type="dxa"/>
          </w:tcPr>
          <w:p w14:paraId="1F50D084" w14:textId="297D7096" w:rsidR="000B39BB" w:rsidRDefault="00581C23" w:rsidP="00A07D5D">
            <w:pPr>
              <w:pStyle w:val="TAC"/>
            </w:pPr>
            <w:r>
              <w:t>0..1</w:t>
            </w:r>
          </w:p>
        </w:tc>
        <w:tc>
          <w:tcPr>
            <w:tcW w:w="3330" w:type="dxa"/>
          </w:tcPr>
          <w:p w14:paraId="7A5C092E" w14:textId="77777777" w:rsidR="000B39BB" w:rsidRDefault="000B39BB" w:rsidP="00A07D5D">
            <w:pPr>
              <w:pStyle w:val="TAL"/>
              <w:rPr>
                <w:rFonts w:cs="Arial"/>
                <w:szCs w:val="18"/>
              </w:rPr>
            </w:pPr>
          </w:p>
        </w:tc>
        <w:tc>
          <w:tcPr>
            <w:tcW w:w="1350" w:type="dxa"/>
          </w:tcPr>
          <w:p w14:paraId="37D91083" w14:textId="77777777" w:rsidR="000B39BB" w:rsidRDefault="000B39BB" w:rsidP="00A07D5D">
            <w:pPr>
              <w:pStyle w:val="TAL"/>
              <w:rPr>
                <w:rFonts w:cs="Arial"/>
                <w:szCs w:val="18"/>
              </w:rPr>
            </w:pPr>
          </w:p>
        </w:tc>
      </w:tr>
      <w:tr w:rsidR="000B39BB" w14:paraId="337165DF" w14:textId="77777777" w:rsidTr="00A07D5D">
        <w:trPr>
          <w:cantSplit/>
          <w:jc w:val="center"/>
        </w:trPr>
        <w:tc>
          <w:tcPr>
            <w:tcW w:w="1609" w:type="dxa"/>
          </w:tcPr>
          <w:p w14:paraId="60F83486" w14:textId="6FC05B5C" w:rsidR="000B39BB" w:rsidRDefault="000B39BB" w:rsidP="00A07D5D">
            <w:pPr>
              <w:pStyle w:val="TAL"/>
            </w:pPr>
            <w:r>
              <w:t>local</w:t>
            </w:r>
            <w:r w:rsidR="00581C23">
              <w:t>I</w:t>
            </w:r>
            <w:r>
              <w:t>dentifier</w:t>
            </w:r>
          </w:p>
        </w:tc>
        <w:tc>
          <w:tcPr>
            <w:tcW w:w="1800" w:type="dxa"/>
          </w:tcPr>
          <w:p w14:paraId="2D03D9F0" w14:textId="0A6FA911" w:rsidR="000B39BB" w:rsidRDefault="00581C23" w:rsidP="00A07D5D">
            <w:pPr>
              <w:pStyle w:val="TAL"/>
            </w:pPr>
            <w:r>
              <w:t>Integer</w:t>
            </w:r>
          </w:p>
        </w:tc>
        <w:tc>
          <w:tcPr>
            <w:tcW w:w="360" w:type="dxa"/>
          </w:tcPr>
          <w:p w14:paraId="07CC9D30" w14:textId="1763DF47" w:rsidR="000B39BB" w:rsidRDefault="00581C23" w:rsidP="00A07D5D">
            <w:pPr>
              <w:pStyle w:val="TAC"/>
            </w:pPr>
            <w:r>
              <w:t>M</w:t>
            </w:r>
          </w:p>
        </w:tc>
        <w:tc>
          <w:tcPr>
            <w:tcW w:w="1170" w:type="dxa"/>
          </w:tcPr>
          <w:p w14:paraId="4FB6FB7A" w14:textId="385C200E" w:rsidR="000B39BB" w:rsidRDefault="00581C23" w:rsidP="00A07D5D">
            <w:pPr>
              <w:pStyle w:val="TAC"/>
            </w:pPr>
            <w:r>
              <w:t>0..1</w:t>
            </w:r>
          </w:p>
        </w:tc>
        <w:tc>
          <w:tcPr>
            <w:tcW w:w="3330" w:type="dxa"/>
          </w:tcPr>
          <w:p w14:paraId="39DA4446" w14:textId="77777777" w:rsidR="000B39BB" w:rsidRDefault="000B39BB" w:rsidP="00A07D5D">
            <w:pPr>
              <w:pStyle w:val="TAL"/>
              <w:rPr>
                <w:rFonts w:cs="Arial"/>
                <w:szCs w:val="18"/>
              </w:rPr>
            </w:pPr>
          </w:p>
        </w:tc>
        <w:tc>
          <w:tcPr>
            <w:tcW w:w="1350" w:type="dxa"/>
          </w:tcPr>
          <w:p w14:paraId="0579F9D0" w14:textId="77777777" w:rsidR="000B39BB" w:rsidRDefault="000B39BB" w:rsidP="00A07D5D">
            <w:pPr>
              <w:pStyle w:val="TAL"/>
              <w:rPr>
                <w:rFonts w:cs="Arial"/>
                <w:szCs w:val="18"/>
              </w:rPr>
            </w:pPr>
          </w:p>
        </w:tc>
      </w:tr>
      <w:tr w:rsidR="000B39BB" w14:paraId="7908D0B4" w14:textId="77777777" w:rsidTr="00A07D5D">
        <w:trPr>
          <w:cantSplit/>
          <w:jc w:val="center"/>
        </w:trPr>
        <w:tc>
          <w:tcPr>
            <w:tcW w:w="1609" w:type="dxa"/>
          </w:tcPr>
          <w:p w14:paraId="4F079400" w14:textId="637DB80C" w:rsidR="000B39BB" w:rsidRDefault="000B39BB" w:rsidP="00A07D5D">
            <w:pPr>
              <w:pStyle w:val="TAL"/>
            </w:pPr>
            <w:r>
              <w:t>format</w:t>
            </w:r>
          </w:p>
        </w:tc>
        <w:tc>
          <w:tcPr>
            <w:tcW w:w="1800" w:type="dxa"/>
          </w:tcPr>
          <w:p w14:paraId="70C592E6" w14:textId="2CA27E11" w:rsidR="000B39BB" w:rsidRDefault="00581C23" w:rsidP="00A07D5D">
            <w:pPr>
              <w:pStyle w:val="TAL"/>
            </w:pPr>
            <w:r>
              <w:t>Boolean</w:t>
            </w:r>
          </w:p>
        </w:tc>
        <w:tc>
          <w:tcPr>
            <w:tcW w:w="360" w:type="dxa"/>
          </w:tcPr>
          <w:p w14:paraId="66A165A8" w14:textId="519ADAAA" w:rsidR="000B39BB" w:rsidRDefault="00581C23" w:rsidP="00A07D5D">
            <w:pPr>
              <w:pStyle w:val="TAC"/>
            </w:pPr>
            <w:r>
              <w:t>O</w:t>
            </w:r>
          </w:p>
        </w:tc>
        <w:tc>
          <w:tcPr>
            <w:tcW w:w="1170" w:type="dxa"/>
          </w:tcPr>
          <w:p w14:paraId="58C5D1A5" w14:textId="27FC8A62" w:rsidR="000B39BB" w:rsidRDefault="00581C23" w:rsidP="00A07D5D">
            <w:pPr>
              <w:pStyle w:val="TAC"/>
            </w:pPr>
            <w:r>
              <w:t>0..1</w:t>
            </w:r>
          </w:p>
        </w:tc>
        <w:tc>
          <w:tcPr>
            <w:tcW w:w="3330" w:type="dxa"/>
          </w:tcPr>
          <w:p w14:paraId="38088B32" w14:textId="77777777" w:rsidR="000B39BB" w:rsidRDefault="000B39BB" w:rsidP="00A07D5D">
            <w:pPr>
              <w:pStyle w:val="TAL"/>
              <w:rPr>
                <w:rFonts w:cs="Arial"/>
                <w:szCs w:val="18"/>
              </w:rPr>
            </w:pPr>
          </w:p>
        </w:tc>
        <w:tc>
          <w:tcPr>
            <w:tcW w:w="1350" w:type="dxa"/>
          </w:tcPr>
          <w:p w14:paraId="3AD0D85A" w14:textId="77777777" w:rsidR="000B39BB" w:rsidRDefault="000B39BB" w:rsidP="00A07D5D">
            <w:pPr>
              <w:pStyle w:val="TAL"/>
              <w:rPr>
                <w:rFonts w:cs="Arial"/>
                <w:szCs w:val="18"/>
              </w:rPr>
            </w:pPr>
          </w:p>
        </w:tc>
      </w:tr>
      <w:tr w:rsidR="000B39BB" w14:paraId="19CE54AA" w14:textId="77777777" w:rsidTr="00A07D5D">
        <w:trPr>
          <w:cantSplit/>
          <w:jc w:val="center"/>
        </w:trPr>
        <w:tc>
          <w:tcPr>
            <w:tcW w:w="1609" w:type="dxa"/>
          </w:tcPr>
          <w:p w14:paraId="7D4FFD49" w14:textId="601257DC" w:rsidR="000B39BB" w:rsidRDefault="00581C23" w:rsidP="00A07D5D">
            <w:pPr>
              <w:pStyle w:val="TAL"/>
            </w:pPr>
            <w:r>
              <w:t>pduSetSizeActive</w:t>
            </w:r>
          </w:p>
        </w:tc>
        <w:tc>
          <w:tcPr>
            <w:tcW w:w="1800" w:type="dxa"/>
          </w:tcPr>
          <w:p w14:paraId="00B4C6B2" w14:textId="2F423792" w:rsidR="000B39BB" w:rsidRDefault="00581C23" w:rsidP="00A07D5D">
            <w:pPr>
              <w:pStyle w:val="TAL"/>
            </w:pPr>
            <w:r>
              <w:t>Boolean</w:t>
            </w:r>
          </w:p>
        </w:tc>
        <w:tc>
          <w:tcPr>
            <w:tcW w:w="360" w:type="dxa"/>
          </w:tcPr>
          <w:p w14:paraId="323740CE" w14:textId="78E01797" w:rsidR="000B39BB" w:rsidRDefault="00581C23" w:rsidP="00A07D5D">
            <w:pPr>
              <w:pStyle w:val="TAC"/>
            </w:pPr>
            <w:r>
              <w:t>O</w:t>
            </w:r>
          </w:p>
        </w:tc>
        <w:tc>
          <w:tcPr>
            <w:tcW w:w="1170" w:type="dxa"/>
          </w:tcPr>
          <w:p w14:paraId="0CBDE3C6" w14:textId="4B162432" w:rsidR="000B39BB" w:rsidRDefault="00581C23" w:rsidP="00A07D5D">
            <w:pPr>
              <w:pStyle w:val="TAC"/>
            </w:pPr>
            <w:r>
              <w:t>0..1</w:t>
            </w:r>
          </w:p>
        </w:tc>
        <w:tc>
          <w:tcPr>
            <w:tcW w:w="3330" w:type="dxa"/>
          </w:tcPr>
          <w:p w14:paraId="6BD7E61A" w14:textId="77777777" w:rsidR="000B39BB" w:rsidRDefault="000B39BB" w:rsidP="00A07D5D">
            <w:pPr>
              <w:pStyle w:val="TAL"/>
              <w:rPr>
                <w:rFonts w:cs="Arial"/>
                <w:szCs w:val="18"/>
              </w:rPr>
            </w:pPr>
          </w:p>
        </w:tc>
        <w:tc>
          <w:tcPr>
            <w:tcW w:w="1350" w:type="dxa"/>
          </w:tcPr>
          <w:p w14:paraId="54A35A5C" w14:textId="77777777" w:rsidR="000B39BB" w:rsidRDefault="000B39BB" w:rsidP="00A07D5D">
            <w:pPr>
              <w:pStyle w:val="TAL"/>
              <w:rPr>
                <w:rFonts w:cs="Arial"/>
                <w:szCs w:val="18"/>
              </w:rPr>
            </w:pPr>
          </w:p>
        </w:tc>
      </w:tr>
      <w:tr w:rsidR="00581C23" w14:paraId="58C44C99" w14:textId="77777777" w:rsidTr="00A07D5D">
        <w:trPr>
          <w:cantSplit/>
          <w:jc w:val="center"/>
        </w:trPr>
        <w:tc>
          <w:tcPr>
            <w:tcW w:w="1609" w:type="dxa"/>
          </w:tcPr>
          <w:p w14:paraId="4BDA94DF" w14:textId="583D328C" w:rsidR="00581C23" w:rsidRDefault="00581C23" w:rsidP="00A07D5D">
            <w:pPr>
              <w:pStyle w:val="TAL"/>
            </w:pPr>
            <w:r>
              <w:t>eobMarkingActive</w:t>
            </w:r>
          </w:p>
        </w:tc>
        <w:tc>
          <w:tcPr>
            <w:tcW w:w="1800" w:type="dxa"/>
          </w:tcPr>
          <w:p w14:paraId="1B8E1EA8" w14:textId="7ABD0778" w:rsidR="00581C23" w:rsidRDefault="00581C23" w:rsidP="00A07D5D">
            <w:pPr>
              <w:pStyle w:val="TAL"/>
            </w:pPr>
            <w:r>
              <w:t>Boolean</w:t>
            </w:r>
          </w:p>
        </w:tc>
        <w:tc>
          <w:tcPr>
            <w:tcW w:w="360" w:type="dxa"/>
          </w:tcPr>
          <w:p w14:paraId="363ADF3C" w14:textId="59CE0512" w:rsidR="00581C23" w:rsidRDefault="00581C23" w:rsidP="00A07D5D">
            <w:pPr>
              <w:pStyle w:val="TAC"/>
            </w:pPr>
            <w:r>
              <w:t>O</w:t>
            </w:r>
          </w:p>
        </w:tc>
        <w:tc>
          <w:tcPr>
            <w:tcW w:w="1170" w:type="dxa"/>
          </w:tcPr>
          <w:p w14:paraId="0B92D039" w14:textId="4636ACDE" w:rsidR="00581C23" w:rsidRDefault="00581C23" w:rsidP="00A07D5D">
            <w:pPr>
              <w:pStyle w:val="TAC"/>
            </w:pPr>
            <w:r>
              <w:t>0..1</w:t>
            </w:r>
          </w:p>
        </w:tc>
        <w:tc>
          <w:tcPr>
            <w:tcW w:w="3330" w:type="dxa"/>
          </w:tcPr>
          <w:p w14:paraId="1A4AE2DE" w14:textId="77777777" w:rsidR="00581C23" w:rsidRDefault="00581C23" w:rsidP="00A07D5D">
            <w:pPr>
              <w:pStyle w:val="TAL"/>
              <w:rPr>
                <w:rFonts w:cs="Arial"/>
                <w:szCs w:val="18"/>
              </w:rPr>
            </w:pPr>
          </w:p>
        </w:tc>
        <w:tc>
          <w:tcPr>
            <w:tcW w:w="1350" w:type="dxa"/>
          </w:tcPr>
          <w:p w14:paraId="45EE0F0D" w14:textId="77777777" w:rsidR="00581C23" w:rsidRDefault="00581C23" w:rsidP="00A07D5D">
            <w:pPr>
              <w:pStyle w:val="TAL"/>
              <w:rPr>
                <w:rFonts w:cs="Arial"/>
                <w:szCs w:val="18"/>
              </w:rPr>
            </w:pPr>
          </w:p>
        </w:tc>
      </w:tr>
    </w:tbl>
    <w:p w14:paraId="6437452C" w14:textId="77777777" w:rsidR="000B39BB" w:rsidRPr="00126D01" w:rsidRDefault="000B39BB" w:rsidP="00126D01">
      <w:pPr>
        <w:rPr>
          <w:lang w:val="en-US"/>
        </w:rPr>
      </w:pPr>
    </w:p>
    <w:p w14:paraId="38D7D734" w14:textId="21847A8E" w:rsidR="00E5180B" w:rsidRDefault="00E5180B" w:rsidP="00E5180B">
      <w:pPr>
        <w:pStyle w:val="Heading2"/>
        <w:numPr>
          <w:ilvl w:val="1"/>
          <w:numId w:val="25"/>
        </w:numPr>
      </w:pPr>
      <w:r>
        <w:lastRenderedPageBreak/>
        <w:t>Signaling by Intermediate Server</w:t>
      </w:r>
    </w:p>
    <w:p w14:paraId="25FCAF26" w14:textId="24EB241D" w:rsidR="00E5180B" w:rsidRDefault="00126D01" w:rsidP="00E5180B">
      <w:pPr>
        <w:rPr>
          <w:lang w:val="en-US"/>
        </w:rPr>
      </w:pPr>
      <w:r>
        <w:rPr>
          <w:lang w:val="en-US"/>
        </w:rPr>
        <w:t xml:space="preserve">An intermediate server, namely a trusted WebRTC signaling server or a P-CSCF, is able to inspect the SDP offer/answer and extract the information related to the </w:t>
      </w:r>
      <w:r w:rsidR="008A647D">
        <w:rPr>
          <w:lang w:val="en-US"/>
        </w:rPr>
        <w:t>PDU Set and End of Burst marking. The procedure is as follows:</w:t>
      </w:r>
    </w:p>
    <w:p w14:paraId="1068D47C" w14:textId="77777777" w:rsidR="00184FA9" w:rsidRDefault="00184FA9" w:rsidP="00E5180B">
      <w:pPr>
        <w:rPr>
          <w:lang w:val="en-US"/>
        </w:rPr>
      </w:pPr>
    </w:p>
    <w:p w14:paraId="60F19FD5" w14:textId="125CCEBE" w:rsidR="008A647D" w:rsidRDefault="00A815DB" w:rsidP="00E5180B">
      <w:pPr>
        <w:rPr>
          <w:lang w:val="en-US"/>
        </w:rPr>
      </w:pPr>
      <w:r>
        <w:rPr>
          <w:lang w:val="en-US"/>
        </w:rPr>
        <w:object w:dxaOrig="10800" w:dyaOrig="7140" w14:anchorId="6A3BE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0.75pt;height:357pt" o:ole="">
            <v:imagedata r:id="rId11" o:title=""/>
          </v:shape>
          <o:OLEObject Type="Embed" ProgID="Mscgen.Chart" ShapeID="_x0000_i1029" DrawAspect="Content" ObjectID="_1743459922" r:id="rId12"/>
        </w:object>
      </w:r>
    </w:p>
    <w:p w14:paraId="724E00C4" w14:textId="4827D473" w:rsidR="00184FA9" w:rsidRDefault="00184FA9" w:rsidP="00E5180B">
      <w:pPr>
        <w:rPr>
          <w:lang w:val="en-US"/>
        </w:rPr>
      </w:pPr>
      <w:r>
        <w:rPr>
          <w:lang w:val="en-US"/>
        </w:rPr>
        <w:t>The steps are as follows:</w:t>
      </w:r>
    </w:p>
    <w:p w14:paraId="6581A227" w14:textId="49D3E993" w:rsidR="006578FF" w:rsidRDefault="006578FF" w:rsidP="00466C7E">
      <w:pPr>
        <w:pStyle w:val="ListParagraph"/>
        <w:numPr>
          <w:ilvl w:val="0"/>
          <w:numId w:val="27"/>
        </w:numPr>
      </w:pPr>
      <w:r>
        <w:t>UE1 sends an SDP offer for the establishment of an XR session to the WebRTC Signaling Server or P-CSCF. The Signaling Server forwards the request to the Application Server.</w:t>
      </w:r>
    </w:p>
    <w:p w14:paraId="55C0D172" w14:textId="725FD8A4" w:rsidR="006578FF" w:rsidRDefault="006578FF" w:rsidP="00184FA9">
      <w:pPr>
        <w:pStyle w:val="ListParagraph"/>
        <w:numPr>
          <w:ilvl w:val="0"/>
          <w:numId w:val="27"/>
        </w:numPr>
      </w:pPr>
      <w:r>
        <w:t>The Application Server responds with an SDP answer. The Application Server includes an indication of the PDU Set and End of Burt marking in the SDP as described in the previous section.</w:t>
      </w:r>
    </w:p>
    <w:p w14:paraId="6206F24E" w14:textId="6C1208B8" w:rsidR="006578FF" w:rsidRDefault="006578FF" w:rsidP="00184FA9">
      <w:pPr>
        <w:pStyle w:val="ListParagraph"/>
        <w:numPr>
          <w:ilvl w:val="0"/>
          <w:numId w:val="27"/>
        </w:numPr>
      </w:pPr>
      <w:r>
        <w:t>The Signaling Server inspects the SDP and extracts the information related to the PDU Set and End of Burst marking.</w:t>
      </w:r>
    </w:p>
    <w:p w14:paraId="0AE566BE" w14:textId="4F8787CD" w:rsidR="006578FF" w:rsidRDefault="006578FF" w:rsidP="00184FA9">
      <w:pPr>
        <w:pStyle w:val="ListParagraph"/>
        <w:numPr>
          <w:ilvl w:val="0"/>
          <w:numId w:val="27"/>
        </w:numPr>
      </w:pPr>
      <w:r>
        <w:t>The Signaling Server informs the AF about the new IMS/WebRTC session. It includes the information about the configuration for the PDU Set and EoB marking.</w:t>
      </w:r>
    </w:p>
    <w:p w14:paraId="1D71A508" w14:textId="2EC7A7D2" w:rsidR="006578FF" w:rsidRDefault="006578FF" w:rsidP="00184FA9">
      <w:pPr>
        <w:pStyle w:val="ListParagraph"/>
        <w:numPr>
          <w:ilvl w:val="0"/>
          <w:numId w:val="27"/>
        </w:numPr>
        <w:rPr>
          <w:ins w:id="3" w:author="Author"/>
        </w:rPr>
      </w:pPr>
      <w:r>
        <w:t xml:space="preserve">The AF uses the Npcf_PolicyAuthorization procedure to request allocation of the QoS for the media </w:t>
      </w:r>
      <w:del w:id="4" w:author="Author">
        <w:r w:rsidDel="00A815DB">
          <w:delText xml:space="preserve">sessions </w:delText>
        </w:r>
      </w:del>
      <w:ins w:id="5" w:author="Author">
        <w:r w:rsidR="00A815DB">
          <w:t>streams</w:t>
        </w:r>
        <w:r w:rsidR="00A815DB">
          <w:t xml:space="preserve"> </w:t>
        </w:r>
      </w:ins>
      <w:r>
        <w:t>of the IMS/WebRTC session.</w:t>
      </w:r>
    </w:p>
    <w:p w14:paraId="3E045A37" w14:textId="4F417405" w:rsidR="00A815DB" w:rsidRDefault="00A815DB" w:rsidP="00184FA9">
      <w:pPr>
        <w:pStyle w:val="ListParagraph"/>
        <w:numPr>
          <w:ilvl w:val="0"/>
          <w:numId w:val="27"/>
        </w:numPr>
      </w:pPr>
      <w:ins w:id="6" w:author="Author">
        <w:r>
          <w:lastRenderedPageBreak/>
          <w:t xml:space="preserve">Alternatively, the AF may use the </w:t>
        </w:r>
        <w:proofErr w:type="spellStart"/>
        <w:r>
          <w:t>Nnef_AFSessionWithQoS</w:t>
        </w:r>
        <w:proofErr w:type="spellEnd"/>
        <w:r>
          <w:t xml:space="preserve"> procedure to request allocation of the QoS for the media streams of the IMS/WebRTC session.</w:t>
        </w:r>
      </w:ins>
    </w:p>
    <w:p w14:paraId="5FB32343" w14:textId="2BB845F9" w:rsidR="006578FF" w:rsidRDefault="006578FF" w:rsidP="00184FA9">
      <w:pPr>
        <w:pStyle w:val="ListParagraph"/>
        <w:numPr>
          <w:ilvl w:val="0"/>
          <w:numId w:val="27"/>
        </w:numPr>
      </w:pPr>
      <w:r>
        <w:t xml:space="preserve">The AF confirms the allocation of the QoS for the media streams to the </w:t>
      </w:r>
      <w:r w:rsidR="001273E3">
        <w:t>Signaling Server.</w:t>
      </w:r>
    </w:p>
    <w:p w14:paraId="57611947" w14:textId="4B91DD21" w:rsidR="001273E3" w:rsidRPr="00184FA9" w:rsidRDefault="001273E3" w:rsidP="00184FA9">
      <w:pPr>
        <w:pStyle w:val="ListParagraph"/>
        <w:numPr>
          <w:ilvl w:val="0"/>
          <w:numId w:val="27"/>
        </w:numPr>
      </w:pPr>
      <w:r>
        <w:t>The Signaling Server forwards the SDP answer to UE1.</w:t>
      </w:r>
    </w:p>
    <w:p w14:paraId="71538C13" w14:textId="2F1C32EA" w:rsidR="00E5180B" w:rsidRDefault="00E5180B" w:rsidP="00E5180B">
      <w:pPr>
        <w:pStyle w:val="Heading2"/>
        <w:numPr>
          <w:ilvl w:val="1"/>
          <w:numId w:val="25"/>
        </w:numPr>
      </w:pPr>
      <w:r>
        <w:t>Signaling by the MSH</w:t>
      </w:r>
    </w:p>
    <w:p w14:paraId="67DA130C" w14:textId="00A6FD03" w:rsidR="001273E3" w:rsidRPr="001273E3" w:rsidRDefault="00D075E4" w:rsidP="001273E3">
      <w:pPr>
        <w:rPr>
          <w:lang w:val="en-US"/>
        </w:rPr>
      </w:pPr>
      <w:r>
        <w:rPr>
          <w:lang w:val="en-US"/>
        </w:rPr>
        <w:t xml:space="preserve">An alternative approach is for the application on UE1 to use the M6 interface to the Media Session Handler to pass the information about the session. This information includes the media components of the session and also the PDU Set and End of Burst marking configuration. </w:t>
      </w:r>
    </w:p>
    <w:p w14:paraId="07702923" w14:textId="342E95C6" w:rsidR="00E5180B" w:rsidRDefault="00326E8A" w:rsidP="00E5180B">
      <w:pPr>
        <w:rPr>
          <w:lang w:val="en-US"/>
        </w:rPr>
      </w:pPr>
      <w:r>
        <w:rPr>
          <w:lang w:val="en-US"/>
        </w:rPr>
        <w:t>The dynamic policy information that is configured by the MSH for the session contains the following information:</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tblGrid>
      <w:tr w:rsidR="00964912" w14:paraId="6107E4DC" w14:textId="77777777" w:rsidTr="00964912">
        <w:trPr>
          <w:cantSplit/>
          <w:trHeight w:val="284"/>
          <w:tblHeader/>
          <w:jc w:val="center"/>
        </w:trPr>
        <w:tc>
          <w:tcPr>
            <w:tcW w:w="1699" w:type="dxa"/>
            <w:shd w:val="clear" w:color="auto" w:fill="C0C0C0"/>
            <w:hideMark/>
          </w:tcPr>
          <w:p w14:paraId="15E24052" w14:textId="77777777" w:rsidR="00964912" w:rsidRDefault="00964912" w:rsidP="00E161EF">
            <w:pPr>
              <w:pStyle w:val="TAH"/>
            </w:pPr>
            <w:r>
              <w:t>Attribute name</w:t>
            </w:r>
          </w:p>
        </w:tc>
        <w:tc>
          <w:tcPr>
            <w:tcW w:w="1710" w:type="dxa"/>
            <w:shd w:val="clear" w:color="auto" w:fill="C0C0C0"/>
            <w:hideMark/>
          </w:tcPr>
          <w:p w14:paraId="23CA5492" w14:textId="77777777" w:rsidR="00964912" w:rsidRDefault="00964912" w:rsidP="00E161EF">
            <w:pPr>
              <w:pStyle w:val="TAH"/>
            </w:pPr>
            <w:r>
              <w:t>Data type</w:t>
            </w:r>
          </w:p>
        </w:tc>
        <w:tc>
          <w:tcPr>
            <w:tcW w:w="360" w:type="dxa"/>
            <w:shd w:val="clear" w:color="auto" w:fill="C0C0C0"/>
            <w:hideMark/>
          </w:tcPr>
          <w:p w14:paraId="241B2328" w14:textId="77777777" w:rsidR="00964912" w:rsidRDefault="00964912" w:rsidP="00E161EF">
            <w:pPr>
              <w:pStyle w:val="TAH"/>
            </w:pPr>
            <w:r>
              <w:t>P</w:t>
            </w:r>
          </w:p>
        </w:tc>
        <w:tc>
          <w:tcPr>
            <w:tcW w:w="1170" w:type="dxa"/>
            <w:shd w:val="clear" w:color="auto" w:fill="C0C0C0"/>
            <w:hideMark/>
          </w:tcPr>
          <w:p w14:paraId="40207F43" w14:textId="77777777" w:rsidR="00964912" w:rsidRDefault="00964912" w:rsidP="00E161EF">
            <w:pPr>
              <w:pStyle w:val="TAH"/>
            </w:pPr>
            <w:r>
              <w:t>Cardinality</w:t>
            </w:r>
          </w:p>
        </w:tc>
        <w:tc>
          <w:tcPr>
            <w:tcW w:w="3330" w:type="dxa"/>
            <w:shd w:val="clear" w:color="auto" w:fill="C0C0C0"/>
            <w:hideMark/>
          </w:tcPr>
          <w:p w14:paraId="39BEFCFD" w14:textId="77777777" w:rsidR="00964912" w:rsidRDefault="00964912" w:rsidP="00E161EF">
            <w:pPr>
              <w:pStyle w:val="TAH"/>
              <w:rPr>
                <w:rFonts w:cs="Arial"/>
                <w:szCs w:val="18"/>
              </w:rPr>
            </w:pPr>
            <w:r>
              <w:rPr>
                <w:rFonts w:cs="Arial"/>
                <w:szCs w:val="18"/>
              </w:rPr>
              <w:t>Description</w:t>
            </w:r>
          </w:p>
        </w:tc>
      </w:tr>
      <w:tr w:rsidR="00964912" w14:paraId="00A170F6" w14:textId="77777777" w:rsidTr="00964912">
        <w:trPr>
          <w:cantSplit/>
          <w:trHeight w:val="284"/>
          <w:jc w:val="center"/>
        </w:trPr>
        <w:tc>
          <w:tcPr>
            <w:tcW w:w="1699" w:type="dxa"/>
          </w:tcPr>
          <w:p w14:paraId="73998A43" w14:textId="2F685EC2" w:rsidR="00964912" w:rsidRDefault="00964912" w:rsidP="00326E8A">
            <w:pPr>
              <w:pStyle w:val="TAL"/>
              <w:tabs>
                <w:tab w:val="left" w:pos="830"/>
              </w:tabs>
            </w:pPr>
            <w:r>
              <w:t>policyTemplateId</w:t>
            </w:r>
          </w:p>
        </w:tc>
        <w:tc>
          <w:tcPr>
            <w:tcW w:w="1710" w:type="dxa"/>
          </w:tcPr>
          <w:p w14:paraId="645A293E" w14:textId="0E4C9BC0" w:rsidR="00964912" w:rsidRDefault="00964912" w:rsidP="00E161EF">
            <w:pPr>
              <w:pStyle w:val="TAL"/>
            </w:pPr>
            <w:r>
              <w:t>ResourceId</w:t>
            </w:r>
          </w:p>
        </w:tc>
        <w:tc>
          <w:tcPr>
            <w:tcW w:w="360" w:type="dxa"/>
          </w:tcPr>
          <w:p w14:paraId="71ED27EE" w14:textId="40FF54E3" w:rsidR="00964912" w:rsidRDefault="00964912" w:rsidP="00E161EF">
            <w:pPr>
              <w:pStyle w:val="TAC"/>
            </w:pPr>
            <w:r>
              <w:t>O</w:t>
            </w:r>
          </w:p>
        </w:tc>
        <w:tc>
          <w:tcPr>
            <w:tcW w:w="1170" w:type="dxa"/>
          </w:tcPr>
          <w:p w14:paraId="3221D1B1" w14:textId="074655F8" w:rsidR="00964912" w:rsidRDefault="00964912" w:rsidP="00E161EF">
            <w:pPr>
              <w:pStyle w:val="TAC"/>
            </w:pPr>
            <w:r>
              <w:t>0..1</w:t>
            </w:r>
          </w:p>
        </w:tc>
        <w:tc>
          <w:tcPr>
            <w:tcW w:w="3330" w:type="dxa"/>
          </w:tcPr>
          <w:p w14:paraId="5676536F" w14:textId="0E38D010" w:rsidR="00964912" w:rsidRDefault="00964912" w:rsidP="00E161EF">
            <w:pPr>
              <w:pStyle w:val="TAL"/>
              <w:rPr>
                <w:rFonts w:cs="Arial"/>
                <w:szCs w:val="18"/>
              </w:rPr>
            </w:pPr>
            <w:r>
              <w:rPr>
                <w:rFonts w:cs="Arial"/>
                <w:szCs w:val="18"/>
              </w:rPr>
              <w:t>Identifier of the provisioned policy template</w:t>
            </w:r>
          </w:p>
        </w:tc>
      </w:tr>
      <w:tr w:rsidR="00964912" w14:paraId="74F6EDB5" w14:textId="77777777" w:rsidTr="00964912">
        <w:trPr>
          <w:cantSplit/>
          <w:trHeight w:val="284"/>
          <w:jc w:val="center"/>
        </w:trPr>
        <w:tc>
          <w:tcPr>
            <w:tcW w:w="1699" w:type="dxa"/>
          </w:tcPr>
          <w:p w14:paraId="62914CE6" w14:textId="49831CA6" w:rsidR="00964912" w:rsidRDefault="00964912" w:rsidP="00E161EF">
            <w:pPr>
              <w:pStyle w:val="TAL"/>
            </w:pPr>
            <w:r>
              <w:t>mediaComponentQoS</w:t>
            </w:r>
          </w:p>
        </w:tc>
        <w:tc>
          <w:tcPr>
            <w:tcW w:w="1710" w:type="dxa"/>
          </w:tcPr>
          <w:p w14:paraId="7B40116E" w14:textId="42B9E89A" w:rsidR="00964912" w:rsidRDefault="009421ED" w:rsidP="00E161EF">
            <w:pPr>
              <w:pStyle w:val="TAL"/>
            </w:pPr>
            <w:r>
              <w:t>Array(</w:t>
            </w:r>
            <w:r w:rsidR="00964912">
              <w:t>MediaComponentQoS</w:t>
            </w:r>
            <w:r>
              <w:t>)</w:t>
            </w:r>
          </w:p>
        </w:tc>
        <w:tc>
          <w:tcPr>
            <w:tcW w:w="360" w:type="dxa"/>
          </w:tcPr>
          <w:p w14:paraId="63E9AF28" w14:textId="0059D3F7" w:rsidR="00964912" w:rsidRDefault="00964912" w:rsidP="00E161EF">
            <w:pPr>
              <w:pStyle w:val="TAC"/>
            </w:pPr>
            <w:r>
              <w:t>M</w:t>
            </w:r>
          </w:p>
        </w:tc>
        <w:tc>
          <w:tcPr>
            <w:tcW w:w="1170" w:type="dxa"/>
          </w:tcPr>
          <w:p w14:paraId="16F177A9" w14:textId="17A86AEC" w:rsidR="00964912" w:rsidRDefault="00964912" w:rsidP="00E161EF">
            <w:pPr>
              <w:pStyle w:val="TAC"/>
            </w:pPr>
            <w:r>
              <w:t>0..n</w:t>
            </w:r>
          </w:p>
        </w:tc>
        <w:tc>
          <w:tcPr>
            <w:tcW w:w="3330" w:type="dxa"/>
          </w:tcPr>
          <w:p w14:paraId="488857F9" w14:textId="3DF0F404" w:rsidR="00964912" w:rsidRDefault="00964912" w:rsidP="00E161EF">
            <w:pPr>
              <w:pStyle w:val="TAL"/>
              <w:rPr>
                <w:rFonts w:cs="Arial"/>
                <w:szCs w:val="18"/>
              </w:rPr>
            </w:pPr>
            <w:r>
              <w:rPr>
                <w:rFonts w:cs="Arial"/>
                <w:szCs w:val="18"/>
              </w:rPr>
              <w:t>A list of QoS allocation specifications for the media sessions of the WebRTC session.</w:t>
            </w:r>
          </w:p>
        </w:tc>
      </w:tr>
    </w:tbl>
    <w:p w14:paraId="7A34971B" w14:textId="50DBA78B" w:rsidR="00326E8A" w:rsidRDefault="00326E8A" w:rsidP="00E5180B">
      <w:pPr>
        <w:rPr>
          <w:lang w:val="en-US"/>
        </w:rPr>
      </w:pPr>
    </w:p>
    <w:p w14:paraId="5A283F3F" w14:textId="6BF7E5C2" w:rsidR="00964912" w:rsidRDefault="00964912" w:rsidP="00964912">
      <w:pPr>
        <w:rPr>
          <w:lang w:val="en-US"/>
        </w:rPr>
      </w:pPr>
      <w:r>
        <w:rPr>
          <w:lang w:val="en-US"/>
        </w:rPr>
        <w:t>The MediaComponentQoS object contains the following information:</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tblGrid>
      <w:tr w:rsidR="00964912" w14:paraId="6D1EB955" w14:textId="77777777" w:rsidTr="00E161EF">
        <w:trPr>
          <w:cantSplit/>
          <w:trHeight w:val="284"/>
          <w:tblHeader/>
          <w:jc w:val="center"/>
        </w:trPr>
        <w:tc>
          <w:tcPr>
            <w:tcW w:w="1699" w:type="dxa"/>
            <w:shd w:val="clear" w:color="auto" w:fill="C0C0C0"/>
            <w:hideMark/>
          </w:tcPr>
          <w:p w14:paraId="083A4531" w14:textId="77777777" w:rsidR="00964912" w:rsidRDefault="00964912" w:rsidP="00E161EF">
            <w:pPr>
              <w:pStyle w:val="TAH"/>
            </w:pPr>
            <w:r>
              <w:t>Attribute name</w:t>
            </w:r>
          </w:p>
        </w:tc>
        <w:tc>
          <w:tcPr>
            <w:tcW w:w="1710" w:type="dxa"/>
            <w:shd w:val="clear" w:color="auto" w:fill="C0C0C0"/>
            <w:hideMark/>
          </w:tcPr>
          <w:p w14:paraId="3E7D2831" w14:textId="77777777" w:rsidR="00964912" w:rsidRDefault="00964912" w:rsidP="00E161EF">
            <w:pPr>
              <w:pStyle w:val="TAH"/>
            </w:pPr>
            <w:r>
              <w:t>Data type</w:t>
            </w:r>
          </w:p>
        </w:tc>
        <w:tc>
          <w:tcPr>
            <w:tcW w:w="360" w:type="dxa"/>
            <w:shd w:val="clear" w:color="auto" w:fill="C0C0C0"/>
            <w:hideMark/>
          </w:tcPr>
          <w:p w14:paraId="627BACE6" w14:textId="77777777" w:rsidR="00964912" w:rsidRDefault="00964912" w:rsidP="00E161EF">
            <w:pPr>
              <w:pStyle w:val="TAH"/>
            </w:pPr>
            <w:r>
              <w:t>P</w:t>
            </w:r>
          </w:p>
        </w:tc>
        <w:tc>
          <w:tcPr>
            <w:tcW w:w="1170" w:type="dxa"/>
            <w:shd w:val="clear" w:color="auto" w:fill="C0C0C0"/>
            <w:hideMark/>
          </w:tcPr>
          <w:p w14:paraId="3DA4F03C" w14:textId="77777777" w:rsidR="00964912" w:rsidRDefault="00964912" w:rsidP="00E161EF">
            <w:pPr>
              <w:pStyle w:val="TAH"/>
            </w:pPr>
            <w:r>
              <w:t>Cardinality</w:t>
            </w:r>
          </w:p>
        </w:tc>
        <w:tc>
          <w:tcPr>
            <w:tcW w:w="3330" w:type="dxa"/>
            <w:shd w:val="clear" w:color="auto" w:fill="C0C0C0"/>
            <w:hideMark/>
          </w:tcPr>
          <w:p w14:paraId="7BA11139" w14:textId="77777777" w:rsidR="00964912" w:rsidRDefault="00964912" w:rsidP="00E161EF">
            <w:pPr>
              <w:pStyle w:val="TAH"/>
              <w:rPr>
                <w:rFonts w:cs="Arial"/>
                <w:szCs w:val="18"/>
              </w:rPr>
            </w:pPr>
            <w:r>
              <w:rPr>
                <w:rFonts w:cs="Arial"/>
                <w:szCs w:val="18"/>
              </w:rPr>
              <w:t>Description</w:t>
            </w:r>
          </w:p>
        </w:tc>
      </w:tr>
      <w:tr w:rsidR="00964912" w14:paraId="24C26568" w14:textId="77777777" w:rsidTr="00E161EF">
        <w:trPr>
          <w:cantSplit/>
          <w:trHeight w:val="284"/>
          <w:jc w:val="center"/>
        </w:trPr>
        <w:tc>
          <w:tcPr>
            <w:tcW w:w="1699" w:type="dxa"/>
          </w:tcPr>
          <w:p w14:paraId="5E6FC346" w14:textId="66BE24EE" w:rsidR="00964912" w:rsidRDefault="00964912" w:rsidP="00E161EF">
            <w:pPr>
              <w:pStyle w:val="TAL"/>
              <w:tabs>
                <w:tab w:val="left" w:pos="830"/>
              </w:tabs>
            </w:pPr>
            <w:r>
              <w:t>Name</w:t>
            </w:r>
          </w:p>
        </w:tc>
        <w:tc>
          <w:tcPr>
            <w:tcW w:w="1710" w:type="dxa"/>
          </w:tcPr>
          <w:p w14:paraId="00A32E1F" w14:textId="6147DF34" w:rsidR="00964912" w:rsidRDefault="00964912" w:rsidP="00E161EF">
            <w:pPr>
              <w:pStyle w:val="TAL"/>
            </w:pPr>
            <w:r>
              <w:t>string</w:t>
            </w:r>
          </w:p>
        </w:tc>
        <w:tc>
          <w:tcPr>
            <w:tcW w:w="360" w:type="dxa"/>
          </w:tcPr>
          <w:p w14:paraId="0F2D1F00" w14:textId="546A9E98" w:rsidR="00964912" w:rsidRDefault="00964912" w:rsidP="00E161EF">
            <w:pPr>
              <w:pStyle w:val="TAC"/>
            </w:pPr>
            <w:r>
              <w:t>M</w:t>
            </w:r>
          </w:p>
        </w:tc>
        <w:tc>
          <w:tcPr>
            <w:tcW w:w="1170" w:type="dxa"/>
          </w:tcPr>
          <w:p w14:paraId="510AFE45" w14:textId="49EF879D" w:rsidR="00964912" w:rsidRDefault="00964912" w:rsidP="00E161EF">
            <w:pPr>
              <w:pStyle w:val="TAC"/>
            </w:pPr>
            <w:r>
              <w:t>1</w:t>
            </w:r>
          </w:p>
        </w:tc>
        <w:tc>
          <w:tcPr>
            <w:tcW w:w="3330" w:type="dxa"/>
          </w:tcPr>
          <w:p w14:paraId="2DC9760C" w14:textId="3002A734" w:rsidR="00964912" w:rsidRDefault="00964912" w:rsidP="00E161EF">
            <w:pPr>
              <w:pStyle w:val="TAL"/>
              <w:rPr>
                <w:rFonts w:cs="Arial"/>
                <w:szCs w:val="18"/>
              </w:rPr>
            </w:pPr>
            <w:r>
              <w:rPr>
                <w:rFonts w:cs="Arial"/>
                <w:szCs w:val="18"/>
              </w:rPr>
              <w:t>Unique identifier of this media component in the session</w:t>
            </w:r>
          </w:p>
        </w:tc>
      </w:tr>
      <w:tr w:rsidR="00964912" w14:paraId="74D713AE" w14:textId="77777777" w:rsidTr="00E161EF">
        <w:trPr>
          <w:cantSplit/>
          <w:trHeight w:val="284"/>
          <w:jc w:val="center"/>
        </w:trPr>
        <w:tc>
          <w:tcPr>
            <w:tcW w:w="1699" w:type="dxa"/>
          </w:tcPr>
          <w:p w14:paraId="57481BB3" w14:textId="01467850" w:rsidR="00964912" w:rsidRDefault="00964912" w:rsidP="00E161EF">
            <w:pPr>
              <w:pStyle w:val="TAL"/>
            </w:pPr>
            <w:r>
              <w:t>flowDescription</w:t>
            </w:r>
          </w:p>
        </w:tc>
        <w:tc>
          <w:tcPr>
            <w:tcW w:w="1710" w:type="dxa"/>
          </w:tcPr>
          <w:p w14:paraId="045B980B" w14:textId="03DEB4CC" w:rsidR="00964912" w:rsidRDefault="00964912" w:rsidP="00E161EF">
            <w:pPr>
              <w:pStyle w:val="TAL"/>
            </w:pPr>
            <w:r>
              <w:t>FlowDescription</w:t>
            </w:r>
          </w:p>
        </w:tc>
        <w:tc>
          <w:tcPr>
            <w:tcW w:w="360" w:type="dxa"/>
          </w:tcPr>
          <w:p w14:paraId="48E494B2" w14:textId="73AA09F2" w:rsidR="00964912" w:rsidRDefault="00964912" w:rsidP="00E161EF">
            <w:pPr>
              <w:pStyle w:val="TAC"/>
            </w:pPr>
            <w:r>
              <w:t>M</w:t>
            </w:r>
          </w:p>
        </w:tc>
        <w:tc>
          <w:tcPr>
            <w:tcW w:w="1170" w:type="dxa"/>
          </w:tcPr>
          <w:p w14:paraId="04293B12" w14:textId="78D90640" w:rsidR="00964912" w:rsidRDefault="00964912" w:rsidP="00E161EF">
            <w:pPr>
              <w:pStyle w:val="TAC"/>
            </w:pPr>
            <w:r>
              <w:t>1</w:t>
            </w:r>
          </w:p>
        </w:tc>
        <w:tc>
          <w:tcPr>
            <w:tcW w:w="3330" w:type="dxa"/>
          </w:tcPr>
          <w:p w14:paraId="3CCBE32D" w14:textId="058B7499" w:rsidR="00964912" w:rsidRDefault="00964912" w:rsidP="00E161EF">
            <w:pPr>
              <w:pStyle w:val="TAL"/>
              <w:rPr>
                <w:rFonts w:cs="Arial"/>
                <w:szCs w:val="18"/>
              </w:rPr>
            </w:pPr>
            <w:r>
              <w:rPr>
                <w:rFonts w:cs="Arial"/>
                <w:szCs w:val="18"/>
              </w:rPr>
              <w:t>The flow description, provided as a 5-Tuple, for the media component.</w:t>
            </w:r>
          </w:p>
        </w:tc>
      </w:tr>
      <w:tr w:rsidR="00964912" w14:paraId="2EC25C2F" w14:textId="77777777" w:rsidTr="00E161EF">
        <w:trPr>
          <w:cantSplit/>
          <w:trHeight w:val="284"/>
          <w:jc w:val="center"/>
        </w:trPr>
        <w:tc>
          <w:tcPr>
            <w:tcW w:w="1699" w:type="dxa"/>
          </w:tcPr>
          <w:p w14:paraId="495FD00B" w14:textId="4FF6D6BF" w:rsidR="00964912" w:rsidRDefault="00964912" w:rsidP="00E161EF">
            <w:pPr>
              <w:pStyle w:val="TAL"/>
            </w:pPr>
            <w:r>
              <w:t>qosAllocation</w:t>
            </w:r>
          </w:p>
        </w:tc>
        <w:tc>
          <w:tcPr>
            <w:tcW w:w="1710" w:type="dxa"/>
          </w:tcPr>
          <w:p w14:paraId="7BBD2483" w14:textId="281C0A53" w:rsidR="00964912" w:rsidRDefault="00964912" w:rsidP="00E161EF">
            <w:pPr>
              <w:pStyle w:val="TAL"/>
            </w:pPr>
            <w:r>
              <w:t>M5QoSSpecification</w:t>
            </w:r>
          </w:p>
        </w:tc>
        <w:tc>
          <w:tcPr>
            <w:tcW w:w="360" w:type="dxa"/>
          </w:tcPr>
          <w:p w14:paraId="222EB2B9" w14:textId="32AF3006" w:rsidR="00964912" w:rsidRDefault="00964912" w:rsidP="00E161EF">
            <w:pPr>
              <w:pStyle w:val="TAC"/>
            </w:pPr>
            <w:r>
              <w:t>M</w:t>
            </w:r>
          </w:p>
        </w:tc>
        <w:tc>
          <w:tcPr>
            <w:tcW w:w="1170" w:type="dxa"/>
          </w:tcPr>
          <w:p w14:paraId="748B23DE" w14:textId="4A8ABC7C" w:rsidR="00964912" w:rsidRDefault="00964912" w:rsidP="00E161EF">
            <w:pPr>
              <w:pStyle w:val="TAC"/>
            </w:pPr>
            <w:r>
              <w:t>1</w:t>
            </w:r>
          </w:p>
        </w:tc>
        <w:tc>
          <w:tcPr>
            <w:tcW w:w="3330" w:type="dxa"/>
          </w:tcPr>
          <w:p w14:paraId="18EBF27D" w14:textId="13F3D979" w:rsidR="00964912" w:rsidRDefault="00964912" w:rsidP="00E161EF">
            <w:pPr>
              <w:pStyle w:val="TAL"/>
              <w:rPr>
                <w:rFonts w:cs="Arial"/>
                <w:szCs w:val="18"/>
              </w:rPr>
            </w:pPr>
            <w:r>
              <w:rPr>
                <w:rFonts w:cs="Arial"/>
                <w:szCs w:val="18"/>
              </w:rPr>
              <w:t xml:space="preserve">The QoS description as described in 3GPP TS26.512, which applies to the </w:t>
            </w:r>
            <w:r w:rsidR="009421ED">
              <w:rPr>
                <w:rFonts w:cs="Arial"/>
                <w:szCs w:val="18"/>
              </w:rPr>
              <w:t xml:space="preserve">stream with the given </w:t>
            </w:r>
            <w:r>
              <w:rPr>
                <w:rFonts w:cs="Arial"/>
                <w:szCs w:val="18"/>
              </w:rPr>
              <w:t>flow descriptio</w:t>
            </w:r>
            <w:r w:rsidR="009421ED">
              <w:rPr>
                <w:rFonts w:cs="Arial"/>
                <w:szCs w:val="18"/>
              </w:rPr>
              <w:t>n.</w:t>
            </w:r>
          </w:p>
        </w:tc>
      </w:tr>
    </w:tbl>
    <w:p w14:paraId="20363E96" w14:textId="7EFB4755" w:rsidR="00964912" w:rsidRDefault="00964912" w:rsidP="00964912">
      <w:pPr>
        <w:rPr>
          <w:lang w:val="en-US"/>
        </w:rPr>
      </w:pPr>
    </w:p>
    <w:p w14:paraId="08EC8C0E" w14:textId="31C1C76E" w:rsidR="009421ED" w:rsidRDefault="009421ED" w:rsidP="009421ED">
      <w:pPr>
        <w:pStyle w:val="Heading2"/>
        <w:numPr>
          <w:ilvl w:val="1"/>
          <w:numId w:val="25"/>
        </w:numPr>
      </w:pPr>
      <w:r>
        <w:t>Mapping of the Media Sub-components</w:t>
      </w:r>
    </w:p>
    <w:p w14:paraId="720CA2AC" w14:textId="37F6E5A6" w:rsidR="009421ED" w:rsidRDefault="009421ED" w:rsidP="009421ED">
      <w:pPr>
        <w:rPr>
          <w:lang w:val="en-US"/>
        </w:rPr>
      </w:pPr>
      <w:r>
        <w:rPr>
          <w:lang w:val="en-US"/>
        </w:rPr>
        <w:t xml:space="preserve">The QoS policy template is extended to include a name for each sub-component of the session. The name is used to associate the actual media stream with the QoS sub-component policy. The RTC AF uses this mapping to associate the network assistance request for each media stream to the corresponding sub-component of the </w:t>
      </w:r>
      <w:r w:rsidR="00040CAB">
        <w:rPr>
          <w:lang w:val="en-US"/>
        </w:rPr>
        <w:t xml:space="preserve">QoS policy. </w:t>
      </w:r>
    </w:p>
    <w:p w14:paraId="15D4DC9C" w14:textId="78A3F1D4" w:rsidR="00040CAB" w:rsidRPr="009421ED" w:rsidRDefault="00040CAB" w:rsidP="009421ED">
      <w:pPr>
        <w:rPr>
          <w:lang w:val="en-US"/>
        </w:rPr>
      </w:pPr>
      <w:r>
        <w:rPr>
          <w:lang w:val="en-US"/>
        </w:rPr>
        <w:t>The RTC AF uses this information to verify that the requested/desired QoS for each component is aligned with the provisioned QoS policy by the Application Service Provider (ASP).</w:t>
      </w:r>
    </w:p>
    <w:p w14:paraId="613FE5E7" w14:textId="779255CF" w:rsidR="00090904" w:rsidRDefault="00090904" w:rsidP="00E5180B">
      <w:pPr>
        <w:pStyle w:val="Heading1"/>
        <w:numPr>
          <w:ilvl w:val="0"/>
          <w:numId w:val="25"/>
        </w:numPr>
      </w:pPr>
      <w:r>
        <w:t>Proposal</w:t>
      </w:r>
    </w:p>
    <w:p w14:paraId="43F2D1A6" w14:textId="002827CD" w:rsidR="00090904" w:rsidRPr="007F6DA5" w:rsidRDefault="00090904" w:rsidP="007F6DA5">
      <w:pPr>
        <w:rPr>
          <w:lang w:val="en-US"/>
        </w:rPr>
      </w:pPr>
      <w:r>
        <w:rPr>
          <w:lang w:val="en-US"/>
        </w:rPr>
        <w:t xml:space="preserve">We propose to </w:t>
      </w:r>
      <w:r w:rsidR="00040CAB">
        <w:rPr>
          <w:lang w:val="en-US"/>
        </w:rPr>
        <w:t>agree the content of section 2 to TS26.113</w:t>
      </w:r>
      <w:r w:rsidR="00F062FB">
        <w:rPr>
          <w:lang w:val="en-US"/>
        </w:rPr>
        <w:t xml:space="preserve"> and liaise with SA2 and CT3 to implement the necessary changes to N5 and N33</w:t>
      </w:r>
      <w:r>
        <w:rPr>
          <w:lang w:val="en-US"/>
        </w:rPr>
        <w:t>.</w:t>
      </w:r>
      <w:bookmarkEnd w:id="1"/>
    </w:p>
    <w:sectPr w:rsidR="00090904" w:rsidRPr="007F6DA5"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F035" w14:textId="77777777" w:rsidR="00E0670A" w:rsidRDefault="00E0670A">
      <w:r>
        <w:separator/>
      </w:r>
    </w:p>
  </w:endnote>
  <w:endnote w:type="continuationSeparator" w:id="0">
    <w:p w14:paraId="4CB682AF" w14:textId="77777777" w:rsidR="00E0670A" w:rsidRDefault="00E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FC4C" w14:textId="77777777" w:rsidR="00E0670A" w:rsidRDefault="00E0670A">
      <w:r>
        <w:separator/>
      </w:r>
    </w:p>
  </w:footnote>
  <w:footnote w:type="continuationSeparator" w:id="0">
    <w:p w14:paraId="2B1EB422" w14:textId="77777777" w:rsidR="00E0670A" w:rsidRDefault="00E0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B2" w14:textId="26D44564" w:rsidR="00DA292D" w:rsidRPr="0056686C" w:rsidRDefault="00DA292D"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pt-BR"/>
      </w:rPr>
    </w:pPr>
    <w:bookmarkStart w:id="7" w:name="_Hlk131495426"/>
    <w:bookmarkStart w:id="8" w:name="_Hlk131495427"/>
    <w:r w:rsidRPr="0056686C">
      <w:rPr>
        <w:rFonts w:ascii="Arial" w:eastAsia="SimSun" w:hAnsi="Arial" w:cs="Arial"/>
        <w:sz w:val="22"/>
        <w:lang w:val="pt-BR"/>
      </w:rPr>
      <w:t xml:space="preserve">TSG SA4 </w:t>
    </w:r>
    <w:r w:rsidR="00DF7631" w:rsidRPr="0056686C">
      <w:rPr>
        <w:rFonts w:ascii="Arial" w:eastAsia="SimSun" w:hAnsi="Arial" w:cs="Arial"/>
        <w:sz w:val="22"/>
        <w:lang w:val="pt-BR"/>
      </w:rPr>
      <w:t>SWG #12</w:t>
    </w:r>
    <w:r w:rsidR="0056686C" w:rsidRPr="0056686C">
      <w:rPr>
        <w:rFonts w:ascii="Arial" w:eastAsia="SimSun" w:hAnsi="Arial" w:cs="Arial"/>
        <w:sz w:val="22"/>
        <w:lang w:val="pt-BR"/>
      </w:rPr>
      <w:t>3-e</w:t>
    </w:r>
    <w:r w:rsidRPr="0056686C">
      <w:rPr>
        <w:rFonts w:ascii="Arial" w:eastAsia="SimSun" w:hAnsi="Arial" w:cs="Arial"/>
        <w:b/>
        <w:i/>
        <w:sz w:val="22"/>
        <w:lang w:val="pt-BR"/>
      </w:rPr>
      <w:tab/>
    </w:r>
    <w:r w:rsidRPr="0056686C">
      <w:rPr>
        <w:rFonts w:ascii="Arial" w:eastAsia="SimSun" w:hAnsi="Arial" w:cs="Arial"/>
        <w:b/>
        <w:i/>
        <w:sz w:val="28"/>
        <w:szCs w:val="28"/>
        <w:lang w:val="pt-BR"/>
      </w:rPr>
      <w:t>Tdoc S4</w:t>
    </w:r>
    <w:r w:rsidR="0056686C" w:rsidRPr="0056686C">
      <w:rPr>
        <w:rFonts w:ascii="Arial" w:eastAsia="SimSun" w:hAnsi="Arial" w:cs="Arial"/>
        <w:b/>
        <w:i/>
        <w:sz w:val="28"/>
        <w:szCs w:val="28"/>
        <w:lang w:val="pt-BR"/>
      </w:rPr>
      <w:t>-</w:t>
    </w:r>
    <w:r w:rsidR="00DF7631" w:rsidRPr="0056686C">
      <w:rPr>
        <w:rFonts w:ascii="Arial" w:eastAsia="SimSun" w:hAnsi="Arial" w:cs="Arial"/>
        <w:b/>
        <w:i/>
        <w:sz w:val="28"/>
        <w:szCs w:val="28"/>
        <w:lang w:val="pt-BR"/>
      </w:rPr>
      <w:t>23</w:t>
    </w:r>
    <w:r w:rsidR="00F062FB">
      <w:rPr>
        <w:rFonts w:ascii="Arial" w:eastAsia="SimSun" w:hAnsi="Arial" w:cs="Arial"/>
        <w:b/>
        <w:i/>
        <w:sz w:val="28"/>
        <w:szCs w:val="28"/>
        <w:lang w:val="pt-BR"/>
      </w:rPr>
      <w:t>0</w:t>
    </w:r>
    <w:del w:id="9" w:author="Author">
      <w:r w:rsidR="00F062FB" w:rsidDel="00EB7D36">
        <w:rPr>
          <w:rFonts w:ascii="Arial" w:eastAsia="SimSun" w:hAnsi="Arial" w:cs="Arial"/>
          <w:b/>
          <w:i/>
          <w:sz w:val="28"/>
          <w:szCs w:val="28"/>
          <w:lang w:val="pt-BR"/>
        </w:rPr>
        <w:delText>558</w:delText>
      </w:r>
    </w:del>
    <w:ins w:id="10" w:author="Author">
      <w:r w:rsidR="00EB7D36">
        <w:rPr>
          <w:rFonts w:ascii="Arial" w:eastAsia="SimSun" w:hAnsi="Arial" w:cs="Arial"/>
          <w:b/>
          <w:i/>
          <w:sz w:val="28"/>
          <w:szCs w:val="28"/>
          <w:lang w:val="pt-BR"/>
        </w:rPr>
        <w:t>670</w:t>
      </w:r>
    </w:ins>
  </w:p>
  <w:p w14:paraId="3B56539F" w14:textId="2936E7AC" w:rsidR="008075BF" w:rsidRPr="00DA292D" w:rsidRDefault="001921D4"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w:t>
    </w:r>
    <w:r w:rsidR="0056686C">
      <w:rPr>
        <w:rFonts w:ascii="Arial" w:eastAsia="SimSun" w:hAnsi="Arial" w:cs="Arial"/>
        <w:sz w:val="22"/>
        <w:lang w:eastAsia="zh-CN"/>
      </w:rPr>
      <w:t>7</w:t>
    </w:r>
    <w:r w:rsidRPr="001921D4">
      <w:rPr>
        <w:rFonts w:ascii="Arial" w:eastAsia="SimSun" w:hAnsi="Arial" w:cs="Arial"/>
        <w:sz w:val="22"/>
        <w:vertAlign w:val="superscript"/>
        <w:lang w:eastAsia="zh-CN"/>
      </w:rPr>
      <w:t>th</w:t>
    </w:r>
    <w:r>
      <w:rPr>
        <w:rFonts w:ascii="Arial" w:eastAsia="SimSun" w:hAnsi="Arial" w:cs="Arial"/>
        <w:sz w:val="22"/>
        <w:lang w:eastAsia="zh-CN"/>
      </w:rPr>
      <w:t xml:space="preserve"> </w:t>
    </w:r>
    <w:r w:rsidR="0056686C">
      <w:rPr>
        <w:rFonts w:ascii="Arial" w:eastAsia="SimSun" w:hAnsi="Arial" w:cs="Arial"/>
        <w:sz w:val="22"/>
        <w:lang w:eastAsia="zh-CN"/>
      </w:rPr>
      <w:t>– 21</w:t>
    </w:r>
    <w:r w:rsidR="0056686C" w:rsidRPr="0056686C">
      <w:rPr>
        <w:rFonts w:ascii="Arial" w:eastAsia="SimSun" w:hAnsi="Arial" w:cs="Arial"/>
        <w:sz w:val="22"/>
        <w:vertAlign w:val="superscript"/>
        <w:lang w:eastAsia="zh-CN"/>
      </w:rPr>
      <w:t>st</w:t>
    </w:r>
    <w:r w:rsidR="0056686C">
      <w:rPr>
        <w:rFonts w:ascii="Arial" w:eastAsia="SimSun" w:hAnsi="Arial" w:cs="Arial"/>
        <w:sz w:val="22"/>
        <w:lang w:eastAsia="zh-CN"/>
      </w:rPr>
      <w:t xml:space="preserve"> April</w:t>
    </w:r>
    <w:r w:rsidR="00DA292D">
      <w:rPr>
        <w:rFonts w:ascii="Arial" w:eastAsia="SimSun" w:hAnsi="Arial" w:cs="Arial"/>
        <w:sz w:val="22"/>
        <w:lang w:eastAsia="zh-CN"/>
      </w:rPr>
      <w:t xml:space="preserve">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56686C">
      <w:rPr>
        <w:rFonts w:ascii="Arial" w:eastAsia="SimSun" w:hAnsi="Arial" w:cs="Arial"/>
        <w:sz w:val="22"/>
        <w:lang w:eastAsia="zh-CN"/>
      </w:rPr>
      <w:t>3</w:t>
    </w:r>
    <w:r w:rsidR="00EA1466">
      <w:rPr>
        <w:rFonts w:ascii="Arial" w:eastAsia="SimSun" w:hAnsi="Arial" w:cs="Arial"/>
        <w:sz w:val="22"/>
        <w:lang w:eastAsia="zh-CN"/>
      </w:rPr>
      <w:t>, Online</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5011EA"/>
    <w:multiLevelType w:val="multilevel"/>
    <w:tmpl w:val="CEDC893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507E1"/>
    <w:multiLevelType w:val="hybridMultilevel"/>
    <w:tmpl w:val="DCC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43008"/>
    <w:multiLevelType w:val="hybridMultilevel"/>
    <w:tmpl w:val="9BC2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6"/>
  </w:num>
  <w:num w:numId="2" w16cid:durableId="281032281">
    <w:abstractNumId w:val="11"/>
  </w:num>
  <w:num w:numId="3" w16cid:durableId="175177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8"/>
  </w:num>
  <w:num w:numId="5" w16cid:durableId="1446458188">
    <w:abstractNumId w:val="2"/>
  </w:num>
  <w:num w:numId="6" w16cid:durableId="735123984">
    <w:abstractNumId w:val="4"/>
  </w:num>
  <w:num w:numId="7" w16cid:durableId="788552162">
    <w:abstractNumId w:val="6"/>
  </w:num>
  <w:num w:numId="8" w16cid:durableId="283195772">
    <w:abstractNumId w:val="0"/>
  </w:num>
  <w:num w:numId="9" w16cid:durableId="1031805320">
    <w:abstractNumId w:val="1"/>
  </w:num>
  <w:num w:numId="10" w16cid:durableId="169148494">
    <w:abstractNumId w:val="16"/>
  </w:num>
  <w:num w:numId="11" w16cid:durableId="1525971380">
    <w:abstractNumId w:val="13"/>
  </w:num>
  <w:num w:numId="12" w16cid:durableId="1511218414">
    <w:abstractNumId w:val="15"/>
  </w:num>
  <w:num w:numId="13" w16cid:durableId="815728443">
    <w:abstractNumId w:val="16"/>
  </w:num>
  <w:num w:numId="14" w16cid:durableId="910039807">
    <w:abstractNumId w:val="17"/>
  </w:num>
  <w:num w:numId="15" w16cid:durableId="1975134722">
    <w:abstractNumId w:val="12"/>
  </w:num>
  <w:num w:numId="16" w16cid:durableId="1712026302">
    <w:abstractNumId w:val="9"/>
  </w:num>
  <w:num w:numId="17" w16cid:durableId="2046057848">
    <w:abstractNumId w:val="16"/>
  </w:num>
  <w:num w:numId="18" w16cid:durableId="989986992">
    <w:abstractNumId w:val="16"/>
  </w:num>
  <w:num w:numId="19" w16cid:durableId="1419518851">
    <w:abstractNumId w:val="3"/>
  </w:num>
  <w:num w:numId="20" w16cid:durableId="69009680">
    <w:abstractNumId w:val="16"/>
  </w:num>
  <w:num w:numId="21" w16cid:durableId="1903441439">
    <w:abstractNumId w:val="16"/>
  </w:num>
  <w:num w:numId="22" w16cid:durableId="168373479">
    <w:abstractNumId w:val="16"/>
  </w:num>
  <w:num w:numId="23" w16cid:durableId="1997102615">
    <w:abstractNumId w:val="16"/>
  </w:num>
  <w:num w:numId="24" w16cid:durableId="374160874">
    <w:abstractNumId w:val="16"/>
  </w:num>
  <w:num w:numId="25" w16cid:durableId="230577659">
    <w:abstractNumId w:val="5"/>
  </w:num>
  <w:num w:numId="26" w16cid:durableId="2055150531">
    <w:abstractNumId w:val="7"/>
  </w:num>
  <w:num w:numId="27" w16cid:durableId="2007124942">
    <w:abstractNumId w:val="14"/>
  </w:num>
  <w:num w:numId="28" w16cid:durableId="82517019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0CAB"/>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9BB"/>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6D01"/>
    <w:rsid w:val="001272DB"/>
    <w:rsid w:val="001273E3"/>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4FA9"/>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19A"/>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97DD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26E8A"/>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B7234"/>
    <w:rsid w:val="003C2981"/>
    <w:rsid w:val="003C33DB"/>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6686C"/>
    <w:rsid w:val="00571B48"/>
    <w:rsid w:val="005722C4"/>
    <w:rsid w:val="00572514"/>
    <w:rsid w:val="00575245"/>
    <w:rsid w:val="00576392"/>
    <w:rsid w:val="00576581"/>
    <w:rsid w:val="005767DE"/>
    <w:rsid w:val="005801A4"/>
    <w:rsid w:val="00580BB5"/>
    <w:rsid w:val="00581C23"/>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569"/>
    <w:rsid w:val="00603C58"/>
    <w:rsid w:val="006050B0"/>
    <w:rsid w:val="0060671A"/>
    <w:rsid w:val="00610027"/>
    <w:rsid w:val="00610EF5"/>
    <w:rsid w:val="006130D1"/>
    <w:rsid w:val="0061419F"/>
    <w:rsid w:val="006146C5"/>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8FF"/>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0DAC"/>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42A"/>
    <w:rsid w:val="006E2F1C"/>
    <w:rsid w:val="006E58EF"/>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471"/>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47D"/>
    <w:rsid w:val="008A6CBB"/>
    <w:rsid w:val="008A6D59"/>
    <w:rsid w:val="008B0E17"/>
    <w:rsid w:val="008B1D26"/>
    <w:rsid w:val="008B31E5"/>
    <w:rsid w:val="008B32E6"/>
    <w:rsid w:val="008B4628"/>
    <w:rsid w:val="008B53D3"/>
    <w:rsid w:val="008B6C8F"/>
    <w:rsid w:val="008B7A88"/>
    <w:rsid w:val="008C2828"/>
    <w:rsid w:val="008C4FF3"/>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5D24"/>
    <w:rsid w:val="009162C5"/>
    <w:rsid w:val="0091769A"/>
    <w:rsid w:val="00922039"/>
    <w:rsid w:val="00924A38"/>
    <w:rsid w:val="009260B0"/>
    <w:rsid w:val="00926FC9"/>
    <w:rsid w:val="00927D9B"/>
    <w:rsid w:val="009300FE"/>
    <w:rsid w:val="009324CA"/>
    <w:rsid w:val="0093369D"/>
    <w:rsid w:val="00935202"/>
    <w:rsid w:val="00935BA5"/>
    <w:rsid w:val="00936A3C"/>
    <w:rsid w:val="00936EDA"/>
    <w:rsid w:val="009372C4"/>
    <w:rsid w:val="009400CC"/>
    <w:rsid w:val="00941772"/>
    <w:rsid w:val="00941C1E"/>
    <w:rsid w:val="009421ED"/>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4912"/>
    <w:rsid w:val="009650CF"/>
    <w:rsid w:val="009658A4"/>
    <w:rsid w:val="00965D75"/>
    <w:rsid w:val="00965E84"/>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4B5C"/>
    <w:rsid w:val="009A75DB"/>
    <w:rsid w:val="009A7C91"/>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1D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67F07"/>
    <w:rsid w:val="00A70403"/>
    <w:rsid w:val="00A71BC5"/>
    <w:rsid w:val="00A76451"/>
    <w:rsid w:val="00A76FCD"/>
    <w:rsid w:val="00A777BE"/>
    <w:rsid w:val="00A77D56"/>
    <w:rsid w:val="00A80598"/>
    <w:rsid w:val="00A81228"/>
    <w:rsid w:val="00A814DA"/>
    <w:rsid w:val="00A815DB"/>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06F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1668"/>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9C4"/>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5E4"/>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6E8C"/>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70A"/>
    <w:rsid w:val="00E06AC2"/>
    <w:rsid w:val="00E07382"/>
    <w:rsid w:val="00E10D09"/>
    <w:rsid w:val="00E150CE"/>
    <w:rsid w:val="00E16849"/>
    <w:rsid w:val="00E20D12"/>
    <w:rsid w:val="00E2220C"/>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180B"/>
    <w:rsid w:val="00E520EE"/>
    <w:rsid w:val="00E52585"/>
    <w:rsid w:val="00E55E79"/>
    <w:rsid w:val="00E56E3D"/>
    <w:rsid w:val="00E57068"/>
    <w:rsid w:val="00E60008"/>
    <w:rsid w:val="00E617F4"/>
    <w:rsid w:val="00E626AB"/>
    <w:rsid w:val="00E62C35"/>
    <w:rsid w:val="00E64B34"/>
    <w:rsid w:val="00E65140"/>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1017"/>
    <w:rsid w:val="00E82672"/>
    <w:rsid w:val="00E82BB1"/>
    <w:rsid w:val="00E83ACC"/>
    <w:rsid w:val="00E84023"/>
    <w:rsid w:val="00E84175"/>
    <w:rsid w:val="00E84284"/>
    <w:rsid w:val="00E86DE5"/>
    <w:rsid w:val="00E87A4B"/>
    <w:rsid w:val="00E87F4E"/>
    <w:rsid w:val="00E90B3F"/>
    <w:rsid w:val="00E92A51"/>
    <w:rsid w:val="00E93364"/>
    <w:rsid w:val="00E937CE"/>
    <w:rsid w:val="00E9412D"/>
    <w:rsid w:val="00E950BF"/>
    <w:rsid w:val="00E964E0"/>
    <w:rsid w:val="00E96BFD"/>
    <w:rsid w:val="00EA098D"/>
    <w:rsid w:val="00EA1466"/>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D36"/>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0A"/>
    <w:rsid w:val="00F04385"/>
    <w:rsid w:val="00F04A71"/>
    <w:rsid w:val="00F05CB0"/>
    <w:rsid w:val="00F05E18"/>
    <w:rsid w:val="00F062AB"/>
    <w:rsid w:val="00F062F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912"/>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character" w:customStyle="1" w:styleId="TAHChar">
    <w:name w:val="TAH Char"/>
    <w:qFormat/>
    <w:rsid w:val="000B39BB"/>
    <w:rPr>
      <w:rFonts w:ascii="Arial" w:hAnsi="Arial"/>
      <w:b/>
      <w:sz w:val="18"/>
      <w:lang w:val="en-GB"/>
    </w:rPr>
  </w:style>
  <w:style w:type="character" w:customStyle="1" w:styleId="TALChar">
    <w:name w:val="TAL Char"/>
    <w:qFormat/>
    <w:rsid w:val="000B39BB"/>
    <w:rPr>
      <w:rFonts w:ascii="Arial" w:hAnsi="Arial"/>
      <w:sz w:val="18"/>
      <w:lang w:val="en-GB"/>
    </w:rPr>
  </w:style>
  <w:style w:type="character" w:customStyle="1" w:styleId="TACChar">
    <w:name w:val="TAC Char"/>
    <w:link w:val="TAC"/>
    <w:qFormat/>
    <w:rsid w:val="000B39BB"/>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1151</Words>
  <Characters>6565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2023-04-20T06:26:00Z</dcterms:created>
  <dcterms:modified xsi:type="dcterms:W3CDTF">2023-04-20T06:39:00Z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