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8EECE" w14:textId="0B3AC4F3" w:rsidR="004543E4" w:rsidRPr="004543E4" w:rsidRDefault="004543E4" w:rsidP="004543E4">
      <w:pPr>
        <w:widowControl w:val="0"/>
        <w:tabs>
          <w:tab w:val="left" w:pos="2127"/>
        </w:tabs>
        <w:spacing w:before="240"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bookmarkStart w:id="0" w:name="OLE_LINK1"/>
      <w:bookmarkStart w:id="1" w:name="OLE_LINK2"/>
      <w:r w:rsidRPr="004543E4">
        <w:rPr>
          <w:rFonts w:ascii="Arial" w:eastAsia="Times New Roman" w:hAnsi="Arial" w:cs="Times New Roman"/>
          <w:b/>
          <w:sz w:val="24"/>
          <w:szCs w:val="20"/>
        </w:rPr>
        <w:t>Source: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</w:r>
      <w:r w:rsidR="00DE769C">
        <w:rPr>
          <w:rFonts w:ascii="Arial" w:eastAsia="Times New Roman" w:hAnsi="Arial" w:cs="Times New Roman"/>
          <w:b/>
          <w:sz w:val="24"/>
          <w:szCs w:val="20"/>
        </w:rPr>
        <w:t>Fraunhofer IIS</w:t>
      </w:r>
    </w:p>
    <w:p w14:paraId="338E198C" w14:textId="74397C30" w:rsidR="004543E4" w:rsidRPr="004543E4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4543E4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</w:r>
      <w:r w:rsidR="00E616E5">
        <w:rPr>
          <w:rFonts w:ascii="Arial" w:eastAsia="Times New Roman" w:hAnsi="Arial" w:cs="Times New Roman"/>
          <w:b/>
          <w:sz w:val="24"/>
          <w:szCs w:val="20"/>
        </w:rPr>
        <w:t>On duration</w:t>
      </w:r>
      <w:r w:rsidR="00C1143B">
        <w:rPr>
          <w:rFonts w:ascii="Arial" w:eastAsia="Times New Roman" w:hAnsi="Arial" w:cs="Times New Roman"/>
          <w:b/>
          <w:sz w:val="24"/>
          <w:szCs w:val="20"/>
        </w:rPr>
        <w:t xml:space="preserve"> and costs</w:t>
      </w:r>
      <w:r w:rsidR="00E616E5">
        <w:rPr>
          <w:rFonts w:ascii="Arial" w:eastAsia="Times New Roman" w:hAnsi="Arial" w:cs="Times New Roman"/>
          <w:b/>
          <w:sz w:val="24"/>
          <w:szCs w:val="20"/>
        </w:rPr>
        <w:t xml:space="preserve"> of MUSHRA Tests for Selection Phase</w:t>
      </w:r>
    </w:p>
    <w:bookmarkEnd w:id="0"/>
    <w:bookmarkEnd w:id="1"/>
    <w:p w14:paraId="6D76D8FD" w14:textId="03662BF0" w:rsidR="004543E4" w:rsidRPr="004543E4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4543E4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  <w:t>Discussion</w:t>
      </w:r>
    </w:p>
    <w:p w14:paraId="036F468B" w14:textId="67972995" w:rsidR="004543E4" w:rsidRPr="004543E4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4543E4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</w:r>
      <w:r w:rsidR="00F11642">
        <w:rPr>
          <w:rFonts w:ascii="Arial" w:eastAsia="Times New Roman" w:hAnsi="Arial" w:cs="Times New Roman"/>
          <w:b/>
          <w:sz w:val="24"/>
          <w:szCs w:val="20"/>
        </w:rPr>
        <w:t>7.5</w:t>
      </w:r>
    </w:p>
    <w:p w14:paraId="5EF1F3DF" w14:textId="77777777" w:rsidR="004543E4" w:rsidRPr="004543E4" w:rsidRDefault="004543E4" w:rsidP="004543E4">
      <w:pPr>
        <w:widowControl w:val="0"/>
        <w:pBdr>
          <w:top w:val="single" w:sz="12" w:space="1" w:color="auto"/>
        </w:pBdr>
        <w:spacing w:after="120" w:line="240" w:lineRule="atLeast"/>
        <w:jc w:val="both"/>
        <w:rPr>
          <w:rFonts w:ascii="Arial" w:eastAsia="Times New Roman" w:hAnsi="Arial" w:cs="Times New Roman"/>
          <w:sz w:val="20"/>
          <w:szCs w:val="20"/>
        </w:rPr>
      </w:pPr>
    </w:p>
    <w:p w14:paraId="50CC1505" w14:textId="4A37F1B9" w:rsidR="009C55F9" w:rsidRDefault="00E616E5" w:rsidP="00EA7B95">
      <w:pPr>
        <w:pStyle w:val="h2"/>
      </w:pPr>
      <w:r>
        <w:t>Introduction</w:t>
      </w:r>
      <w:r w:rsidR="00B424A5">
        <w:t xml:space="preserve"> </w:t>
      </w:r>
    </w:p>
    <w:p w14:paraId="2938BC10" w14:textId="501C9AF8" w:rsidR="00E616E5" w:rsidRPr="00ED6829" w:rsidRDefault="00E616E5" w:rsidP="00E616E5">
      <w:r>
        <w:t xml:space="preserve">In </w:t>
      </w:r>
      <w:r w:rsidR="00F366FF">
        <w:t>the IVAS Permanent Document IVAS-</w:t>
      </w:r>
      <w:r>
        <w:t>8a</w:t>
      </w:r>
      <w:r w:rsidR="00F366FF">
        <w:t xml:space="preserve"> </w:t>
      </w:r>
      <w:r w:rsidR="00F366FF" w:rsidRPr="00ED6829">
        <w:t>“Test Plan for S</w:t>
      </w:r>
      <w:r w:rsidR="00F366FF" w:rsidRPr="00ED6829">
        <w:rPr>
          <w:rFonts w:hint="eastAsia"/>
        </w:rPr>
        <w:t>election</w:t>
      </w:r>
      <w:r w:rsidR="00F366FF" w:rsidRPr="00ED6829">
        <w:t xml:space="preserve"> Phase, v.0.6.1”</w:t>
      </w:r>
      <w:r w:rsidR="00ED6829">
        <w:t xml:space="preserve"> [1]</w:t>
      </w:r>
      <w:r w:rsidRPr="00ED6829">
        <w:t xml:space="preserve"> it is stated</w:t>
      </w:r>
      <w:r w:rsidR="00F366FF" w:rsidRPr="00ED6829">
        <w:t>:</w:t>
      </w:r>
    </w:p>
    <w:p w14:paraId="73F971E5" w14:textId="6A33C991" w:rsidR="00E616E5" w:rsidRDefault="00E616E5" w:rsidP="00E616E5">
      <w:r w:rsidRPr="00E616E5">
        <w:t xml:space="preserve">Note: As a rough preliminary approximation, approximately the same cost per listener per experiment is assumed both for BS.1534 and </w:t>
      </w:r>
      <w:proofErr w:type="gramStart"/>
      <w:r w:rsidRPr="00E616E5">
        <w:t>P.SUPPL</w:t>
      </w:r>
      <w:proofErr w:type="gramEnd"/>
      <w:r w:rsidRPr="00E616E5">
        <w:t xml:space="preserve">800. Assuming 16 listeners for BS.1534, this would imply that the cost of one </w:t>
      </w:r>
      <w:proofErr w:type="gramStart"/>
      <w:r w:rsidRPr="00E616E5">
        <w:t>P.SUPPL</w:t>
      </w:r>
      <w:proofErr w:type="gramEnd"/>
      <w:r w:rsidRPr="00E616E5">
        <w:t>800 experiment is approximately equivalent to the cost of two BS.1534 experiments. This further implies that the cost to evaluate 10 conditions of a Codec under Test (</w:t>
      </w:r>
      <w:proofErr w:type="spellStart"/>
      <w:r w:rsidRPr="00E616E5">
        <w:t>CuT</w:t>
      </w:r>
      <w:proofErr w:type="spellEnd"/>
      <w:r w:rsidRPr="00E616E5">
        <w:t xml:space="preserve">) using </w:t>
      </w:r>
      <w:proofErr w:type="gramStart"/>
      <w:r w:rsidRPr="00E616E5">
        <w:t>P.SUPPL</w:t>
      </w:r>
      <w:proofErr w:type="gramEnd"/>
      <w:r w:rsidRPr="00E616E5">
        <w:t xml:space="preserve">800 is approximately equivalent to the cost to evaluate 2 </w:t>
      </w:r>
      <w:proofErr w:type="spellStart"/>
      <w:r w:rsidRPr="00E616E5">
        <w:t>CuT</w:t>
      </w:r>
      <w:proofErr w:type="spellEnd"/>
      <w:r w:rsidRPr="00E616E5">
        <w:t xml:space="preserve"> conditions using BS.1534.</w:t>
      </w:r>
    </w:p>
    <w:p w14:paraId="18677A2C" w14:textId="77777777" w:rsidR="00C1143B" w:rsidRDefault="00C1143B" w:rsidP="00E616E5">
      <w:pPr>
        <w:autoSpaceDE w:val="0"/>
        <w:autoSpaceDN w:val="0"/>
        <w:adjustRightInd w:val="0"/>
        <w:spacing w:after="0" w:line="240" w:lineRule="auto"/>
      </w:pPr>
      <w:r>
        <w:t>This contribution aims to continue discussions on specifics regarding the BS.1534 MUSHRA tests, that would influence the number of experiments that could be carried out and the possible respective costs.</w:t>
      </w:r>
    </w:p>
    <w:p w14:paraId="61DE71AF" w14:textId="77777777" w:rsidR="00C1143B" w:rsidRDefault="00C1143B" w:rsidP="00E616E5">
      <w:pPr>
        <w:autoSpaceDE w:val="0"/>
        <w:autoSpaceDN w:val="0"/>
        <w:adjustRightInd w:val="0"/>
        <w:spacing w:after="0" w:line="240" w:lineRule="auto"/>
      </w:pPr>
    </w:p>
    <w:p w14:paraId="24A0C339" w14:textId="6262D496" w:rsidR="00C1143B" w:rsidRDefault="003C6C48" w:rsidP="003C6C48">
      <w:pPr>
        <w:pStyle w:val="h2"/>
      </w:pPr>
      <w:r>
        <w:t>Background</w:t>
      </w:r>
    </w:p>
    <w:p w14:paraId="1732CA06" w14:textId="566D7DBA" w:rsidR="00097AF0" w:rsidRDefault="003C6C48" w:rsidP="00E616E5">
      <w:pPr>
        <w:autoSpaceDE w:val="0"/>
        <w:autoSpaceDN w:val="0"/>
        <w:adjustRightInd w:val="0"/>
        <w:spacing w:after="0" w:line="240" w:lineRule="auto"/>
      </w:pPr>
      <w:r>
        <w:t>In a study on the general topic of “</w:t>
      </w:r>
      <w:r w:rsidRPr="003C6C48">
        <w:rPr>
          <w:i/>
          <w:iCs/>
        </w:rPr>
        <w:t>Audio quality evaluation by experienced and inexperienced listener</w:t>
      </w:r>
      <w:r w:rsidRPr="003C6C48">
        <w:t>s</w:t>
      </w:r>
      <w:r>
        <w:t xml:space="preserve">” presented by </w:t>
      </w:r>
      <w:r w:rsidRPr="003C6C48">
        <w:t>Schinkel-Bielefeld</w:t>
      </w:r>
      <w:r>
        <w:t xml:space="preserve"> et al. [2], there is a section that analyzes and compares the listening time that expert and non-expert assessors required per condition. </w:t>
      </w:r>
      <w:r w:rsidR="00097AF0">
        <w:t xml:space="preserve">An interesting boxplot presented in the </w:t>
      </w:r>
      <w:r w:rsidR="00F96DAD">
        <w:t>paper shows the listening time for each condition</w:t>
      </w:r>
      <w:r w:rsidR="00097AF0">
        <w:t>:</w:t>
      </w:r>
    </w:p>
    <w:p w14:paraId="64D143A4" w14:textId="4B1CE097" w:rsidR="00097AF0" w:rsidRDefault="00097AF0" w:rsidP="00E616E5"/>
    <w:p w14:paraId="2DE0DDEB" w14:textId="29D705FB" w:rsidR="00097AF0" w:rsidRDefault="00097AF0" w:rsidP="00097AF0">
      <w:pPr>
        <w:jc w:val="center"/>
      </w:pPr>
      <w:r w:rsidRPr="00097AF0">
        <w:rPr>
          <w:noProof/>
        </w:rPr>
        <w:drawing>
          <wp:inline distT="0" distB="0" distL="0" distR="0" wp14:anchorId="390D30DF" wp14:editId="1F2EF4C7">
            <wp:extent cx="3200400" cy="2334090"/>
            <wp:effectExtent l="0" t="0" r="0" b="3175"/>
            <wp:docPr id="1" name="Picture 1" descr="Chart, ba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, bar char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92685" cy="2401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9F4C63" w14:textId="77777777" w:rsidR="00687F99" w:rsidRDefault="00687F99" w:rsidP="00687F99">
      <w:pPr>
        <w:autoSpaceDE w:val="0"/>
        <w:autoSpaceDN w:val="0"/>
        <w:adjustRightInd w:val="0"/>
        <w:spacing w:after="0" w:line="240" w:lineRule="auto"/>
      </w:pPr>
      <w:r w:rsidRPr="00687F99">
        <w:t>The observation made in the paper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 </w:t>
      </w:r>
      <w:r w:rsidRPr="00687F99">
        <w:rPr>
          <w:rFonts w:ascii="Times New Roman" w:hAnsi="Times New Roman" w:cs="Times New Roman"/>
          <w:i/>
          <w:iCs/>
          <w:lang w:val="en-GB"/>
        </w:rPr>
        <w:t>“</w:t>
      </w:r>
      <w:r w:rsidR="00097AF0" w:rsidRPr="00F366FF">
        <w:rPr>
          <w:i/>
          <w:iCs/>
        </w:rPr>
        <w:t>Listening times increased with audio quality of the condition. For the lowest quality conditions C1 and LP35, the mean listening times, 12.4 s and 12.2 s, respectively, are slightly longer than the mean length of the items (11.8s). For higher quality conditions C3-C5, the</w:t>
      </w:r>
      <w:r w:rsidRPr="00F366FF">
        <w:rPr>
          <w:i/>
          <w:iCs/>
        </w:rPr>
        <w:t xml:space="preserve"> mean listening time for experts is more than twice the average item duration</w:t>
      </w:r>
      <w:r w:rsidRPr="00687F99">
        <w:rPr>
          <w:rFonts w:ascii="Times New Roman" w:hAnsi="Times New Roman" w:cs="Times New Roman"/>
          <w:i/>
          <w:iCs/>
          <w:lang w:val="en-GB"/>
        </w:rPr>
        <w:t>”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 </w:t>
      </w:r>
      <w:r w:rsidRPr="00687F99">
        <w:t>is of particular interest for making assumptions on listening time needed for expert listeners.</w:t>
      </w:r>
    </w:p>
    <w:p w14:paraId="610F67BF" w14:textId="77777777" w:rsidR="00687F99" w:rsidRDefault="00687F99" w:rsidP="00687F99">
      <w:pPr>
        <w:autoSpaceDE w:val="0"/>
        <w:autoSpaceDN w:val="0"/>
        <w:adjustRightInd w:val="0"/>
        <w:spacing w:after="0" w:line="240" w:lineRule="auto"/>
      </w:pPr>
    </w:p>
    <w:p w14:paraId="6C3BDA9F" w14:textId="476D4366" w:rsidR="007B4F06" w:rsidRDefault="00C54D0B" w:rsidP="00C54D0B">
      <w:pPr>
        <w:pStyle w:val="h2"/>
      </w:pPr>
      <w:r>
        <w:t>Conclusion</w:t>
      </w:r>
    </w:p>
    <w:p w14:paraId="03FA1ACF" w14:textId="02BAB7AD" w:rsidR="00ED6829" w:rsidRDefault="00687F99" w:rsidP="007B4F06">
      <w:pPr>
        <w:autoSpaceDE w:val="0"/>
        <w:autoSpaceDN w:val="0"/>
        <w:adjustRightInd w:val="0"/>
        <w:spacing w:after="0" w:line="240" w:lineRule="auto"/>
      </w:pPr>
      <w:proofErr w:type="gramStart"/>
      <w:r>
        <w:t>Taking into account</w:t>
      </w:r>
      <w:proofErr w:type="gramEnd"/>
      <w:r>
        <w:t xml:space="preserve"> the intention to conduct the experiments using MUSHRA tests for mid and higher </w:t>
      </w:r>
      <w:r w:rsidR="00C54D0B">
        <w:t>bitrates,</w:t>
      </w:r>
      <w:r>
        <w:t xml:space="preserve"> it is</w:t>
      </w:r>
      <w:r w:rsidR="00FB5CAF">
        <w:t xml:space="preserve"> safe to assume that </w:t>
      </w:r>
      <w:r w:rsidR="00B83D4F">
        <w:t>high quality items will be tested</w:t>
      </w:r>
      <w:r w:rsidR="00F366FF">
        <w:t>. T</w:t>
      </w:r>
      <w:r w:rsidR="00FB5CAF">
        <w:t>herefore</w:t>
      </w:r>
      <w:r w:rsidR="00F366FF">
        <w:t>,</w:t>
      </w:r>
      <w:r w:rsidR="00FB5CAF">
        <w:t xml:space="preserve"> a maximum of approx. 30</w:t>
      </w:r>
      <w:r w:rsidR="6A05C73B">
        <w:t xml:space="preserve"> </w:t>
      </w:r>
      <w:r w:rsidR="00FB5CAF">
        <w:t xml:space="preserve">s </w:t>
      </w:r>
      <w:r w:rsidR="00FB5CAF">
        <w:lastRenderedPageBreak/>
        <w:t>per condition per item</w:t>
      </w:r>
      <w:r w:rsidR="00F366FF">
        <w:t xml:space="preserve"> would be required,</w:t>
      </w:r>
      <w:r w:rsidR="00FB5CAF">
        <w:t xml:space="preserve"> given that the samples would be of 10 s length. Taking also into account that anchors take in average much less time to assess and the total number of conditions and </w:t>
      </w:r>
      <w:r w:rsidR="007B4F06">
        <w:t>items to be tested, it is a valid assumption that one test would take approx. 30 minutes</w:t>
      </w:r>
      <w:r w:rsidR="7BA85C9A">
        <w:t xml:space="preserve"> (12 items x </w:t>
      </w:r>
      <w:r w:rsidR="5ABAA2CD">
        <w:t>(</w:t>
      </w:r>
      <w:r w:rsidR="4900C11C">
        <w:t>4</w:t>
      </w:r>
      <w:r w:rsidR="7BA85C9A">
        <w:t xml:space="preserve"> conditions</w:t>
      </w:r>
      <w:r w:rsidR="2E692076">
        <w:t xml:space="preserve"> </w:t>
      </w:r>
      <w:r w:rsidR="00BA3B4A">
        <w:t>including direct condition</w:t>
      </w:r>
      <w:r w:rsidR="7BA85C9A">
        <w:t xml:space="preserve"> x 30s</w:t>
      </w:r>
      <w:r w:rsidR="004108FA">
        <w:t>)</w:t>
      </w:r>
      <w:r w:rsidR="087A7DB3">
        <w:t xml:space="preserve"> + </w:t>
      </w:r>
      <w:r w:rsidR="6E3386AF">
        <w:t>2</w:t>
      </w:r>
      <w:r w:rsidR="087A7DB3">
        <w:t xml:space="preserve"> </w:t>
      </w:r>
      <w:r w:rsidR="4E32505C">
        <w:t xml:space="preserve">degraded </w:t>
      </w:r>
      <w:r w:rsidR="087A7DB3">
        <w:t>anchors x 10s)</w:t>
      </w:r>
      <w:r w:rsidR="007B4F06">
        <w:t>.</w:t>
      </w:r>
    </w:p>
    <w:p w14:paraId="209B8F86" w14:textId="77777777" w:rsidR="00ED6829" w:rsidRDefault="00ED6829" w:rsidP="007B4F06">
      <w:pPr>
        <w:autoSpaceDE w:val="0"/>
        <w:autoSpaceDN w:val="0"/>
        <w:adjustRightInd w:val="0"/>
        <w:spacing w:after="0" w:line="240" w:lineRule="auto"/>
      </w:pPr>
    </w:p>
    <w:p w14:paraId="79F6E174" w14:textId="77777777" w:rsidR="00ED6829" w:rsidRDefault="007B4F06" w:rsidP="007B4F06">
      <w:pPr>
        <w:autoSpaceDE w:val="0"/>
        <w:autoSpaceDN w:val="0"/>
        <w:adjustRightInd w:val="0"/>
        <w:spacing w:after="0" w:line="240" w:lineRule="auto"/>
      </w:pPr>
      <w:r w:rsidRPr="00F366FF">
        <w:t xml:space="preserve">This </w:t>
      </w:r>
      <w:r w:rsidR="00C54D0B" w:rsidRPr="00F366FF">
        <w:t xml:space="preserve">aspect of time duration of tests </w:t>
      </w:r>
      <w:r w:rsidRPr="00F366FF">
        <w:t xml:space="preserve">should also be </w:t>
      </w:r>
      <w:r w:rsidR="00C54D0B" w:rsidRPr="00F366FF">
        <w:t>considered</w:t>
      </w:r>
      <w:r w:rsidRPr="00F366FF">
        <w:t xml:space="preserve"> in the assumptions made in the Note in [1] as the comparison of duration of each test per listener has not been considered. This could influence the cost per test and respectively the number of experiments to be conducted </w:t>
      </w:r>
      <w:r w:rsidR="00F366FF" w:rsidRPr="00F366FF">
        <w:t>with</w:t>
      </w:r>
      <w:r w:rsidRPr="00F366FF">
        <w:t xml:space="preserve"> the given budget</w:t>
      </w:r>
      <w:r w:rsidR="00F366FF" w:rsidRPr="00F366FF">
        <w:t>.</w:t>
      </w:r>
      <w:r w:rsidRPr="00F366FF">
        <w:t xml:space="preserve"> </w:t>
      </w:r>
    </w:p>
    <w:p w14:paraId="5F413217" w14:textId="77777777" w:rsidR="00ED6829" w:rsidRDefault="00ED6829" w:rsidP="007B4F06">
      <w:pPr>
        <w:autoSpaceDE w:val="0"/>
        <w:autoSpaceDN w:val="0"/>
        <w:adjustRightInd w:val="0"/>
        <w:spacing w:after="0" w:line="240" w:lineRule="auto"/>
      </w:pPr>
    </w:p>
    <w:p w14:paraId="0EDDEB1B" w14:textId="529E44FE" w:rsidR="00225358" w:rsidRDefault="00ED6829" w:rsidP="007B4F06">
      <w:pPr>
        <w:autoSpaceDE w:val="0"/>
        <w:autoSpaceDN w:val="0"/>
        <w:adjustRightInd w:val="0"/>
        <w:spacing w:after="0" w:line="240" w:lineRule="auto"/>
      </w:pPr>
      <w:r>
        <w:t xml:space="preserve">Furthermore, </w:t>
      </w:r>
      <w:r w:rsidR="00DA7C14">
        <w:t xml:space="preserve">from the source’s experience but also from the above conclusion, </w:t>
      </w:r>
      <w:r>
        <w:t xml:space="preserve">the possibility of testing more than 1 </w:t>
      </w:r>
      <w:proofErr w:type="spellStart"/>
      <w:r>
        <w:t>Cu</w:t>
      </w:r>
      <w:r w:rsidR="00DA7C14">
        <w:t>T</w:t>
      </w:r>
      <w:proofErr w:type="spellEnd"/>
      <w:r>
        <w:t xml:space="preserve"> </w:t>
      </w:r>
      <w:r w:rsidR="00DA7C14">
        <w:t>c</w:t>
      </w:r>
      <w:r>
        <w:t>ondition per test should be</w:t>
      </w:r>
      <w:r w:rsidR="00DA7C14">
        <w:t xml:space="preserve"> strongly considered. </w:t>
      </w:r>
      <w:r w:rsidR="0016042B">
        <w:t>Thus,</w:t>
      </w:r>
      <w:r w:rsidR="00C95F5D">
        <w:t xml:space="preserve"> the</w:t>
      </w:r>
      <w:r w:rsidR="00DA7C14">
        <w:t xml:space="preserve"> proposal</w:t>
      </w:r>
      <w:r w:rsidR="00C95F5D">
        <w:t xml:space="preserve"> for the setup of the</w:t>
      </w:r>
      <w:r w:rsidR="00476039">
        <w:t xml:space="preserve"> </w:t>
      </w:r>
      <w:r w:rsidR="00476039" w:rsidRPr="00476039">
        <w:t>BS.1534</w:t>
      </w:r>
      <w:r w:rsidR="009821BA">
        <w:t xml:space="preserve"> MUSHRA test</w:t>
      </w:r>
      <w:r w:rsidR="00C84203">
        <w:t>s</w:t>
      </w:r>
      <w:r w:rsidR="00DA7C14">
        <w:t xml:space="preserve"> would be:</w:t>
      </w:r>
    </w:p>
    <w:p w14:paraId="7558948D" w14:textId="77777777" w:rsidR="00DA7C14" w:rsidRPr="00ED6829" w:rsidRDefault="00DA7C14" w:rsidP="007B4F06">
      <w:pPr>
        <w:autoSpaceDE w:val="0"/>
        <w:autoSpaceDN w:val="0"/>
        <w:adjustRightInd w:val="0"/>
        <w:spacing w:after="0" w:line="240" w:lineRule="auto"/>
      </w:pPr>
    </w:p>
    <w:p w14:paraId="04328AFD" w14:textId="7BCC9058" w:rsidR="00DA7C14" w:rsidRDefault="00DA7C14" w:rsidP="00DA7C14">
      <w:pPr>
        <w:pStyle w:val="bulletlevel1"/>
      </w:pPr>
      <w:r>
        <w:t>Total number of conditions: 8</w:t>
      </w:r>
    </w:p>
    <w:p w14:paraId="220AAEFB" w14:textId="77777777" w:rsidR="00DA7C14" w:rsidRDefault="00DA7C14" w:rsidP="00DA7C14">
      <w:pPr>
        <w:pStyle w:val="bulletlevel1"/>
      </w:pPr>
      <w:r>
        <w:t>Number of anchor conditions: 3</w:t>
      </w:r>
    </w:p>
    <w:p w14:paraId="0EE786F6" w14:textId="77777777" w:rsidR="00DA7C14" w:rsidRDefault="00DA7C14" w:rsidP="00DA7C14">
      <w:pPr>
        <w:pStyle w:val="bulletlevel2"/>
      </w:pPr>
      <w:r>
        <w:t>Direct</w:t>
      </w:r>
    </w:p>
    <w:p w14:paraId="6331528C" w14:textId="77777777" w:rsidR="00DA7C14" w:rsidRDefault="00DA7C14" w:rsidP="00DA7C14">
      <w:pPr>
        <w:pStyle w:val="bulletlevel2"/>
      </w:pPr>
      <w:r>
        <w:t>2 low-pass anchors</w:t>
      </w:r>
    </w:p>
    <w:p w14:paraId="7638B420" w14:textId="4362132A" w:rsidR="00DA7C14" w:rsidRPr="007A50A9" w:rsidRDefault="00DA7C14" w:rsidP="00DA7C14">
      <w:pPr>
        <w:pStyle w:val="bulletlevel1"/>
      </w:pPr>
      <w:r>
        <w:t>Number of reference conditions: 3</w:t>
      </w:r>
    </w:p>
    <w:p w14:paraId="786325B5" w14:textId="48370DF9" w:rsidR="00DA7C14" w:rsidRDefault="00DA7C14" w:rsidP="00DA7C14">
      <w:pPr>
        <w:pStyle w:val="bulletlevel1"/>
      </w:pPr>
      <w:r>
        <w:t xml:space="preserve">Number of </w:t>
      </w:r>
      <w:proofErr w:type="spellStart"/>
      <w:r>
        <w:t>CuT</w:t>
      </w:r>
      <w:proofErr w:type="spellEnd"/>
      <w:r>
        <w:t xml:space="preserve"> conditions: 2</w:t>
      </w:r>
    </w:p>
    <w:p w14:paraId="1E4E43CA" w14:textId="77777777" w:rsidR="0098215C" w:rsidRPr="00FB5CAF" w:rsidRDefault="0098215C" w:rsidP="008A1719"/>
    <w:p w14:paraId="0F2A4E35" w14:textId="77777777" w:rsidR="008A1719" w:rsidRPr="00592289" w:rsidRDefault="008A1719" w:rsidP="008A1719"/>
    <w:p w14:paraId="7C76EF21" w14:textId="77777777" w:rsidR="004543E4" w:rsidRDefault="004543E4" w:rsidP="004543E4">
      <w:pPr>
        <w:widowControl w:val="0"/>
        <w:spacing w:after="120" w:line="240" w:lineRule="atLeast"/>
        <w:ind w:left="360" w:hanging="360"/>
        <w:jc w:val="both"/>
        <w:outlineLvl w:val="0"/>
        <w:rPr>
          <w:rFonts w:ascii="Arial" w:eastAsia="Times New Roman" w:hAnsi="Arial" w:cs="Times New Roman"/>
          <w:b/>
          <w:sz w:val="24"/>
          <w:szCs w:val="20"/>
        </w:rPr>
      </w:pPr>
      <w:r w:rsidRPr="004543E4">
        <w:rPr>
          <w:rFonts w:ascii="Arial" w:eastAsia="Times New Roman" w:hAnsi="Arial" w:cs="Times New Roman"/>
          <w:b/>
          <w:sz w:val="24"/>
          <w:szCs w:val="20"/>
        </w:rPr>
        <w:t>References</w:t>
      </w:r>
    </w:p>
    <w:p w14:paraId="1B380AE8" w14:textId="5305E2B8" w:rsidR="00145418" w:rsidRDefault="00F20C16" w:rsidP="00145418">
      <w:pPr>
        <w:pStyle w:val="Heading1"/>
        <w:rPr>
          <w:rFonts w:cs="Arial"/>
          <w:b w:val="0"/>
          <w:bCs/>
          <w:sz w:val="20"/>
          <w:lang w:val="en-US"/>
        </w:rPr>
      </w:pPr>
      <w:bookmarkStart w:id="2" w:name="_Ref108102903"/>
      <w:r w:rsidRPr="00145418">
        <w:rPr>
          <w:b w:val="0"/>
          <w:bCs/>
          <w:sz w:val="20"/>
          <w:lang w:val="en-US"/>
        </w:rPr>
        <w:t>[</w:t>
      </w:r>
      <w:r w:rsidR="00ED6829">
        <w:rPr>
          <w:b w:val="0"/>
          <w:bCs/>
          <w:sz w:val="20"/>
          <w:lang w:val="en-US"/>
        </w:rPr>
        <w:t>1</w:t>
      </w:r>
      <w:r w:rsidRPr="00145418">
        <w:rPr>
          <w:b w:val="0"/>
          <w:bCs/>
          <w:sz w:val="20"/>
          <w:lang w:val="en-US"/>
        </w:rPr>
        <w:t>]</w:t>
      </w:r>
      <w:r w:rsidRPr="00145418">
        <w:rPr>
          <w:b w:val="0"/>
          <w:bCs/>
          <w:lang w:val="en-US"/>
        </w:rPr>
        <w:t xml:space="preserve"> </w:t>
      </w:r>
      <w:r w:rsidR="0099768B" w:rsidRPr="00145418">
        <w:rPr>
          <w:rFonts w:cs="Arial"/>
          <w:b w:val="0"/>
          <w:bCs/>
          <w:sz w:val="20"/>
          <w:lang w:val="en-CA"/>
        </w:rPr>
        <w:t>S4-2</w:t>
      </w:r>
      <w:r w:rsidR="00145418" w:rsidRPr="00145418">
        <w:rPr>
          <w:rFonts w:cs="Arial"/>
          <w:b w:val="0"/>
          <w:bCs/>
          <w:sz w:val="20"/>
          <w:lang w:val="en-CA"/>
        </w:rPr>
        <w:t>3</w:t>
      </w:r>
      <w:r w:rsidR="0099768B" w:rsidRPr="00145418">
        <w:rPr>
          <w:rFonts w:cs="Arial"/>
          <w:b w:val="0"/>
          <w:bCs/>
          <w:sz w:val="20"/>
          <w:lang w:val="en-CA"/>
        </w:rPr>
        <w:t>0</w:t>
      </w:r>
      <w:r w:rsidR="00145418" w:rsidRPr="00145418">
        <w:rPr>
          <w:rFonts w:cs="Arial"/>
          <w:b w:val="0"/>
          <w:bCs/>
          <w:sz w:val="20"/>
          <w:lang w:val="en-CA"/>
        </w:rPr>
        <w:t>0</w:t>
      </w:r>
      <w:r w:rsidR="0099768B" w:rsidRPr="00145418">
        <w:rPr>
          <w:rFonts w:cs="Arial"/>
          <w:b w:val="0"/>
          <w:bCs/>
          <w:sz w:val="20"/>
          <w:lang w:val="en-CA"/>
        </w:rPr>
        <w:t xml:space="preserve">25: </w:t>
      </w:r>
      <w:r w:rsidR="0099768B" w:rsidRPr="00145418">
        <w:rPr>
          <w:rFonts w:cs="Arial"/>
          <w:b w:val="0"/>
          <w:bCs/>
          <w:sz w:val="20"/>
        </w:rPr>
        <w:t>IVAS Permanent Document IVAS-8a:</w:t>
      </w:r>
      <w:r w:rsidR="0099768B" w:rsidRPr="00145418">
        <w:rPr>
          <w:rFonts w:cs="Arial" w:hint="eastAsia"/>
          <w:b w:val="0"/>
          <w:bCs/>
          <w:sz w:val="20"/>
        </w:rPr>
        <w:t xml:space="preserve"> </w:t>
      </w:r>
      <w:r w:rsidR="0099768B" w:rsidRPr="00145418">
        <w:rPr>
          <w:rFonts w:cs="Arial"/>
          <w:b w:val="0"/>
          <w:bCs/>
          <w:sz w:val="20"/>
          <w:lang w:val="en-US"/>
        </w:rPr>
        <w:t>Test Plan for S</w:t>
      </w:r>
      <w:r w:rsidR="0099768B" w:rsidRPr="00145418">
        <w:rPr>
          <w:rFonts w:cs="Arial" w:hint="eastAsia"/>
          <w:b w:val="0"/>
          <w:bCs/>
          <w:sz w:val="20"/>
          <w:lang w:val="en-US"/>
        </w:rPr>
        <w:t>election</w:t>
      </w:r>
      <w:r w:rsidR="0099768B" w:rsidRPr="00145418">
        <w:rPr>
          <w:rFonts w:cs="Arial"/>
          <w:b w:val="0"/>
          <w:bCs/>
          <w:sz w:val="20"/>
          <w:lang w:val="en-US"/>
        </w:rPr>
        <w:t xml:space="preserve"> Phase, v.0.</w:t>
      </w:r>
      <w:r w:rsidR="008240AF" w:rsidRPr="00145418">
        <w:rPr>
          <w:rFonts w:cs="Arial"/>
          <w:b w:val="0"/>
          <w:bCs/>
          <w:sz w:val="20"/>
          <w:lang w:val="en-US"/>
        </w:rPr>
        <w:t>6</w:t>
      </w:r>
      <w:r w:rsidR="0099768B" w:rsidRPr="00145418">
        <w:rPr>
          <w:rFonts w:cs="Arial"/>
          <w:b w:val="0"/>
          <w:bCs/>
          <w:sz w:val="20"/>
          <w:lang w:val="en-US"/>
        </w:rPr>
        <w:t>.</w:t>
      </w:r>
      <w:r w:rsidR="00145418" w:rsidRPr="00145418">
        <w:rPr>
          <w:rFonts w:cs="Arial"/>
          <w:b w:val="0"/>
          <w:bCs/>
          <w:sz w:val="20"/>
          <w:lang w:val="en-US"/>
        </w:rPr>
        <w:t>1</w:t>
      </w:r>
      <w:bookmarkEnd w:id="2"/>
      <w:r w:rsidR="0099768B" w:rsidRPr="00145418">
        <w:rPr>
          <w:rFonts w:cs="Arial"/>
          <w:b w:val="0"/>
          <w:bCs/>
          <w:sz w:val="20"/>
          <w:lang w:val="en-US"/>
        </w:rPr>
        <w:t>.</w:t>
      </w:r>
    </w:p>
    <w:p w14:paraId="464B51C4" w14:textId="14B2655A" w:rsidR="000B6491" w:rsidRPr="008327F4" w:rsidRDefault="000B6491" w:rsidP="000B6491">
      <w:r w:rsidRPr="008327F4">
        <w:rPr>
          <w:lang w:val="de-DE"/>
        </w:rPr>
        <w:t xml:space="preserve">[2] </w:t>
      </w:r>
      <w:r w:rsidR="00F90A12" w:rsidRPr="00F90A12">
        <w:rPr>
          <w:lang w:val="de-DE"/>
        </w:rPr>
        <w:t xml:space="preserve">Schinkel-Bielefeld, Nadja et al. </w:t>
      </w:r>
      <w:r w:rsidR="00F90A12" w:rsidRPr="00F90A12">
        <w:t xml:space="preserve">“Audio quality evaluation by experienced and inexperienced listeners.” </w:t>
      </w:r>
      <w:r w:rsidR="00F90A12" w:rsidRPr="00F90A12">
        <w:rPr>
          <w:lang w:val="de-DE"/>
        </w:rPr>
        <w:t xml:space="preserve">Journal </w:t>
      </w:r>
      <w:proofErr w:type="spellStart"/>
      <w:r w:rsidR="00F90A12" w:rsidRPr="00F90A12">
        <w:rPr>
          <w:lang w:val="de-DE"/>
        </w:rPr>
        <w:t>of</w:t>
      </w:r>
      <w:proofErr w:type="spellEnd"/>
      <w:r w:rsidR="00F90A12" w:rsidRPr="00F90A12">
        <w:rPr>
          <w:lang w:val="de-DE"/>
        </w:rPr>
        <w:t xml:space="preserve"> </w:t>
      </w:r>
      <w:proofErr w:type="spellStart"/>
      <w:r w:rsidR="00F90A12" w:rsidRPr="00F90A12">
        <w:rPr>
          <w:lang w:val="de-DE"/>
        </w:rPr>
        <w:t>the</w:t>
      </w:r>
      <w:proofErr w:type="spellEnd"/>
      <w:r w:rsidR="00F90A12" w:rsidRPr="00F90A12">
        <w:rPr>
          <w:lang w:val="de-DE"/>
        </w:rPr>
        <w:t xml:space="preserve"> </w:t>
      </w:r>
      <w:proofErr w:type="spellStart"/>
      <w:r w:rsidR="00F90A12" w:rsidRPr="00F90A12">
        <w:rPr>
          <w:lang w:val="de-DE"/>
        </w:rPr>
        <w:t>Acoustical</w:t>
      </w:r>
      <w:proofErr w:type="spellEnd"/>
      <w:r w:rsidR="00F90A12" w:rsidRPr="00F90A12">
        <w:rPr>
          <w:lang w:val="de-DE"/>
        </w:rPr>
        <w:t xml:space="preserve"> Society </w:t>
      </w:r>
      <w:proofErr w:type="spellStart"/>
      <w:r w:rsidR="00F90A12" w:rsidRPr="00F90A12">
        <w:rPr>
          <w:lang w:val="de-DE"/>
        </w:rPr>
        <w:t>of</w:t>
      </w:r>
      <w:proofErr w:type="spellEnd"/>
      <w:r w:rsidR="00F90A12" w:rsidRPr="00F90A12">
        <w:rPr>
          <w:lang w:val="de-DE"/>
        </w:rPr>
        <w:t xml:space="preserve"> </w:t>
      </w:r>
      <w:proofErr w:type="spellStart"/>
      <w:r w:rsidR="00F90A12" w:rsidRPr="00F90A12">
        <w:rPr>
          <w:lang w:val="de-DE"/>
        </w:rPr>
        <w:t>America</w:t>
      </w:r>
      <w:proofErr w:type="spellEnd"/>
      <w:r w:rsidR="00F90A12" w:rsidRPr="00F90A12">
        <w:rPr>
          <w:lang w:val="de-DE"/>
        </w:rPr>
        <w:t xml:space="preserve"> 133 (2013): 060016-060016.</w:t>
      </w:r>
    </w:p>
    <w:p w14:paraId="65336DC1" w14:textId="528CB51A" w:rsidR="0059597F" w:rsidRPr="0059597F" w:rsidRDefault="0059597F" w:rsidP="0059597F"/>
    <w:sdt>
      <w:sdtPr>
        <w:rPr>
          <w:rFonts w:asciiTheme="minorHAnsi" w:eastAsiaTheme="minorHAnsi" w:hAnsiTheme="minorHAnsi" w:cstheme="minorBidi"/>
          <w:b w:val="0"/>
          <w:sz w:val="22"/>
          <w:szCs w:val="22"/>
          <w:lang w:val="en-US"/>
        </w:rPr>
        <w:id w:val="-981156338"/>
        <w:docPartObj>
          <w:docPartGallery w:val="Bibliographies"/>
          <w:docPartUnique/>
        </w:docPartObj>
      </w:sdtPr>
      <w:sdtEndPr>
        <w:rPr>
          <w:rFonts w:ascii="Arial" w:eastAsia="Times New Roman" w:hAnsi="Arial" w:cs="Times New Roman"/>
          <w:b/>
          <w:bCs/>
          <w:sz w:val="24"/>
          <w:szCs w:val="20"/>
          <w:lang w:val="en-GB"/>
        </w:rPr>
      </w:sdtEndPr>
      <w:sdtContent>
        <w:p w14:paraId="2F767A3E" w14:textId="38FB494E" w:rsidR="00145418" w:rsidRDefault="00145418" w:rsidP="00145418">
          <w:pPr>
            <w:pStyle w:val="Heading1"/>
            <w:rPr>
              <w:b w:val="0"/>
            </w:rPr>
          </w:pPr>
        </w:p>
        <w:p w14:paraId="5D625AC2" w14:textId="2C86586E" w:rsidR="00325FE4" w:rsidRDefault="00E052A3" w:rsidP="00145418">
          <w:pPr>
            <w:pStyle w:val="Heading1"/>
          </w:pPr>
        </w:p>
      </w:sdtContent>
    </w:sdt>
    <w:p w14:paraId="0E9731BF" w14:textId="77777777" w:rsidR="0045056C" w:rsidRDefault="0045056C"/>
    <w:sectPr w:rsidR="0045056C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0794E" w14:textId="77777777" w:rsidR="007115C6" w:rsidRDefault="007115C6" w:rsidP="004543E4">
      <w:pPr>
        <w:spacing w:after="0" w:line="240" w:lineRule="auto"/>
      </w:pPr>
      <w:r>
        <w:separator/>
      </w:r>
    </w:p>
  </w:endnote>
  <w:endnote w:type="continuationSeparator" w:id="0">
    <w:p w14:paraId="29976659" w14:textId="77777777" w:rsidR="007115C6" w:rsidRDefault="007115C6" w:rsidP="004543E4">
      <w:pPr>
        <w:spacing w:after="0" w:line="240" w:lineRule="auto"/>
      </w:pPr>
      <w:r>
        <w:continuationSeparator/>
      </w:r>
    </w:p>
  </w:endnote>
  <w:endnote w:type="continuationNotice" w:id="1">
    <w:p w14:paraId="5BCA9359" w14:textId="77777777" w:rsidR="007115C6" w:rsidRDefault="007115C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A6B95" w14:textId="77777777" w:rsidR="0077428F" w:rsidRDefault="004543E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A943C" w14:textId="77777777" w:rsidR="0077428F" w:rsidRDefault="004543E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2FC5A" w14:textId="77777777" w:rsidR="007115C6" w:rsidRDefault="007115C6" w:rsidP="004543E4">
      <w:pPr>
        <w:spacing w:after="0" w:line="240" w:lineRule="auto"/>
      </w:pPr>
      <w:r>
        <w:separator/>
      </w:r>
    </w:p>
  </w:footnote>
  <w:footnote w:type="continuationSeparator" w:id="0">
    <w:p w14:paraId="62586D1E" w14:textId="77777777" w:rsidR="007115C6" w:rsidRDefault="007115C6" w:rsidP="004543E4">
      <w:pPr>
        <w:spacing w:after="0" w:line="240" w:lineRule="auto"/>
      </w:pPr>
      <w:r>
        <w:continuationSeparator/>
      </w:r>
    </w:p>
  </w:footnote>
  <w:footnote w:type="continuationNotice" w:id="1">
    <w:p w14:paraId="5B96F5D7" w14:textId="77777777" w:rsidR="007115C6" w:rsidRDefault="007115C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DA3EC" w14:textId="77777777" w:rsidR="0077428F" w:rsidRDefault="0077428F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5B1F3" w14:textId="31543931" w:rsidR="0077428F" w:rsidRPr="00D952EF" w:rsidRDefault="00F11642" w:rsidP="0077428F">
    <w:pPr>
      <w:tabs>
        <w:tab w:val="right" w:pos="9356"/>
      </w:tabs>
      <w:spacing w:after="0"/>
      <w:rPr>
        <w:rFonts w:cs="Arial"/>
        <w:b/>
        <w:bCs/>
        <w:i/>
        <w:iCs/>
        <w:color w:val="FF0000"/>
      </w:rPr>
    </w:pPr>
    <w:r w:rsidRPr="00F11642">
      <w:rPr>
        <w:rFonts w:cs="Arial"/>
        <w:b/>
        <w:bCs/>
      </w:rPr>
      <w:t>3GPP TSG-SA WG4 Meeting #122</w:t>
    </w:r>
    <w:r w:rsidR="004543E4" w:rsidRPr="00F11642">
      <w:rPr>
        <w:rFonts w:cs="Arial"/>
      </w:rPr>
      <w:tab/>
    </w:r>
    <w:r w:rsidRPr="00F11642">
      <w:rPr>
        <w:rFonts w:cs="Arial"/>
        <w:b/>
        <w:bCs/>
        <w:i/>
        <w:iCs/>
      </w:rPr>
      <w:t>S4-2</w:t>
    </w:r>
    <w:r w:rsidR="00D952EF">
      <w:rPr>
        <w:rFonts w:cs="Arial"/>
        <w:b/>
        <w:bCs/>
        <w:i/>
        <w:iCs/>
      </w:rPr>
      <w:t>3</w:t>
    </w:r>
    <w:r w:rsidR="00AA41C3" w:rsidRPr="00D952EF">
      <w:rPr>
        <w:b/>
        <w:bCs/>
        <w:i/>
        <w:iCs/>
      </w:rPr>
      <w:t>0242</w:t>
    </w:r>
  </w:p>
  <w:p w14:paraId="1AF79498" w14:textId="77777777" w:rsidR="00F11642" w:rsidRPr="00F11642" w:rsidRDefault="00F11642" w:rsidP="00F11642">
    <w:pPr>
      <w:tabs>
        <w:tab w:val="right" w:pos="9360"/>
      </w:tabs>
      <w:spacing w:after="0"/>
      <w:rPr>
        <w:rFonts w:cs="Arial"/>
        <w:lang w:val="en-DE"/>
      </w:rPr>
    </w:pPr>
    <w:r w:rsidRPr="00F11642">
      <w:rPr>
        <w:rFonts w:cs="Arial"/>
        <w:b/>
        <w:bCs/>
      </w:rPr>
      <w:t>Athens, Greece, 20th – 24th February 2023</w:t>
    </w:r>
    <w:r w:rsidRPr="00F11642">
      <w:rPr>
        <w:rFonts w:cs="Arial"/>
        <w:lang w:val="en-DE"/>
      </w:rPr>
      <w:t xml:space="preserve"> </w:t>
    </w:r>
    <w:r w:rsidRPr="00F11642">
      <w:rPr>
        <w:rFonts w:cs="Arial"/>
        <w:lang w:val="en-DE"/>
      </w:rPr>
      <w:t> </w:t>
    </w:r>
  </w:p>
  <w:p w14:paraId="3E3870AC" w14:textId="664BAAE7" w:rsidR="0077428F" w:rsidRPr="00A66867" w:rsidRDefault="004543E4" w:rsidP="0077428F">
    <w:pPr>
      <w:tabs>
        <w:tab w:val="right" w:pos="9360"/>
      </w:tabs>
      <w:spacing w:after="0"/>
      <w:rPr>
        <w:lang w:eastAsia="zh-CN"/>
      </w:rPr>
    </w:pPr>
    <w:r>
      <w:rPr>
        <w:rFonts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0D85DD5"/>
    <w:multiLevelType w:val="hybridMultilevel"/>
    <w:tmpl w:val="F5320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50A52"/>
    <w:multiLevelType w:val="hybridMultilevel"/>
    <w:tmpl w:val="423456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A0839"/>
    <w:multiLevelType w:val="multilevel"/>
    <w:tmpl w:val="D46E17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3660AC3"/>
    <w:multiLevelType w:val="hybridMultilevel"/>
    <w:tmpl w:val="21EA9A24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F73F4F"/>
    <w:multiLevelType w:val="hybridMultilevel"/>
    <w:tmpl w:val="227A25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3C4B40"/>
    <w:multiLevelType w:val="hybridMultilevel"/>
    <w:tmpl w:val="970E9F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5460468">
    <w:abstractNumId w:val="1"/>
  </w:num>
  <w:num w:numId="2" w16cid:durableId="645547611">
    <w:abstractNumId w:val="6"/>
  </w:num>
  <w:num w:numId="3" w16cid:durableId="241843312">
    <w:abstractNumId w:val="4"/>
  </w:num>
  <w:num w:numId="4" w16cid:durableId="373117285">
    <w:abstractNumId w:val="3"/>
  </w:num>
  <w:num w:numId="5" w16cid:durableId="1323197043">
    <w:abstractNumId w:val="2"/>
  </w:num>
  <w:num w:numId="6" w16cid:durableId="1663387994">
    <w:abstractNumId w:val="5"/>
  </w:num>
  <w:num w:numId="7" w16cid:durableId="634456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3E4"/>
    <w:rsid w:val="00000FA6"/>
    <w:rsid w:val="00001F82"/>
    <w:rsid w:val="0000263C"/>
    <w:rsid w:val="000222BC"/>
    <w:rsid w:val="00050884"/>
    <w:rsid w:val="000645FA"/>
    <w:rsid w:val="00097AF0"/>
    <w:rsid w:val="000B6491"/>
    <w:rsid w:val="000D61B5"/>
    <w:rsid w:val="000E5E58"/>
    <w:rsid w:val="000F5657"/>
    <w:rsid w:val="00103577"/>
    <w:rsid w:val="00105266"/>
    <w:rsid w:val="0011575E"/>
    <w:rsid w:val="00145418"/>
    <w:rsid w:val="0016042B"/>
    <w:rsid w:val="00162172"/>
    <w:rsid w:val="00196C5B"/>
    <w:rsid w:val="001A30B1"/>
    <w:rsid w:val="001B38E7"/>
    <w:rsid w:val="001C443C"/>
    <w:rsid w:val="001D7C3F"/>
    <w:rsid w:val="00202908"/>
    <w:rsid w:val="00215D3A"/>
    <w:rsid w:val="0022435F"/>
    <w:rsid w:val="00225358"/>
    <w:rsid w:val="00231696"/>
    <w:rsid w:val="002413CB"/>
    <w:rsid w:val="0024394F"/>
    <w:rsid w:val="00250B99"/>
    <w:rsid w:val="0027009C"/>
    <w:rsid w:val="00281B12"/>
    <w:rsid w:val="0028502F"/>
    <w:rsid w:val="002C4099"/>
    <w:rsid w:val="002E631B"/>
    <w:rsid w:val="002F5D67"/>
    <w:rsid w:val="0031199A"/>
    <w:rsid w:val="00325FE4"/>
    <w:rsid w:val="00340012"/>
    <w:rsid w:val="00342B6C"/>
    <w:rsid w:val="003446F3"/>
    <w:rsid w:val="0035144B"/>
    <w:rsid w:val="00385D21"/>
    <w:rsid w:val="00395C22"/>
    <w:rsid w:val="003C6C48"/>
    <w:rsid w:val="003F7B68"/>
    <w:rsid w:val="004108FA"/>
    <w:rsid w:val="00443305"/>
    <w:rsid w:val="00443870"/>
    <w:rsid w:val="0045056C"/>
    <w:rsid w:val="004543E4"/>
    <w:rsid w:val="00476039"/>
    <w:rsid w:val="00476787"/>
    <w:rsid w:val="00482F83"/>
    <w:rsid w:val="004B21C5"/>
    <w:rsid w:val="004C460A"/>
    <w:rsid w:val="00510018"/>
    <w:rsid w:val="0054725A"/>
    <w:rsid w:val="00592289"/>
    <w:rsid w:val="0059597F"/>
    <w:rsid w:val="00597923"/>
    <w:rsid w:val="005A0079"/>
    <w:rsid w:val="005C181A"/>
    <w:rsid w:val="005E6401"/>
    <w:rsid w:val="00612263"/>
    <w:rsid w:val="0062587B"/>
    <w:rsid w:val="006338EC"/>
    <w:rsid w:val="00651F1C"/>
    <w:rsid w:val="006745CD"/>
    <w:rsid w:val="00687F99"/>
    <w:rsid w:val="006A2AB7"/>
    <w:rsid w:val="006B4B1A"/>
    <w:rsid w:val="006E1196"/>
    <w:rsid w:val="006E3157"/>
    <w:rsid w:val="006F4BD6"/>
    <w:rsid w:val="00706417"/>
    <w:rsid w:val="00707A80"/>
    <w:rsid w:val="007115C6"/>
    <w:rsid w:val="00733B07"/>
    <w:rsid w:val="007576B4"/>
    <w:rsid w:val="00765C3A"/>
    <w:rsid w:val="00773BE6"/>
    <w:rsid w:val="0077428F"/>
    <w:rsid w:val="0077592C"/>
    <w:rsid w:val="007828DA"/>
    <w:rsid w:val="007B4F06"/>
    <w:rsid w:val="007C004F"/>
    <w:rsid w:val="007F3E29"/>
    <w:rsid w:val="007F7340"/>
    <w:rsid w:val="008034FE"/>
    <w:rsid w:val="00817D58"/>
    <w:rsid w:val="008240AF"/>
    <w:rsid w:val="0082591A"/>
    <w:rsid w:val="008348DD"/>
    <w:rsid w:val="00857097"/>
    <w:rsid w:val="00882A18"/>
    <w:rsid w:val="0088374B"/>
    <w:rsid w:val="008A1719"/>
    <w:rsid w:val="008B23E8"/>
    <w:rsid w:val="008D597F"/>
    <w:rsid w:val="008F500C"/>
    <w:rsid w:val="00901FE8"/>
    <w:rsid w:val="0093700C"/>
    <w:rsid w:val="009524CE"/>
    <w:rsid w:val="00952C25"/>
    <w:rsid w:val="0095371A"/>
    <w:rsid w:val="00962F31"/>
    <w:rsid w:val="0098215C"/>
    <w:rsid w:val="009821BA"/>
    <w:rsid w:val="00986B74"/>
    <w:rsid w:val="0099768B"/>
    <w:rsid w:val="009B631C"/>
    <w:rsid w:val="009C2AF6"/>
    <w:rsid w:val="009C3160"/>
    <w:rsid w:val="009C55F9"/>
    <w:rsid w:val="009E356D"/>
    <w:rsid w:val="00A25C74"/>
    <w:rsid w:val="00A36DDB"/>
    <w:rsid w:val="00A74B78"/>
    <w:rsid w:val="00A854FE"/>
    <w:rsid w:val="00AA41C3"/>
    <w:rsid w:val="00AC1DDE"/>
    <w:rsid w:val="00AD66CC"/>
    <w:rsid w:val="00AF076C"/>
    <w:rsid w:val="00AF145F"/>
    <w:rsid w:val="00AF5C16"/>
    <w:rsid w:val="00B24EAA"/>
    <w:rsid w:val="00B424A5"/>
    <w:rsid w:val="00B42CCE"/>
    <w:rsid w:val="00B50D01"/>
    <w:rsid w:val="00B83D4F"/>
    <w:rsid w:val="00BA3B4A"/>
    <w:rsid w:val="00BB1E09"/>
    <w:rsid w:val="00BB34E9"/>
    <w:rsid w:val="00BC2B02"/>
    <w:rsid w:val="00BC5183"/>
    <w:rsid w:val="00BD4195"/>
    <w:rsid w:val="00BF791D"/>
    <w:rsid w:val="00C1143B"/>
    <w:rsid w:val="00C466D1"/>
    <w:rsid w:val="00C54D0B"/>
    <w:rsid w:val="00C84203"/>
    <w:rsid w:val="00C95F5D"/>
    <w:rsid w:val="00CA2B05"/>
    <w:rsid w:val="00CA32F3"/>
    <w:rsid w:val="00CA3822"/>
    <w:rsid w:val="00CC37C8"/>
    <w:rsid w:val="00CD5289"/>
    <w:rsid w:val="00CF3DBF"/>
    <w:rsid w:val="00D30456"/>
    <w:rsid w:val="00D81568"/>
    <w:rsid w:val="00D90E30"/>
    <w:rsid w:val="00D92801"/>
    <w:rsid w:val="00D94AA9"/>
    <w:rsid w:val="00D952EF"/>
    <w:rsid w:val="00DA1AA8"/>
    <w:rsid w:val="00DA7C14"/>
    <w:rsid w:val="00DE769C"/>
    <w:rsid w:val="00DF33DB"/>
    <w:rsid w:val="00DF360A"/>
    <w:rsid w:val="00E3759C"/>
    <w:rsid w:val="00E54DAF"/>
    <w:rsid w:val="00E616E5"/>
    <w:rsid w:val="00E81F87"/>
    <w:rsid w:val="00EA34B2"/>
    <w:rsid w:val="00EA50FA"/>
    <w:rsid w:val="00EA7B95"/>
    <w:rsid w:val="00ED6829"/>
    <w:rsid w:val="00EE234E"/>
    <w:rsid w:val="00F04C71"/>
    <w:rsid w:val="00F11642"/>
    <w:rsid w:val="00F20C16"/>
    <w:rsid w:val="00F366FF"/>
    <w:rsid w:val="00F52CA6"/>
    <w:rsid w:val="00F90A12"/>
    <w:rsid w:val="00F96DAD"/>
    <w:rsid w:val="00FA2CD0"/>
    <w:rsid w:val="00FB5CAF"/>
    <w:rsid w:val="00FD0D01"/>
    <w:rsid w:val="00FF7006"/>
    <w:rsid w:val="087A7DB3"/>
    <w:rsid w:val="129343E7"/>
    <w:rsid w:val="1BBCDA58"/>
    <w:rsid w:val="1E373D58"/>
    <w:rsid w:val="2E692076"/>
    <w:rsid w:val="47AB3154"/>
    <w:rsid w:val="4900C11C"/>
    <w:rsid w:val="4E32505C"/>
    <w:rsid w:val="4E56081E"/>
    <w:rsid w:val="591ED26C"/>
    <w:rsid w:val="59CEF3EE"/>
    <w:rsid w:val="5ABAA2CD"/>
    <w:rsid w:val="60B39268"/>
    <w:rsid w:val="67CCF04B"/>
    <w:rsid w:val="6A05C73B"/>
    <w:rsid w:val="6E3386AF"/>
    <w:rsid w:val="775052B0"/>
    <w:rsid w:val="7BA85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C061A1"/>
  <w15:chartTrackingRefBased/>
  <w15:docId w15:val="{EBBE43C2-4143-F248-B6FC-19A41E694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4543E4"/>
    <w:pPr>
      <w:widowControl w:val="0"/>
      <w:spacing w:after="120" w:line="240" w:lineRule="atLeast"/>
      <w:ind w:left="360" w:hanging="360"/>
      <w:jc w:val="both"/>
      <w:outlineLvl w:val="0"/>
    </w:pPr>
    <w:rPr>
      <w:rFonts w:ascii="Arial" w:eastAsia="Times New Roman" w:hAnsi="Arial" w:cs="Times New Roman"/>
      <w:b/>
      <w:sz w:val="24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43E4"/>
    <w:pPr>
      <w:keepNext/>
      <w:keepLines/>
      <w:widowControl w:val="0"/>
      <w:spacing w:before="40" w:after="0" w:line="240" w:lineRule="atLeast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43E4"/>
    <w:pPr>
      <w:keepNext/>
      <w:keepLines/>
      <w:widowControl w:val="0"/>
      <w:spacing w:before="40" w:after="0" w:line="240" w:lineRule="atLeast"/>
      <w:jc w:val="both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uiPriority w:val="9"/>
    <w:rsid w:val="004543E4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4543E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4543E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4543E4"/>
  </w:style>
  <w:style w:type="paragraph" w:styleId="Header">
    <w:name w:val="header"/>
    <w:basedOn w:val="Normal"/>
    <w:link w:val="HeaderChar"/>
    <w:rsid w:val="004543E4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4543E4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4543E4"/>
    <w:pPr>
      <w:widowControl w:val="0"/>
      <w:tabs>
        <w:tab w:val="center" w:pos="4320"/>
        <w:tab w:val="right" w:pos="8640"/>
      </w:tabs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rsid w:val="004543E4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4543E4"/>
  </w:style>
  <w:style w:type="paragraph" w:styleId="ListParagraph">
    <w:name w:val="List Paragraph"/>
    <w:basedOn w:val="Normal"/>
    <w:uiPriority w:val="34"/>
    <w:qFormat/>
    <w:rsid w:val="004543E4"/>
    <w:pPr>
      <w:spacing w:after="0" w:line="240" w:lineRule="auto"/>
      <w:ind w:left="720"/>
    </w:pPr>
    <w:rPr>
      <w:rFonts w:ascii="Calibri" w:eastAsia="Calibri" w:hAnsi="Calibri" w:cs="Calibri"/>
    </w:rPr>
  </w:style>
  <w:style w:type="paragraph" w:styleId="Caption">
    <w:name w:val="caption"/>
    <w:basedOn w:val="Normal"/>
    <w:next w:val="Normal"/>
    <w:unhideWhenUsed/>
    <w:qFormat/>
    <w:rsid w:val="004543E4"/>
    <w:pPr>
      <w:widowControl w:val="0"/>
      <w:spacing w:after="200" w:line="240" w:lineRule="auto"/>
      <w:jc w:val="both"/>
    </w:pPr>
    <w:rPr>
      <w:rFonts w:ascii="Arial" w:eastAsia="Times New Roman" w:hAnsi="Arial" w:cs="Times New Roman"/>
      <w:i/>
      <w:iCs/>
      <w:color w:val="44546A" w:themeColor="text2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543E4"/>
    <w:rPr>
      <w:color w:val="80808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43E4"/>
    <w:pPr>
      <w:widowControl w:val="0"/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43E4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543E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43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43E4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customStyle="1" w:styleId="normaltextrun">
    <w:name w:val="normaltextrun"/>
    <w:basedOn w:val="DefaultParagraphFont"/>
    <w:rsid w:val="004543E4"/>
  </w:style>
  <w:style w:type="paragraph" w:styleId="Bibliography">
    <w:name w:val="Bibliography"/>
    <w:basedOn w:val="Normal"/>
    <w:next w:val="Normal"/>
    <w:uiPriority w:val="37"/>
    <w:unhideWhenUsed/>
    <w:rsid w:val="00325FE4"/>
  </w:style>
  <w:style w:type="paragraph" w:customStyle="1" w:styleId="B1">
    <w:name w:val="B1"/>
    <w:basedOn w:val="List"/>
    <w:rsid w:val="00AF145F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F145F"/>
    <w:pPr>
      <w:ind w:left="283" w:hanging="283"/>
      <w:contextualSpacing/>
    </w:pPr>
  </w:style>
  <w:style w:type="paragraph" w:customStyle="1" w:styleId="bulletlevel1">
    <w:name w:val="bullet level 1"/>
    <w:basedOn w:val="Normal"/>
    <w:link w:val="bulletlevel1Char"/>
    <w:qFormat/>
    <w:rsid w:val="009C3160"/>
    <w:pPr>
      <w:numPr>
        <w:numId w:val="3"/>
      </w:numPr>
      <w:adjustRightInd w:val="0"/>
      <w:snapToGrid w:val="0"/>
      <w:spacing w:afterLines="50" w:after="120" w:line="240" w:lineRule="auto"/>
    </w:pPr>
    <w:rPr>
      <w:rFonts w:ascii="Arial" w:eastAsia="MS Mincho" w:hAnsi="Arial" w:cs="Arial"/>
      <w:sz w:val="20"/>
      <w:szCs w:val="20"/>
      <w:lang w:eastAsia="ja-JP"/>
    </w:rPr>
  </w:style>
  <w:style w:type="paragraph" w:customStyle="1" w:styleId="bulletlevel2">
    <w:name w:val="bullet level 2"/>
    <w:basedOn w:val="Normal"/>
    <w:link w:val="bulletlevel2Char"/>
    <w:qFormat/>
    <w:rsid w:val="009C3160"/>
    <w:pPr>
      <w:numPr>
        <w:ilvl w:val="1"/>
        <w:numId w:val="3"/>
      </w:numPr>
      <w:adjustRightInd w:val="0"/>
      <w:snapToGrid w:val="0"/>
      <w:spacing w:afterLines="50" w:after="120" w:line="240" w:lineRule="auto"/>
    </w:pPr>
    <w:rPr>
      <w:rFonts w:ascii="Arial" w:eastAsia="MS Mincho" w:hAnsi="Arial" w:cs="Arial"/>
      <w:sz w:val="20"/>
      <w:szCs w:val="20"/>
      <w:lang w:eastAsia="ja-JP"/>
    </w:rPr>
  </w:style>
  <w:style w:type="character" w:customStyle="1" w:styleId="bulletlevel1Char">
    <w:name w:val="bullet level 1 Char"/>
    <w:basedOn w:val="DefaultParagraphFont"/>
    <w:link w:val="bulletlevel1"/>
    <w:rsid w:val="009C3160"/>
    <w:rPr>
      <w:rFonts w:ascii="Arial" w:eastAsia="MS Mincho" w:hAnsi="Arial" w:cs="Arial"/>
      <w:sz w:val="20"/>
      <w:szCs w:val="20"/>
      <w:lang w:val="en-US" w:eastAsia="ja-JP"/>
    </w:rPr>
  </w:style>
  <w:style w:type="paragraph" w:customStyle="1" w:styleId="h2">
    <w:name w:val="h2"/>
    <w:basedOn w:val="Heading1"/>
    <w:qFormat/>
    <w:rsid w:val="009C3160"/>
    <w:pPr>
      <w:keepNext/>
      <w:adjustRightInd w:val="0"/>
      <w:snapToGrid w:val="0"/>
      <w:spacing w:before="120"/>
      <w:ind w:left="720" w:hanging="720"/>
      <w:jc w:val="left"/>
    </w:pPr>
    <w:rPr>
      <w:rFonts w:eastAsia="MS Mincho" w:cs="Arial"/>
      <w:lang w:val="en-US"/>
    </w:rPr>
  </w:style>
  <w:style w:type="paragraph" w:customStyle="1" w:styleId="h3">
    <w:name w:val="h3"/>
    <w:basedOn w:val="h2"/>
    <w:qFormat/>
    <w:rsid w:val="009C3160"/>
    <w:rPr>
      <w:sz w:val="20"/>
    </w:rPr>
  </w:style>
  <w:style w:type="paragraph" w:customStyle="1" w:styleId="h3a">
    <w:name w:val="h3a"/>
    <w:basedOn w:val="h3"/>
    <w:next w:val="Normal"/>
    <w:link w:val="h3aChar"/>
    <w:qFormat/>
    <w:rsid w:val="009C3160"/>
  </w:style>
  <w:style w:type="character" w:customStyle="1" w:styleId="h3aChar">
    <w:name w:val="h3a Char"/>
    <w:basedOn w:val="DefaultParagraphFont"/>
    <w:link w:val="h3a"/>
    <w:rsid w:val="009C3160"/>
    <w:rPr>
      <w:rFonts w:ascii="Arial" w:eastAsia="MS Mincho" w:hAnsi="Arial" w:cs="Arial"/>
      <w:b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00263C"/>
    <w:pPr>
      <w:spacing w:after="0" w:line="240" w:lineRule="auto"/>
    </w:pPr>
  </w:style>
  <w:style w:type="paragraph" w:customStyle="1" w:styleId="References">
    <w:name w:val="References"/>
    <w:basedOn w:val="Normal"/>
    <w:link w:val="ReferencesChar"/>
    <w:qFormat/>
    <w:rsid w:val="0099768B"/>
    <w:pPr>
      <w:widowControl w:val="0"/>
      <w:numPr>
        <w:numId w:val="7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 w:line="240" w:lineRule="auto"/>
      <w:ind w:left="567" w:hanging="567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ReferencesChar">
    <w:name w:val="References Char"/>
    <w:basedOn w:val="DefaultParagraphFont"/>
    <w:link w:val="References"/>
    <w:rsid w:val="0099768B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NormalIndent">
    <w:name w:val="Normal Indent"/>
    <w:basedOn w:val="Normal"/>
    <w:link w:val="NormalIndentChar"/>
    <w:rsid w:val="00A36DDB"/>
    <w:pPr>
      <w:spacing w:after="0" w:line="24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NormalIndentChar">
    <w:name w:val="Normal Indent Char"/>
    <w:link w:val="NormalIndent"/>
    <w:rsid w:val="00A36DDB"/>
    <w:rPr>
      <w:rFonts w:ascii="Arial" w:eastAsia="Times New Roman" w:hAnsi="Arial" w:cs="Times New Roman"/>
      <w:sz w:val="20"/>
      <w:szCs w:val="20"/>
    </w:rPr>
  </w:style>
  <w:style w:type="character" w:customStyle="1" w:styleId="bulletlevel2Char">
    <w:name w:val="bullet level 2 Char"/>
    <w:basedOn w:val="DefaultParagraphFont"/>
    <w:link w:val="bulletlevel2"/>
    <w:rsid w:val="00DA7C14"/>
    <w:rPr>
      <w:rFonts w:ascii="Arial" w:eastAsia="MS Mincho" w:hAnsi="Arial" w:cs="Arial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97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4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8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91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5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4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2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AAE4DB2347B41988EF24CBB808036" ma:contentTypeVersion="6" ma:contentTypeDescription="Ein neues Dokument erstellen." ma:contentTypeScope="" ma:versionID="e3a5f5c1e619f3f17dee8d2bf5e46b17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a00e51eacbfebfc487f25fff19e91ecc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IEEE2006OfficeOnline.xsl" StyleName="IEEE" Version="2006">
  <b:Source>
    <b:Tag>Dol221</b:Tag>
    <b:SourceType>Report</b:SourceType>
    <b:Guid>{D257AE71-1755-1445-A9FE-A158EC9731F1}</b:Guid>
    <b:Author>
      <b:Author>
        <b:NameList>
          <b:Person>
            <b:Last>Dolby Laboratories</b:Last>
            <b:First>Inc.</b:First>
          </b:Person>
        </b:NameList>
      </b:Author>
    </b:Author>
    <b:Title>On Sound Material for IVAS Codec Selection Mushra Tests </b:Title>
    <b:Year>2022</b:Year>
    <b:StandardNumber>S4aA230004</b:StandardNumber>
    <b:RefOrder>1</b:RefOrder>
  </b:Source>
</b:Sourc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C55748-B9B3-4226-AD2F-9D8F73A6E7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2AD9F6-0E93-41AE-B5E9-4BE0B6807F31}">
  <ds:schemaRefs>
    <ds:schemaRef ds:uri="http://schemas.microsoft.com/office/2006/metadata/properties"/>
    <ds:schemaRef ds:uri="http://schemas.microsoft.com/office/infopath/2007/PartnerControls"/>
    <ds:schemaRef ds:uri="8bb077f6-f922-4b4c-8c20-e687e86ff932"/>
  </ds:schemaRefs>
</ds:datastoreItem>
</file>

<file path=customXml/itemProps3.xml><?xml version="1.0" encoding="utf-8"?>
<ds:datastoreItem xmlns:ds="http://schemas.openxmlformats.org/officeDocument/2006/customXml" ds:itemID="{13694B63-F7E6-BC47-8D88-BBB224CDD2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D48300-F5A3-425C-931F-998EB89096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507</Words>
  <Characters>2896</Characters>
  <Application>Microsoft Office Word</Application>
  <DocSecurity>0</DocSecurity>
  <Lines>24</Lines>
  <Paragraphs>6</Paragraphs>
  <ScaleCrop>false</ScaleCrop>
  <Manager/>
  <Company>Fraunhofer IIS</Company>
  <LinksUpToDate>false</LinksUpToDate>
  <CharactersWithSpaces>3397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Döhla</dc:creator>
  <cp:keywords/>
  <dc:description/>
  <cp:lastModifiedBy>Fotopoulou, Eleni</cp:lastModifiedBy>
  <cp:revision>2</cp:revision>
  <dcterms:created xsi:type="dcterms:W3CDTF">2023-02-14T20:44:00Z</dcterms:created>
  <dcterms:modified xsi:type="dcterms:W3CDTF">2023-02-14T20:44:00Z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0x010100CAFAAE4DB2347B41988EF24CBB808036</vt:lpwstr>
  </property>
</Properties>
</file>