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4CA4E4B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E5E01">
        <w:rPr>
          <w:b/>
          <w:sz w:val="24"/>
        </w:rPr>
        <w:t>Aligning</w:t>
      </w:r>
      <w:r w:rsidR="001E5E01" w:rsidRPr="001E5E01">
        <w:rPr>
          <w:b/>
          <w:sz w:val="24"/>
        </w:rPr>
        <w:t xml:space="preserve"> </w:t>
      </w:r>
      <w:r w:rsidR="00C65CFC">
        <w:rPr>
          <w:b/>
          <w:sz w:val="24"/>
        </w:rPr>
        <w:t>MeC</w:t>
      </w:r>
      <w:r w:rsidR="001E5E01" w:rsidRPr="001E5E01">
        <w:rPr>
          <w:b/>
          <w:sz w:val="24"/>
        </w:rPr>
        <w:t xml:space="preserve">AR </w:t>
      </w:r>
      <w:r w:rsidR="00B17E7B">
        <w:rPr>
          <w:b/>
          <w:sz w:val="24"/>
        </w:rPr>
        <w:t xml:space="preserve">architectures on </w:t>
      </w:r>
      <w:r w:rsidR="001E5E01">
        <w:rPr>
          <w:b/>
          <w:sz w:val="24"/>
        </w:rPr>
        <w:t xml:space="preserve">the </w:t>
      </w:r>
      <w:r w:rsidR="001E5E01" w:rsidRPr="001E5E01">
        <w:rPr>
          <w:b/>
          <w:sz w:val="24"/>
        </w:rPr>
        <w:t>XR Client generic architecture</w:t>
      </w:r>
    </w:p>
    <w:p w14:paraId="3D37A61E" w14:textId="6E7E1D28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FC3AF4">
        <w:rPr>
          <w:lang w:val="en-GB"/>
        </w:rPr>
        <w:t>Agreement</w:t>
      </w:r>
    </w:p>
    <w:p w14:paraId="1AEC9E93" w14:textId="71DD7C9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E5E01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721FD2E1" w14:textId="77FE4AEB" w:rsidR="00CD2C98" w:rsidRPr="00F0029D" w:rsidRDefault="001E5E01" w:rsidP="00F0029D">
      <w:pPr>
        <w:rPr>
          <w:sz w:val="20"/>
          <w:szCs w:val="18"/>
          <w:lang w:eastAsia="en-GB"/>
        </w:rPr>
      </w:pPr>
      <w:r w:rsidRPr="00F0029D">
        <w:rPr>
          <w:sz w:val="20"/>
          <w:szCs w:val="18"/>
          <w:lang w:eastAsia="en-GB"/>
        </w:rPr>
        <w:t xml:space="preserve">At 3GPP SA4#121, the XR </w:t>
      </w:r>
      <w:r w:rsidR="00F0029D">
        <w:rPr>
          <w:sz w:val="20"/>
          <w:szCs w:val="18"/>
          <w:lang w:eastAsia="en-GB"/>
        </w:rPr>
        <w:t>Baseline Client</w:t>
      </w:r>
      <w:r w:rsidRPr="00F0029D">
        <w:rPr>
          <w:sz w:val="20"/>
          <w:szCs w:val="18"/>
          <w:lang w:eastAsia="en-GB"/>
        </w:rPr>
        <w:t xml:space="preserve"> architecture has been consolidated among participant of several </w:t>
      </w:r>
      <w:r w:rsidR="008D493B" w:rsidRPr="00F0029D">
        <w:rPr>
          <w:sz w:val="20"/>
          <w:szCs w:val="18"/>
          <w:lang w:eastAsia="en-GB"/>
        </w:rPr>
        <w:t>Study and Work Items. The architecture has bee</w:t>
      </w:r>
      <w:r w:rsidR="006512B6" w:rsidRPr="00F0029D">
        <w:rPr>
          <w:sz w:val="20"/>
          <w:szCs w:val="18"/>
          <w:lang w:eastAsia="en-GB"/>
        </w:rPr>
        <w:t>n</w:t>
      </w:r>
      <w:r w:rsidR="008D493B" w:rsidRPr="00F0029D">
        <w:rPr>
          <w:sz w:val="20"/>
          <w:szCs w:val="18"/>
          <w:lang w:eastAsia="en-GB"/>
        </w:rPr>
        <w:t xml:space="preserve"> capture</w:t>
      </w:r>
      <w:r w:rsidR="00ED4515" w:rsidRPr="00F0029D">
        <w:rPr>
          <w:sz w:val="20"/>
          <w:szCs w:val="18"/>
          <w:lang w:eastAsia="en-GB"/>
        </w:rPr>
        <w:t>d</w:t>
      </w:r>
      <w:r w:rsidR="008D493B" w:rsidRPr="00F0029D">
        <w:rPr>
          <w:sz w:val="20"/>
          <w:szCs w:val="18"/>
          <w:lang w:eastAsia="en-GB"/>
        </w:rPr>
        <w:t xml:space="preserve"> in </w:t>
      </w:r>
      <w:r w:rsidR="006512B6" w:rsidRPr="00F0029D">
        <w:rPr>
          <w:sz w:val="20"/>
          <w:szCs w:val="18"/>
          <w:lang w:eastAsia="en-GB"/>
        </w:rPr>
        <w:t xml:space="preserve">S4-221577 </w:t>
      </w:r>
      <w:r w:rsidR="006512B6" w:rsidRPr="00F0029D">
        <w:rPr>
          <w:sz w:val="20"/>
          <w:szCs w:val="18"/>
          <w:lang w:eastAsia="en-GB"/>
        </w:rPr>
        <w:fldChar w:fldCharType="begin"/>
      </w:r>
      <w:r w:rsidR="006512B6" w:rsidRPr="00F0029D">
        <w:rPr>
          <w:sz w:val="20"/>
          <w:szCs w:val="18"/>
          <w:lang w:eastAsia="en-GB"/>
        </w:rPr>
        <w:instrText xml:space="preserve"> REF _Ref127285372 \r \h </w:instrText>
      </w:r>
      <w:r w:rsidR="00F0029D" w:rsidRPr="00F0029D">
        <w:rPr>
          <w:sz w:val="20"/>
          <w:szCs w:val="18"/>
          <w:lang w:eastAsia="en-GB"/>
        </w:rPr>
        <w:instrText xml:space="preserve"> \* MERGEFORMAT </w:instrText>
      </w:r>
      <w:r w:rsidR="006512B6" w:rsidRPr="00F0029D">
        <w:rPr>
          <w:sz w:val="20"/>
          <w:szCs w:val="18"/>
          <w:lang w:eastAsia="en-GB"/>
        </w:rPr>
      </w:r>
      <w:r w:rsidR="006512B6" w:rsidRPr="00F0029D">
        <w:rPr>
          <w:sz w:val="20"/>
          <w:szCs w:val="18"/>
          <w:lang w:eastAsia="en-GB"/>
        </w:rPr>
        <w:fldChar w:fldCharType="separate"/>
      </w:r>
      <w:r w:rsidR="006512B6" w:rsidRPr="00F0029D">
        <w:rPr>
          <w:sz w:val="20"/>
          <w:szCs w:val="18"/>
          <w:lang w:eastAsia="en-GB"/>
        </w:rPr>
        <w:t>[1]</w:t>
      </w:r>
      <w:r w:rsidR="006512B6" w:rsidRPr="00F0029D">
        <w:rPr>
          <w:sz w:val="20"/>
          <w:szCs w:val="18"/>
          <w:lang w:eastAsia="en-GB"/>
        </w:rPr>
        <w:fldChar w:fldCharType="end"/>
      </w:r>
      <w:r w:rsidR="00ED4515" w:rsidRPr="00F0029D">
        <w:rPr>
          <w:sz w:val="20"/>
          <w:szCs w:val="18"/>
          <w:lang w:eastAsia="en-GB"/>
        </w:rPr>
        <w:t xml:space="preserve"> and added as section 4.1 in the MeCAR Permanent Document</w:t>
      </w:r>
      <w:r w:rsidR="00C83A74" w:rsidRPr="00F0029D">
        <w:rPr>
          <w:sz w:val="20"/>
          <w:szCs w:val="18"/>
          <w:lang w:eastAsia="en-GB"/>
        </w:rPr>
        <w:t xml:space="preserve"> v4</w:t>
      </w:r>
      <w:r w:rsidR="00ED4515" w:rsidRPr="00F0029D">
        <w:rPr>
          <w:sz w:val="20"/>
          <w:szCs w:val="18"/>
          <w:lang w:eastAsia="en-GB"/>
        </w:rPr>
        <w:t>.</w:t>
      </w:r>
    </w:p>
    <w:p w14:paraId="7FE6C30C" w14:textId="1A90F8EE" w:rsidR="00176F58" w:rsidRPr="002562FB" w:rsidRDefault="00E107B8" w:rsidP="00B526C2">
      <w:pPr>
        <w:rPr>
          <w:sz w:val="20"/>
          <w:szCs w:val="18"/>
          <w:lang w:eastAsia="en-GB"/>
        </w:rPr>
      </w:pPr>
      <w:r w:rsidRPr="00F0029D">
        <w:rPr>
          <w:sz w:val="20"/>
          <w:szCs w:val="18"/>
          <w:lang w:eastAsia="en-GB"/>
        </w:rPr>
        <w:t xml:space="preserve">This contribution proposes </w:t>
      </w:r>
      <w:r w:rsidR="00F0029D">
        <w:rPr>
          <w:sz w:val="20"/>
          <w:szCs w:val="18"/>
          <w:lang w:eastAsia="en-GB"/>
        </w:rPr>
        <w:t xml:space="preserve">updates of </w:t>
      </w:r>
      <w:r w:rsidR="00F11368">
        <w:rPr>
          <w:sz w:val="20"/>
          <w:szCs w:val="18"/>
          <w:lang w:eastAsia="en-GB"/>
        </w:rPr>
        <w:t xml:space="preserve">the architecture figures in </w:t>
      </w:r>
      <w:r w:rsidR="003736D7" w:rsidRPr="00F0029D">
        <w:rPr>
          <w:sz w:val="20"/>
          <w:szCs w:val="18"/>
          <w:lang w:eastAsia="en-GB"/>
        </w:rPr>
        <w:t xml:space="preserve">the MeCAR Permanent Document in order to align </w:t>
      </w:r>
      <w:r w:rsidR="00F11368">
        <w:rPr>
          <w:sz w:val="20"/>
          <w:szCs w:val="18"/>
          <w:lang w:eastAsia="en-GB"/>
        </w:rPr>
        <w:t xml:space="preserve">the </w:t>
      </w:r>
      <w:r w:rsidR="003736D7" w:rsidRPr="00F0029D">
        <w:rPr>
          <w:sz w:val="20"/>
          <w:szCs w:val="18"/>
          <w:lang w:eastAsia="en-GB"/>
        </w:rPr>
        <w:t xml:space="preserve">MeCAR </w:t>
      </w:r>
      <w:r w:rsidR="002562FB">
        <w:rPr>
          <w:sz w:val="20"/>
          <w:szCs w:val="18"/>
          <w:lang w:eastAsia="en-GB"/>
        </w:rPr>
        <w:t xml:space="preserve">devices </w:t>
      </w:r>
      <w:r w:rsidR="003736D7" w:rsidRPr="00F0029D">
        <w:rPr>
          <w:sz w:val="20"/>
          <w:szCs w:val="18"/>
          <w:lang w:eastAsia="en-GB"/>
        </w:rPr>
        <w:t>on this consolidated architecture.</w:t>
      </w:r>
    </w:p>
    <w:p w14:paraId="55C2EB16" w14:textId="77777777" w:rsidR="00CA6AAA" w:rsidRPr="00CA6AAA" w:rsidRDefault="00CA6AAA" w:rsidP="00CA6AAA">
      <w:pPr>
        <w:rPr>
          <w:rFonts w:cs="Arial"/>
          <w:szCs w:val="22"/>
          <w:lang w:eastAsia="en-GB"/>
        </w:rPr>
      </w:pPr>
    </w:p>
    <w:p w14:paraId="02B57F3D" w14:textId="539AE570" w:rsidR="00892542" w:rsidRPr="00FF27F7" w:rsidRDefault="0040534E" w:rsidP="0040534E">
      <w:pPr>
        <w:pStyle w:val="Heading1"/>
        <w:tabs>
          <w:tab w:val="left" w:pos="2410"/>
        </w:tabs>
      </w:pPr>
      <w:r>
        <w:t>2</w:t>
      </w:r>
      <w:r>
        <w:tab/>
      </w:r>
      <w:r w:rsidR="00892542">
        <w:t xml:space="preserve">Reminder of </w:t>
      </w:r>
      <w:r w:rsidRPr="0040534E">
        <w:t>Candidate XR Baseline Client architecture</w:t>
      </w:r>
      <w:r w:rsidR="00E107B8">
        <w:t xml:space="preserve"> (from </w:t>
      </w:r>
      <w:r w:rsidR="00E107B8" w:rsidRPr="00E107B8">
        <w:t>S4-221577</w:t>
      </w:r>
      <w:r w:rsidR="00723709">
        <w:t xml:space="preserve"> and MeCAR PD v4</w:t>
      </w:r>
      <w:r w:rsidR="00E107B8">
        <w:t>)</w:t>
      </w:r>
    </w:p>
    <w:p w14:paraId="0CCF397E" w14:textId="57D4F5E0" w:rsidR="00723709" w:rsidRPr="00723709" w:rsidRDefault="00723709" w:rsidP="00723709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Malgun Gothic"/>
          <w:sz w:val="32"/>
        </w:rPr>
      </w:pPr>
      <w:r>
        <w:rPr>
          <w:rFonts w:eastAsia="Malgun Gothic"/>
          <w:sz w:val="32"/>
          <w:lang w:val="en-US"/>
        </w:rPr>
        <w:t>4.1</w:t>
      </w:r>
      <w:r>
        <w:rPr>
          <w:rFonts w:eastAsia="Malgun Gothic"/>
          <w:sz w:val="32"/>
          <w:lang w:val="en-US"/>
        </w:rPr>
        <w:tab/>
      </w:r>
      <w:r w:rsidRPr="00723709">
        <w:rPr>
          <w:rFonts w:eastAsia="Malgun Gothic"/>
          <w:sz w:val="32"/>
          <w:lang w:val="en-US"/>
        </w:rPr>
        <w:t xml:space="preserve">Candidate XR Baseline Client </w:t>
      </w:r>
    </w:p>
    <w:p w14:paraId="04DD4682" w14:textId="77777777" w:rsidR="00723709" w:rsidRPr="00723709" w:rsidRDefault="00723709" w:rsidP="00B70A5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0" w:name="_Toc119679094"/>
      <w:r w:rsidRPr="00723709">
        <w:rPr>
          <w:rFonts w:eastAsia="Malgun Gothic"/>
          <w:sz w:val="28"/>
          <w:lang w:val="en-US"/>
        </w:rPr>
        <w:t>4.1.1</w:t>
      </w:r>
      <w:r w:rsidRPr="00723709">
        <w:rPr>
          <w:rFonts w:eastAsia="Malgun Gothic"/>
          <w:sz w:val="28"/>
          <w:lang w:val="en-US"/>
        </w:rPr>
        <w:tab/>
        <w:t>General</w:t>
      </w:r>
      <w:bookmarkEnd w:id="0"/>
    </w:p>
    <w:p w14:paraId="37E69164" w14:textId="77777777" w:rsidR="00723709" w:rsidRPr="00723709" w:rsidRDefault="00723709" w:rsidP="00723709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723709">
        <w:rPr>
          <w:rFonts w:ascii="Times New Roman" w:eastAsia="Times New Roman" w:hAnsi="Times New Roman"/>
          <w:sz w:val="20"/>
          <w:lang w:val="en-US"/>
        </w:rPr>
        <w:t>The XR Baseline Client represents the functionalities, the peripherals, and the interfaces that are present on a generic XR UE. The actual device may be realized by a single device, or a combination of devices linked together. The details on how to instantiate an XR Baseline Client in the context of a service or deployment scenario is left for the respective Work Items and Study Items to define.</w:t>
      </w:r>
    </w:p>
    <w:p w14:paraId="23646A98" w14:textId="77777777" w:rsidR="00723709" w:rsidRPr="00723709" w:rsidRDefault="00723709" w:rsidP="00723709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723709">
        <w:rPr>
          <w:rFonts w:ascii="Times New Roman" w:eastAsia="Times New Roman" w:hAnsi="Times New Roman"/>
          <w:sz w:val="20"/>
          <w:lang w:val="en-US"/>
        </w:rPr>
        <w:t>In terms of functionalities, an XR Baseline Client is composed of:</w:t>
      </w:r>
    </w:p>
    <w:p w14:paraId="5E5A04B6" w14:textId="77777777" w:rsidR="00723709" w:rsidRPr="00723709" w:rsidRDefault="00723709" w:rsidP="00B70A5B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b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szCs w:val="22"/>
          <w:lang w:val="en-US"/>
        </w:rPr>
        <w:t>An XR application</w:t>
      </w:r>
      <w:r w:rsidRPr="00723709">
        <w:rPr>
          <w:rFonts w:ascii="Times New Roman" w:eastAsia="Malgun Gothic" w:hAnsi="Times New Roman"/>
          <w:bCs/>
          <w:szCs w:val="22"/>
          <w:lang w:val="en-US"/>
        </w:rPr>
        <w:t>: a software application that integrates audio-visual content into the user’s real-world environment</w:t>
      </w:r>
    </w:p>
    <w:p w14:paraId="3E739C80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Cs/>
          <w:szCs w:val="22"/>
          <w:lang w:val="en-US"/>
        </w:rPr>
        <w:t>An</w:t>
      </w:r>
      <w:r w:rsidRPr="00723709">
        <w:rPr>
          <w:rFonts w:ascii="Times New Roman" w:eastAsia="Malgun Gothic" w:hAnsi="Times New Roman"/>
          <w:b/>
          <w:szCs w:val="22"/>
          <w:lang w:val="en-US"/>
        </w:rPr>
        <w:t xml:space="preserve"> XR Runtime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: a set of functions that interface with a platform to perform commonly required operations, such as accessing the controller/peripheral state, getting current and/or predicted tracking positions, performing spatial computing, and submitting rendered frames to the display processing unit. </w:t>
      </w:r>
    </w:p>
    <w:p w14:paraId="7447A0EE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szCs w:val="22"/>
          <w:lang w:val="en-US"/>
        </w:rPr>
        <w:t xml:space="preserve">An </w:t>
      </w: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XR Source Management</w:t>
      </w:r>
      <w:r w:rsidRPr="00723709">
        <w:rPr>
          <w:rFonts w:ascii="Times New Roman" w:eastAsia="Malgun Gothic" w:hAnsi="Times New Roman"/>
          <w:szCs w:val="22"/>
          <w:lang w:val="en-US"/>
        </w:rPr>
        <w:t>: management of data sources provided through the XR runtime such as microphones, cameras, trackers, etc.</w:t>
      </w:r>
    </w:p>
    <w:p w14:paraId="7AF5C0C5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szCs w:val="22"/>
          <w:lang w:val="en-US"/>
        </w:rPr>
        <w:t xml:space="preserve">A </w:t>
      </w:r>
      <w:r w:rsidRPr="00723709">
        <w:rPr>
          <w:rFonts w:ascii="Times New Roman" w:eastAsia="Malgun Gothic" w:hAnsi="Times New Roman"/>
          <w:b/>
          <w:szCs w:val="22"/>
          <w:lang w:val="en-US"/>
        </w:rPr>
        <w:t>Media Access Function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: A set of functions that enables access to media and other XR-related data that is needed in the </w:t>
      </w:r>
      <w:r w:rsidRPr="00723709">
        <w:rPr>
          <w:rFonts w:ascii="Times New Roman" w:eastAsia="Malgun Gothic" w:hAnsi="Times New Roman"/>
          <w:b/>
          <w:bCs/>
          <w:i/>
          <w:iCs/>
          <w:szCs w:val="22"/>
          <w:lang w:val="en-US"/>
        </w:rPr>
        <w:t>Scene manager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or </w:t>
      </w:r>
      <w:r w:rsidRPr="00723709">
        <w:rPr>
          <w:rFonts w:ascii="Times New Roman" w:eastAsia="Malgun Gothic" w:hAnsi="Times New Roman"/>
          <w:b/>
          <w:bCs/>
          <w:i/>
          <w:iCs/>
          <w:szCs w:val="22"/>
          <w:lang w:val="en-US"/>
        </w:rPr>
        <w:t>XR Runtime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to provide an XR experience.</w:t>
      </w:r>
    </w:p>
    <w:p w14:paraId="40F13E93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szCs w:val="22"/>
          <w:lang w:val="en-US"/>
        </w:rPr>
        <w:t xml:space="preserve">A </w:t>
      </w:r>
      <w:r w:rsidRPr="00723709">
        <w:rPr>
          <w:rFonts w:ascii="Times New Roman" w:eastAsia="Malgun Gothic" w:hAnsi="Times New Roman"/>
          <w:b/>
          <w:szCs w:val="22"/>
          <w:lang w:val="en-US"/>
        </w:rPr>
        <w:t>Scene Manager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: a set of functions that supports the application in arranging the logical and spatial representation of a multisensorial scene based on support from the </w:t>
      </w:r>
      <w:r w:rsidRPr="00723709">
        <w:rPr>
          <w:rFonts w:ascii="Times New Roman" w:eastAsia="Malgun Gothic" w:hAnsi="Times New Roman"/>
          <w:b/>
          <w:bCs/>
          <w:i/>
          <w:iCs/>
          <w:szCs w:val="22"/>
          <w:lang w:val="en-US"/>
        </w:rPr>
        <w:t>XR Runtime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. </w:t>
      </w:r>
    </w:p>
    <w:p w14:paraId="01FA74BC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szCs w:val="22"/>
          <w:lang w:val="en-US"/>
        </w:rPr>
        <w:t xml:space="preserve">A </w:t>
      </w: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Presentation Engine</w:t>
      </w:r>
      <w:r w:rsidRPr="00723709">
        <w:rPr>
          <w:rFonts w:ascii="Times New Roman" w:eastAsia="Malgun Gothic" w:hAnsi="Times New Roman"/>
          <w:szCs w:val="22"/>
          <w:lang w:val="en-US"/>
        </w:rPr>
        <w:t>: a set of composite renderers, rendering the component of the scenes, based on the input from the Scene Manager.</w:t>
      </w:r>
    </w:p>
    <w:p w14:paraId="005CEFEC" w14:textId="77777777" w:rsidR="00723709" w:rsidRPr="00723709" w:rsidRDefault="00723709" w:rsidP="00723709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723709">
        <w:rPr>
          <w:rFonts w:ascii="Times New Roman" w:eastAsia="Times New Roman" w:hAnsi="Times New Roman"/>
          <w:sz w:val="20"/>
          <w:lang w:val="en-US"/>
        </w:rPr>
        <w:t>In addition, those functional blocks are integrated together via interfaces. Interfaces may be made of APIs and/or data formats and collectively act as a contract between the two sides of the interface.</w:t>
      </w:r>
    </w:p>
    <w:p w14:paraId="086CD6E1" w14:textId="77777777" w:rsidR="00723709" w:rsidRPr="00723709" w:rsidRDefault="00723709" w:rsidP="00723709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723709">
        <w:rPr>
          <w:rFonts w:ascii="Times New Roman" w:eastAsia="Times New Roman" w:hAnsi="Times New Roman"/>
          <w:sz w:val="20"/>
          <w:lang w:val="en-US"/>
        </w:rPr>
        <w:t>The XR Baseline Client contains the following interfaces:</w:t>
      </w:r>
    </w:p>
    <w:p w14:paraId="527C2B4E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lastRenderedPageBreak/>
        <w:t>IF-1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lies between the XR Runtime on one side and the XR Source Management and the Presentation Engine.</w:t>
      </w:r>
    </w:p>
    <w:p w14:paraId="00963A6C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IF-2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lies between the Media Access Function and the 5G System.</w:t>
      </w:r>
    </w:p>
    <w:p w14:paraId="1E4BF34A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IF-3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lies between the XR Source Management and the Media Access Function.</w:t>
      </w:r>
    </w:p>
    <w:p w14:paraId="62C11E3F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IF-4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lies between the Scene Manager and the Media Access Function.</w:t>
      </w:r>
    </w:p>
    <w:p w14:paraId="25B23D5A" w14:textId="77777777" w:rsidR="00723709" w:rsidRPr="00723709" w:rsidRDefault="00723709" w:rsidP="00723709">
      <w:pPr>
        <w:widowControl/>
        <w:numPr>
          <w:ilvl w:val="0"/>
          <w:numId w:val="10"/>
        </w:numPr>
        <w:spacing w:after="180" w:line="240" w:lineRule="auto"/>
        <w:rPr>
          <w:rFonts w:ascii="Times New Roman" w:eastAsia="Malgun Gothic" w:hAnsi="Times New Roman"/>
          <w:szCs w:val="22"/>
          <w:lang w:val="en-US"/>
        </w:rPr>
      </w:pPr>
      <w:r w:rsidRPr="00723709">
        <w:rPr>
          <w:rFonts w:ascii="Times New Roman" w:eastAsia="Malgun Gothic" w:hAnsi="Times New Roman"/>
          <w:b/>
          <w:bCs/>
          <w:szCs w:val="22"/>
          <w:lang w:val="en-US"/>
        </w:rPr>
        <w:t>IF-5</w:t>
      </w:r>
      <w:r w:rsidRPr="00723709">
        <w:rPr>
          <w:rFonts w:ascii="Times New Roman" w:eastAsia="Malgun Gothic" w:hAnsi="Times New Roman"/>
          <w:szCs w:val="22"/>
          <w:lang w:val="en-US"/>
        </w:rPr>
        <w:t xml:space="preserve"> lies between the Scene Manager and the XR Application.</w:t>
      </w:r>
    </w:p>
    <w:p w14:paraId="41E87B6A" w14:textId="77777777" w:rsidR="00723709" w:rsidRPr="00723709" w:rsidRDefault="00723709" w:rsidP="00B70A5B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rFonts w:eastAsia="Malgun Gothic"/>
          <w:sz w:val="24"/>
          <w:lang w:val="en-US"/>
        </w:rPr>
      </w:pPr>
      <w:r w:rsidRPr="00723709">
        <w:rPr>
          <w:rFonts w:eastAsia="Malgun Gothic"/>
          <w:sz w:val="24"/>
          <w:lang w:val="en-US"/>
        </w:rPr>
        <w:t>4.1.2</w:t>
      </w:r>
      <w:r w:rsidRPr="00723709">
        <w:rPr>
          <w:rFonts w:eastAsia="Malgun Gothic"/>
          <w:sz w:val="24"/>
          <w:lang w:val="en-US"/>
        </w:rPr>
        <w:tab/>
        <w:t>Architecture</w:t>
      </w:r>
    </w:p>
    <w:p w14:paraId="0ED3638F" w14:textId="77777777" w:rsidR="00723709" w:rsidRPr="00723709" w:rsidRDefault="00723709" w:rsidP="00723709">
      <w:pPr>
        <w:keepNext/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723709">
        <w:rPr>
          <w:rFonts w:ascii="Times New Roman" w:eastAsia="Times New Roman" w:hAnsi="Times New Roman"/>
          <w:noProof/>
          <w:sz w:val="20"/>
          <w:lang w:val="en-US"/>
        </w:rPr>
        <w:drawing>
          <wp:inline distT="0" distB="0" distL="0" distR="0" wp14:anchorId="17E08620" wp14:editId="1B864741">
            <wp:extent cx="5936615" cy="4138930"/>
            <wp:effectExtent l="0" t="0" r="6985" b="0"/>
            <wp:docPr id="31" name="Picture 3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F1474" w14:textId="77777777" w:rsidR="00723709" w:rsidRPr="00723709" w:rsidRDefault="00723709" w:rsidP="00723709">
      <w:pPr>
        <w:widowControl/>
        <w:spacing w:after="200" w:line="240" w:lineRule="auto"/>
        <w:jc w:val="center"/>
        <w:rPr>
          <w:rFonts w:eastAsia="Times New Roman"/>
          <w:b/>
          <w:iCs/>
          <w:color w:val="000000"/>
          <w:sz w:val="20"/>
          <w:szCs w:val="18"/>
          <w:lang w:val="en-US" w:eastAsia="en-GB"/>
        </w:rPr>
      </w:pP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t xml:space="preserve">Figure </w:t>
      </w: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fldChar w:fldCharType="begin"/>
      </w: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instrText xml:space="preserve"> SEQ Figure \* ARABIC </w:instrText>
      </w: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fldChar w:fldCharType="separate"/>
      </w:r>
      <w:r w:rsidRPr="00723709">
        <w:rPr>
          <w:rFonts w:eastAsia="Times New Roman"/>
          <w:b/>
          <w:iCs/>
          <w:noProof/>
          <w:color w:val="000000"/>
          <w:sz w:val="20"/>
          <w:szCs w:val="18"/>
          <w:lang w:val="en-US"/>
        </w:rPr>
        <w:t>11</w:t>
      </w: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fldChar w:fldCharType="end"/>
      </w:r>
      <w:r w:rsidRPr="00723709">
        <w:rPr>
          <w:rFonts w:eastAsia="Times New Roman"/>
          <w:b/>
          <w:iCs/>
          <w:color w:val="000000"/>
          <w:sz w:val="20"/>
          <w:szCs w:val="18"/>
          <w:lang w:val="en-US"/>
        </w:rPr>
        <w:t xml:space="preserve"> - XR Baseline Client architecture</w:t>
      </w:r>
    </w:p>
    <w:p w14:paraId="45D04E10" w14:textId="7423C6E1" w:rsidR="00AD5AFD" w:rsidRPr="00AD5AFD" w:rsidRDefault="00AD5AFD" w:rsidP="00723709">
      <w:pPr>
        <w:pStyle w:val="Heading1"/>
        <w:tabs>
          <w:tab w:val="left" w:pos="2410"/>
        </w:tabs>
        <w:rPr>
          <w:b/>
          <w:iCs/>
          <w:color w:val="000000"/>
          <w:sz w:val="20"/>
          <w:szCs w:val="18"/>
          <w:lang w:val="en-US"/>
        </w:rPr>
      </w:pPr>
    </w:p>
    <w:p w14:paraId="61772B83" w14:textId="40B64A4A" w:rsidR="00100CAD" w:rsidRDefault="00100CAD" w:rsidP="00086F4D">
      <w:pPr>
        <w:tabs>
          <w:tab w:val="left" w:pos="3170"/>
        </w:tabs>
      </w:pPr>
    </w:p>
    <w:p w14:paraId="5FE8CF35" w14:textId="0F402257" w:rsidR="00100CAD" w:rsidRDefault="0040534E" w:rsidP="00FF27F7">
      <w:pPr>
        <w:pStyle w:val="Heading1"/>
        <w:tabs>
          <w:tab w:val="left" w:pos="2410"/>
        </w:tabs>
      </w:pPr>
      <w:r>
        <w:t>3</w:t>
      </w:r>
      <w:r w:rsidR="00FF27F7">
        <w:tab/>
      </w:r>
      <w:r w:rsidR="00100CAD" w:rsidRPr="000B0E51">
        <w:t>Proposal</w:t>
      </w:r>
    </w:p>
    <w:p w14:paraId="1981427C" w14:textId="77777777" w:rsidR="00A34D47" w:rsidRPr="00A34D47" w:rsidRDefault="00A34D47" w:rsidP="00A34D47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Malgun Gothic"/>
          <w:sz w:val="32"/>
        </w:rPr>
      </w:pPr>
      <w:bookmarkStart w:id="1" w:name="_Toc119679095"/>
      <w:r w:rsidRPr="00A34D47">
        <w:rPr>
          <w:rFonts w:eastAsia="Malgun Gothic"/>
          <w:sz w:val="32"/>
        </w:rPr>
        <w:t>4.2</w:t>
      </w:r>
      <w:r w:rsidRPr="00A34D47">
        <w:rPr>
          <w:rFonts w:eastAsia="Malgun Gothic"/>
          <w:sz w:val="32"/>
        </w:rPr>
        <w:tab/>
        <w:t>Thin Augmented Reality User Equipment (Thin AR UE)</w:t>
      </w:r>
      <w:bookmarkEnd w:id="1"/>
    </w:p>
    <w:p w14:paraId="0EE04706" w14:textId="77777777" w:rsidR="00A34D47" w:rsidRPr="00A34D47" w:rsidRDefault="00A34D47" w:rsidP="00A34D47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2" w:name="_Toc119679096"/>
      <w:r w:rsidRPr="00A34D47">
        <w:rPr>
          <w:rFonts w:eastAsia="Malgun Gothic"/>
          <w:sz w:val="28"/>
          <w:lang w:val="en-US"/>
        </w:rPr>
        <w:t>4.2.1</w:t>
      </w:r>
      <w:r w:rsidRPr="00A34D47">
        <w:rPr>
          <w:rFonts w:eastAsia="Malgun Gothic"/>
          <w:sz w:val="28"/>
          <w:lang w:val="en-US"/>
        </w:rPr>
        <w:tab/>
        <w:t>Device architecture</w:t>
      </w:r>
      <w:bookmarkEnd w:id="2"/>
    </w:p>
    <w:p w14:paraId="5A37E711" w14:textId="6C066758" w:rsidR="00B70A5B" w:rsidRDefault="009A4600" w:rsidP="00B70A5B">
      <w:pPr>
        <w:rPr>
          <w:lang w:eastAsia="en-GB"/>
        </w:rPr>
      </w:pPr>
      <w:r>
        <w:rPr>
          <w:lang w:eastAsia="en-GB"/>
        </w:rPr>
        <w:t>…</w:t>
      </w:r>
    </w:p>
    <w:p w14:paraId="1C864B07" w14:textId="77777777" w:rsidR="009A4600" w:rsidRPr="009A4600" w:rsidRDefault="009A4600" w:rsidP="009A4600">
      <w:pPr>
        <w:rPr>
          <w:sz w:val="24"/>
          <w:szCs w:val="22"/>
          <w:lang w:eastAsia="en-GB"/>
        </w:rPr>
      </w:pPr>
      <w:r w:rsidRPr="00501882">
        <w:rPr>
          <w:b/>
          <w:bCs/>
          <w:sz w:val="24"/>
          <w:szCs w:val="22"/>
          <w:highlight w:val="yellow"/>
          <w:lang w:eastAsia="en-GB"/>
        </w:rPr>
        <w:t>From</w:t>
      </w:r>
    </w:p>
    <w:p w14:paraId="302C7C46" w14:textId="77777777" w:rsidR="009A4600" w:rsidRPr="00B70A5B" w:rsidRDefault="009A4600" w:rsidP="00B70A5B">
      <w:pPr>
        <w:rPr>
          <w:lang w:eastAsia="en-GB"/>
        </w:rPr>
      </w:pPr>
    </w:p>
    <w:p w14:paraId="0FD4DA14" w14:textId="77777777" w:rsidR="00A95DFC" w:rsidRDefault="00A95DFC" w:rsidP="00A95DFC">
      <w:pPr>
        <w:keepNext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3C002" wp14:editId="480A0D3A">
                <wp:simplePos x="0" y="0"/>
                <wp:positionH relativeFrom="column">
                  <wp:posOffset>5134610</wp:posOffset>
                </wp:positionH>
                <wp:positionV relativeFrom="paragraph">
                  <wp:posOffset>137478</wp:posOffset>
                </wp:positionV>
                <wp:extent cx="447675" cy="185420"/>
                <wp:effectExtent l="0" t="0" r="9525" b="508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185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C479D0" w14:textId="77777777" w:rsidR="00A95DFC" w:rsidRPr="00A34D47" w:rsidRDefault="00A95DFC" w:rsidP="00A95DFC">
                            <w:pPr>
                              <w:rPr>
                                <w:rFonts w:asciiTheme="minorHAnsi" w:hAnsiTheme="minorHAnsi" w:cstheme="minorHAnsi"/>
                                <w:color w:val="808080" w:themeColor="background1" w:themeShade="80"/>
                                <w:szCs w:val="22"/>
                              </w:rPr>
                            </w:pPr>
                            <w:r w:rsidRPr="00A34D47">
                              <w:rPr>
                                <w:rFonts w:asciiTheme="minorHAnsi" w:hAnsiTheme="minorHAnsi" w:cstheme="minorHAnsi"/>
                                <w:color w:val="808080" w:themeColor="background1" w:themeShade="80"/>
                                <w:szCs w:val="22"/>
                              </w:rPr>
                              <w:t>Thin 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3C002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404.3pt;margin-top:10.85pt;width:35.25pt;height:1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" fillcolor="#d8d8d8 [2732]" stroked="f" strokeweight=".5pt">
                <v:textbox inset="0,0,0,0">
                  <w:txbxContent>
                    <w:p w14:paraId="27C479D0" w14:textId="77777777" w:rsidR="00A95DFC" w:rsidRPr="00A34D47" w:rsidRDefault="00A95DFC" w:rsidP="00A95DFC">
                      <w:pPr>
                        <w:rPr>
                          <w:rFonts w:asciiTheme="minorHAnsi" w:hAnsiTheme="minorHAnsi" w:cstheme="minorHAnsi"/>
                          <w:color w:val="808080" w:themeColor="background1" w:themeShade="80"/>
                          <w:szCs w:val="22"/>
                        </w:rPr>
                      </w:pPr>
                      <w:r w:rsidRPr="00A34D47">
                        <w:rPr>
                          <w:rFonts w:asciiTheme="minorHAnsi" w:hAnsiTheme="minorHAnsi" w:cstheme="minorHAnsi"/>
                          <w:color w:val="808080" w:themeColor="background1" w:themeShade="80"/>
                          <w:szCs w:val="22"/>
                        </w:rPr>
                        <w:t>Thin AR</w:t>
                      </w:r>
                    </w:p>
                  </w:txbxContent>
                </v:textbox>
              </v:shape>
            </w:pict>
          </mc:Fallback>
        </mc:AlternateContent>
      </w:r>
      <w:r w:rsidRPr="00BB1701">
        <w:object w:dxaOrig="24271" w:dyaOrig="10531" w14:anchorId="13B1D1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202.85pt" o:ole="">
            <v:imagedata r:id="rId12" o:title=""/>
          </v:shape>
          <o:OLEObject Type="Embed" ProgID="Visio.Drawing.15" ShapeID="_x0000_i1025" DrawAspect="Content" ObjectID="_1737901164" r:id="rId13"/>
        </w:object>
      </w:r>
    </w:p>
    <w:p w14:paraId="73BEDCA5" w14:textId="77777777" w:rsidR="00A95DFC" w:rsidRDefault="00A95DFC" w:rsidP="00A34D47">
      <w:pPr>
        <w:pStyle w:val="EditorsNote"/>
        <w:rPr>
          <w:lang w:val="en-US"/>
        </w:rPr>
      </w:pPr>
      <w:r>
        <w:rPr>
          <w:lang w:val="en-US"/>
        </w:rPr>
        <w:t>Editor’s Note: the above diagram is expected to be further updated and refined based on the agreements of the XR baseline client.</w:t>
      </w:r>
    </w:p>
    <w:p w14:paraId="2C3C17BD" w14:textId="77777777" w:rsidR="00D060D7" w:rsidRPr="00BB1701" w:rsidRDefault="00D060D7" w:rsidP="00A34D47">
      <w:pPr>
        <w:pStyle w:val="EditorsNote"/>
      </w:pPr>
    </w:p>
    <w:p w14:paraId="7C23ACA9" w14:textId="77777777" w:rsidR="00A95DFC" w:rsidRPr="00BB1701" w:rsidRDefault="00A95DFC" w:rsidP="00A95DFC">
      <w:pPr>
        <w:spacing w:after="200"/>
        <w:jc w:val="center"/>
        <w:rPr>
          <w:b/>
          <w:iCs/>
          <w:color w:val="000000"/>
          <w:szCs w:val="18"/>
        </w:rPr>
      </w:pPr>
      <w:r w:rsidRPr="00BB1701">
        <w:rPr>
          <w:b/>
          <w:iCs/>
          <w:color w:val="000000"/>
          <w:szCs w:val="18"/>
        </w:rPr>
        <w:t xml:space="preserve">Figure </w:t>
      </w:r>
      <w:r w:rsidRPr="00BB1701">
        <w:rPr>
          <w:b/>
          <w:iCs/>
          <w:color w:val="000000"/>
          <w:szCs w:val="18"/>
        </w:rPr>
        <w:fldChar w:fldCharType="begin"/>
      </w:r>
      <w:r w:rsidRPr="00BB1701">
        <w:rPr>
          <w:b/>
          <w:iCs/>
          <w:color w:val="000000"/>
          <w:szCs w:val="18"/>
        </w:rPr>
        <w:instrText xml:space="preserve"> SEQ Figure \* ARABIC </w:instrText>
      </w:r>
      <w:r w:rsidRPr="00BB1701">
        <w:rPr>
          <w:b/>
          <w:iCs/>
          <w:color w:val="000000"/>
          <w:szCs w:val="18"/>
        </w:rPr>
        <w:fldChar w:fldCharType="separate"/>
      </w:r>
      <w:r>
        <w:rPr>
          <w:b/>
          <w:iCs/>
          <w:noProof/>
          <w:color w:val="000000"/>
          <w:szCs w:val="18"/>
        </w:rPr>
        <w:t>11</w:t>
      </w:r>
      <w:r w:rsidRPr="00BB1701">
        <w:rPr>
          <w:b/>
          <w:iCs/>
          <w:color w:val="000000"/>
          <w:szCs w:val="18"/>
        </w:rPr>
        <w:fldChar w:fldCharType="end"/>
      </w:r>
      <w:r>
        <w:rPr>
          <w:b/>
          <w:iCs/>
          <w:color w:val="000000"/>
          <w:szCs w:val="18"/>
        </w:rPr>
        <w:t xml:space="preserve"> </w:t>
      </w:r>
      <w:r w:rsidRPr="00015BA1">
        <w:rPr>
          <w:b/>
          <w:iCs/>
          <w:color w:val="000000"/>
          <w:szCs w:val="18"/>
        </w:rPr>
        <w:t>–</w:t>
      </w:r>
      <w:r w:rsidRPr="00BB1701">
        <w:rPr>
          <w:b/>
          <w:iCs/>
          <w:color w:val="000000"/>
          <w:szCs w:val="18"/>
        </w:rPr>
        <w:t xml:space="preserve"> </w:t>
      </w:r>
      <w:r>
        <w:rPr>
          <w:b/>
          <w:iCs/>
          <w:color w:val="000000"/>
          <w:szCs w:val="18"/>
        </w:rPr>
        <w:t>Thin AR</w:t>
      </w:r>
      <w:r w:rsidRPr="00BB1701">
        <w:rPr>
          <w:b/>
          <w:iCs/>
          <w:color w:val="000000"/>
          <w:szCs w:val="18"/>
        </w:rPr>
        <w:t xml:space="preserve"> UE device </w:t>
      </w:r>
      <w:r>
        <w:rPr>
          <w:b/>
          <w:iCs/>
          <w:color w:val="000000"/>
          <w:szCs w:val="18"/>
        </w:rPr>
        <w:t>architecture</w:t>
      </w:r>
    </w:p>
    <w:p w14:paraId="76A2E4B6" w14:textId="77777777" w:rsidR="00E107B8" w:rsidRDefault="00E107B8" w:rsidP="00E107B8">
      <w:pPr>
        <w:rPr>
          <w:lang w:eastAsia="en-GB"/>
        </w:rPr>
      </w:pPr>
    </w:p>
    <w:p w14:paraId="6FEAE664" w14:textId="0AAD6F39" w:rsidR="009A4600" w:rsidRPr="00501882" w:rsidRDefault="009A4600" w:rsidP="00E107B8">
      <w:pPr>
        <w:rPr>
          <w:b/>
          <w:bCs/>
          <w:lang w:eastAsia="en-GB"/>
        </w:rPr>
      </w:pPr>
      <w:r w:rsidRPr="00501882">
        <w:rPr>
          <w:b/>
          <w:bCs/>
          <w:sz w:val="24"/>
          <w:szCs w:val="22"/>
          <w:highlight w:val="yellow"/>
          <w:lang w:eastAsia="en-GB"/>
        </w:rPr>
        <w:t>To</w:t>
      </w:r>
    </w:p>
    <w:p w14:paraId="00B6D7BE" w14:textId="7DD584AF" w:rsidR="009A4600" w:rsidRPr="00E107B8" w:rsidRDefault="00796C24" w:rsidP="00E107B8">
      <w:pPr>
        <w:rPr>
          <w:lang w:eastAsia="en-GB"/>
        </w:rPr>
      </w:pPr>
      <w:r>
        <w:rPr>
          <w:noProof/>
        </w:rPr>
        <w:drawing>
          <wp:inline distT="0" distB="0" distL="0" distR="0" wp14:anchorId="03503A38" wp14:editId="7D8F4016">
            <wp:extent cx="5936615" cy="4032885"/>
            <wp:effectExtent l="0" t="0" r="6985" b="571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4">
                      <a:clrChange>
                        <a:clrFrom>
                          <a:srgbClr val="EDEBE9"/>
                        </a:clrFrom>
                        <a:clrTo>
                          <a:srgbClr val="EDEBE9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3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72E11" w14:textId="77777777" w:rsidR="009A4600" w:rsidRDefault="009A4600" w:rsidP="009A4600">
      <w:pPr>
        <w:spacing w:after="200"/>
        <w:jc w:val="center"/>
        <w:rPr>
          <w:b/>
          <w:iCs/>
          <w:color w:val="000000"/>
          <w:szCs w:val="18"/>
        </w:rPr>
      </w:pPr>
      <w:r w:rsidRPr="00BB1701">
        <w:rPr>
          <w:b/>
          <w:iCs/>
          <w:color w:val="000000"/>
          <w:szCs w:val="18"/>
        </w:rPr>
        <w:t xml:space="preserve">Figure </w:t>
      </w:r>
      <w:r w:rsidRPr="00BB1701">
        <w:rPr>
          <w:b/>
          <w:iCs/>
          <w:color w:val="000000"/>
          <w:szCs w:val="18"/>
        </w:rPr>
        <w:fldChar w:fldCharType="begin"/>
      </w:r>
      <w:r w:rsidRPr="00BB1701">
        <w:rPr>
          <w:b/>
          <w:iCs/>
          <w:color w:val="000000"/>
          <w:szCs w:val="18"/>
        </w:rPr>
        <w:instrText xml:space="preserve"> SEQ Figure \* ARABIC </w:instrText>
      </w:r>
      <w:r w:rsidRPr="00BB1701">
        <w:rPr>
          <w:b/>
          <w:iCs/>
          <w:color w:val="000000"/>
          <w:szCs w:val="18"/>
        </w:rPr>
        <w:fldChar w:fldCharType="separate"/>
      </w:r>
      <w:r>
        <w:rPr>
          <w:b/>
          <w:iCs/>
          <w:noProof/>
          <w:color w:val="000000"/>
          <w:szCs w:val="18"/>
        </w:rPr>
        <w:t>11</w:t>
      </w:r>
      <w:r w:rsidRPr="00BB1701">
        <w:rPr>
          <w:b/>
          <w:iCs/>
          <w:color w:val="000000"/>
          <w:szCs w:val="18"/>
        </w:rPr>
        <w:fldChar w:fldCharType="end"/>
      </w:r>
      <w:r>
        <w:rPr>
          <w:b/>
          <w:iCs/>
          <w:color w:val="000000"/>
          <w:szCs w:val="18"/>
        </w:rPr>
        <w:t xml:space="preserve"> </w:t>
      </w:r>
      <w:r w:rsidRPr="00015BA1">
        <w:rPr>
          <w:b/>
          <w:iCs/>
          <w:color w:val="000000"/>
          <w:szCs w:val="18"/>
        </w:rPr>
        <w:t>–</w:t>
      </w:r>
      <w:r w:rsidRPr="00BB1701">
        <w:rPr>
          <w:b/>
          <w:iCs/>
          <w:color w:val="000000"/>
          <w:szCs w:val="18"/>
        </w:rPr>
        <w:t xml:space="preserve"> </w:t>
      </w:r>
      <w:r>
        <w:rPr>
          <w:b/>
          <w:iCs/>
          <w:color w:val="000000"/>
          <w:szCs w:val="18"/>
        </w:rPr>
        <w:t>Thin AR</w:t>
      </w:r>
      <w:r w:rsidRPr="00BB1701">
        <w:rPr>
          <w:b/>
          <w:iCs/>
          <w:color w:val="000000"/>
          <w:szCs w:val="18"/>
        </w:rPr>
        <w:t xml:space="preserve"> UE device </w:t>
      </w:r>
      <w:r>
        <w:rPr>
          <w:b/>
          <w:iCs/>
          <w:color w:val="000000"/>
          <w:szCs w:val="18"/>
        </w:rPr>
        <w:t>architecture</w:t>
      </w:r>
    </w:p>
    <w:p w14:paraId="2F9C0F3C" w14:textId="77777777" w:rsidR="009A4600" w:rsidRDefault="009A4600" w:rsidP="009A4600">
      <w:pPr>
        <w:spacing w:after="200"/>
        <w:rPr>
          <w:b/>
          <w:iCs/>
          <w:color w:val="000000"/>
          <w:szCs w:val="18"/>
        </w:rPr>
      </w:pPr>
    </w:p>
    <w:p w14:paraId="4657B1D2" w14:textId="11BE6692" w:rsidR="00FA356A" w:rsidRPr="00FA356A" w:rsidRDefault="00FA356A" w:rsidP="00FA356A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Malgun Gothic"/>
          <w:sz w:val="32"/>
        </w:rPr>
      </w:pPr>
      <w:bookmarkStart w:id="3" w:name="_Toc119679100"/>
      <w:r w:rsidRPr="00FA356A">
        <w:rPr>
          <w:rFonts w:eastAsia="Malgun Gothic"/>
          <w:sz w:val="32"/>
        </w:rPr>
        <w:lastRenderedPageBreak/>
        <w:t>4.3</w:t>
      </w:r>
      <w:r w:rsidRPr="00FA356A">
        <w:rPr>
          <w:rFonts w:eastAsia="Malgun Gothic"/>
          <w:sz w:val="32"/>
        </w:rPr>
        <w:tab/>
        <w:t>Augmented Reality User Equipment (AR UE)</w:t>
      </w:r>
      <w:bookmarkEnd w:id="3"/>
    </w:p>
    <w:p w14:paraId="2D4DAFC3" w14:textId="0142B43F" w:rsidR="00FA356A" w:rsidRPr="00FA356A" w:rsidRDefault="00FA356A" w:rsidP="00FA356A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</w:rPr>
      </w:pPr>
      <w:bookmarkStart w:id="4" w:name="_Toc103876424"/>
      <w:bookmarkStart w:id="5" w:name="_Toc119679101"/>
      <w:r w:rsidRPr="00FA356A">
        <w:rPr>
          <w:rFonts w:eastAsia="Malgun Gothic"/>
          <w:sz w:val="28"/>
        </w:rPr>
        <w:t>4.3.1</w:t>
      </w:r>
      <w:r w:rsidRPr="00FA356A">
        <w:rPr>
          <w:rFonts w:eastAsia="Malgun Gothic"/>
          <w:sz w:val="28"/>
        </w:rPr>
        <w:tab/>
        <w:t>Device architecture</w:t>
      </w:r>
      <w:bookmarkEnd w:id="4"/>
      <w:bookmarkEnd w:id="5"/>
    </w:p>
    <w:p w14:paraId="60C99144" w14:textId="6D354D10" w:rsidR="009A4600" w:rsidRDefault="00626250" w:rsidP="009A4600">
      <w:pPr>
        <w:spacing w:after="200"/>
        <w:rPr>
          <w:b/>
          <w:iCs/>
          <w:color w:val="000000"/>
          <w:szCs w:val="18"/>
        </w:rPr>
      </w:pPr>
      <w:r>
        <w:rPr>
          <w:b/>
          <w:iCs/>
          <w:color w:val="000000"/>
          <w:szCs w:val="18"/>
        </w:rPr>
        <w:t>…</w:t>
      </w:r>
    </w:p>
    <w:p w14:paraId="43DDD53D" w14:textId="2EE2B796" w:rsidR="00626250" w:rsidRDefault="00626250" w:rsidP="00501882">
      <w:pPr>
        <w:rPr>
          <w:b/>
          <w:iCs/>
          <w:color w:val="000000"/>
          <w:szCs w:val="18"/>
        </w:rPr>
      </w:pPr>
      <w:r w:rsidRPr="00501882">
        <w:rPr>
          <w:b/>
          <w:bCs/>
          <w:sz w:val="24"/>
          <w:szCs w:val="22"/>
          <w:highlight w:val="yellow"/>
          <w:lang w:eastAsia="en-GB"/>
        </w:rPr>
        <w:t>From</w:t>
      </w:r>
    </w:p>
    <w:p w14:paraId="302C2512" w14:textId="77777777" w:rsidR="00626250" w:rsidRPr="00626250" w:rsidRDefault="00626250" w:rsidP="00626250">
      <w:pPr>
        <w:keepNext/>
        <w:widowControl/>
        <w:spacing w:after="180" w:line="240" w:lineRule="auto"/>
        <w:rPr>
          <w:rFonts w:ascii="Times New Roman" w:eastAsia="Times New Roman" w:hAnsi="Times New Roman"/>
          <w:sz w:val="20"/>
        </w:rPr>
      </w:pPr>
      <w:r w:rsidRPr="00626250">
        <w:rPr>
          <w:rFonts w:ascii="Times New Roman" w:eastAsia="Times New Roman" w:hAnsi="Times New Roman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88D6D" wp14:editId="57865421">
                <wp:simplePos x="0" y="0"/>
                <wp:positionH relativeFrom="column">
                  <wp:posOffset>4646930</wp:posOffset>
                </wp:positionH>
                <wp:positionV relativeFrom="paragraph">
                  <wp:posOffset>155680</wp:posOffset>
                </wp:positionV>
                <wp:extent cx="1097280" cy="169517"/>
                <wp:effectExtent l="0" t="0" r="7620" b="254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16951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04688F" w14:textId="77777777" w:rsidR="00626250" w:rsidRPr="00501882" w:rsidRDefault="00626250" w:rsidP="00501882">
                            <w:pPr>
                              <w:jc w:val="right"/>
                              <w:rPr>
                                <w:rFonts w:ascii="Calibri" w:hAnsi="Calibri" w:cs="Calibri"/>
                                <w:color w:val="808080"/>
                                <w:szCs w:val="22"/>
                              </w:rPr>
                            </w:pPr>
                            <w:r w:rsidRPr="00626250">
                              <w:rPr>
                                <w:rFonts w:ascii="Calibri" w:hAnsi="Calibri" w:cs="Calibri"/>
                                <w:color w:val="808080"/>
                                <w:szCs w:val="22"/>
                              </w:rPr>
                              <w:t>AR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88D6D" id="Text Box 30" o:spid="_x0000_s1027" type="#_x0000_t202" style="position:absolute;margin-left:365.9pt;margin-top:12.25pt;width:86.4pt;height:1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" fillcolor="#d9d9d9" stroked="f" strokeweight=".5pt">
                <v:textbox inset="0,0,0,0">
                  <w:txbxContent>
                    <w:p w14:paraId="5C04688F" w14:textId="77777777" w:rsidR="00626250" w:rsidRPr="00501882" w:rsidRDefault="00626250" w:rsidP="00501882">
                      <w:pPr>
                        <w:jc w:val="right"/>
                        <w:rPr>
                          <w:rFonts w:ascii="Calibri" w:hAnsi="Calibri" w:cs="Calibri"/>
                          <w:color w:val="808080"/>
                          <w:szCs w:val="22"/>
                        </w:rPr>
                      </w:pPr>
                      <w:r w:rsidRPr="00626250">
                        <w:rPr>
                          <w:rFonts w:ascii="Calibri" w:hAnsi="Calibri" w:cs="Calibri"/>
                          <w:color w:val="808080"/>
                          <w:szCs w:val="22"/>
                        </w:rPr>
                        <w:t>AR UE</w:t>
                      </w:r>
                    </w:p>
                  </w:txbxContent>
                </v:textbox>
              </v:shape>
            </w:pict>
          </mc:Fallback>
        </mc:AlternateContent>
      </w:r>
      <w:r w:rsidRPr="00626250">
        <w:rPr>
          <w:rFonts w:ascii="Times New Roman" w:eastAsia="Times New Roman" w:hAnsi="Times New Roman"/>
          <w:sz w:val="20"/>
          <w:lang w:val="en-US"/>
        </w:rPr>
        <w:object w:dxaOrig="24271" w:dyaOrig="10531" w14:anchorId="763B4CF6">
          <v:shape id="_x0000_i1026" type="#_x0000_t75" style="width:467.05pt;height:202.85pt" o:ole="">
            <v:imagedata r:id="rId15" o:title=""/>
          </v:shape>
          <o:OLEObject Type="Embed" ProgID="Visio.Drawing.15" ShapeID="_x0000_i1026" DrawAspect="Content" ObjectID="_1737901165" r:id="rId16"/>
        </w:object>
      </w:r>
    </w:p>
    <w:p w14:paraId="6E924C69" w14:textId="0DA4A497" w:rsidR="00626250" w:rsidRPr="00BB1701" w:rsidRDefault="00626250" w:rsidP="00501882">
      <w:pPr>
        <w:spacing w:after="200"/>
        <w:jc w:val="center"/>
        <w:rPr>
          <w:b/>
          <w:iCs/>
          <w:color w:val="000000"/>
          <w:szCs w:val="18"/>
        </w:rPr>
      </w:pPr>
      <w:bookmarkStart w:id="6" w:name="_Ref103839657"/>
      <w:r w:rsidRPr="00501882">
        <w:rPr>
          <w:b/>
          <w:iCs/>
          <w:color w:val="000000"/>
          <w:szCs w:val="18"/>
        </w:rPr>
        <w:t xml:space="preserve">Figure </w:t>
      </w:r>
      <w:r w:rsidRPr="00501882">
        <w:rPr>
          <w:b/>
          <w:iCs/>
          <w:color w:val="000000"/>
          <w:szCs w:val="18"/>
        </w:rPr>
        <w:fldChar w:fldCharType="begin"/>
      </w:r>
      <w:r w:rsidRPr="00501882">
        <w:rPr>
          <w:b/>
          <w:iCs/>
          <w:color w:val="000000"/>
          <w:szCs w:val="18"/>
        </w:rPr>
        <w:instrText xml:space="preserve"> SEQ Figure \* ARABIC </w:instrText>
      </w:r>
      <w:r w:rsidRPr="00501882">
        <w:rPr>
          <w:b/>
          <w:iCs/>
          <w:color w:val="000000"/>
          <w:szCs w:val="18"/>
        </w:rPr>
        <w:fldChar w:fldCharType="separate"/>
      </w:r>
      <w:r w:rsidRPr="00501882">
        <w:rPr>
          <w:b/>
          <w:iCs/>
          <w:color w:val="000000"/>
          <w:szCs w:val="18"/>
        </w:rPr>
        <w:t>12</w:t>
      </w:r>
      <w:r w:rsidRPr="00501882">
        <w:rPr>
          <w:b/>
          <w:iCs/>
          <w:color w:val="000000"/>
          <w:szCs w:val="18"/>
        </w:rPr>
        <w:fldChar w:fldCharType="end"/>
      </w:r>
      <w:bookmarkEnd w:id="6"/>
      <w:r w:rsidRPr="00501882">
        <w:rPr>
          <w:b/>
          <w:iCs/>
          <w:color w:val="000000"/>
          <w:szCs w:val="18"/>
        </w:rPr>
        <w:t xml:space="preserve"> – AR UE device architecture</w:t>
      </w:r>
    </w:p>
    <w:p w14:paraId="14A68E0A" w14:textId="4C49E738" w:rsidR="005D6F9A" w:rsidRDefault="00501882" w:rsidP="005D6F9A">
      <w:pPr>
        <w:rPr>
          <w:b/>
          <w:bCs/>
          <w:sz w:val="24"/>
          <w:szCs w:val="22"/>
          <w:lang w:eastAsia="en-GB"/>
        </w:rPr>
      </w:pPr>
      <w:r w:rsidRPr="00501882">
        <w:rPr>
          <w:b/>
          <w:bCs/>
          <w:sz w:val="24"/>
          <w:szCs w:val="22"/>
          <w:highlight w:val="yellow"/>
          <w:lang w:eastAsia="en-GB"/>
        </w:rPr>
        <w:t>To</w:t>
      </w:r>
    </w:p>
    <w:p w14:paraId="2421CC53" w14:textId="112B0FFD" w:rsidR="00501882" w:rsidRDefault="001C38B7" w:rsidP="005D6F9A">
      <w:pPr>
        <w:rPr>
          <w:lang w:eastAsia="en-GB"/>
        </w:rPr>
      </w:pPr>
      <w:r>
        <w:rPr>
          <w:noProof/>
        </w:rPr>
        <w:drawing>
          <wp:inline distT="0" distB="0" distL="0" distR="0" wp14:anchorId="3C111ABA" wp14:editId="1E90EEC7">
            <wp:extent cx="5936615" cy="4150360"/>
            <wp:effectExtent l="0" t="0" r="6985" b="254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7">
                      <a:clrChange>
                        <a:clrFrom>
                          <a:srgbClr val="EDEBE9"/>
                        </a:clrFrom>
                        <a:clrTo>
                          <a:srgbClr val="EDEBE9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15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A530C" w14:textId="77777777" w:rsidR="00B87B80" w:rsidRPr="00BB1701" w:rsidRDefault="00B87B80" w:rsidP="00B87B80">
      <w:pPr>
        <w:spacing w:after="200"/>
        <w:jc w:val="center"/>
        <w:rPr>
          <w:b/>
          <w:iCs/>
          <w:color w:val="000000"/>
          <w:szCs w:val="18"/>
        </w:rPr>
      </w:pPr>
      <w:r w:rsidRPr="00501882">
        <w:rPr>
          <w:b/>
          <w:iCs/>
          <w:color w:val="000000"/>
          <w:szCs w:val="18"/>
        </w:rPr>
        <w:t xml:space="preserve">Figure </w:t>
      </w:r>
      <w:r w:rsidRPr="00501882">
        <w:rPr>
          <w:b/>
          <w:iCs/>
          <w:color w:val="000000"/>
          <w:szCs w:val="18"/>
        </w:rPr>
        <w:fldChar w:fldCharType="begin"/>
      </w:r>
      <w:r w:rsidRPr="00501882">
        <w:rPr>
          <w:b/>
          <w:iCs/>
          <w:color w:val="000000"/>
          <w:szCs w:val="18"/>
        </w:rPr>
        <w:instrText xml:space="preserve"> SEQ Figure \* ARABIC </w:instrText>
      </w:r>
      <w:r w:rsidRPr="00501882">
        <w:rPr>
          <w:b/>
          <w:iCs/>
          <w:color w:val="000000"/>
          <w:szCs w:val="18"/>
        </w:rPr>
        <w:fldChar w:fldCharType="separate"/>
      </w:r>
      <w:r w:rsidRPr="00501882">
        <w:rPr>
          <w:b/>
          <w:iCs/>
          <w:color w:val="000000"/>
          <w:szCs w:val="18"/>
        </w:rPr>
        <w:t>12</w:t>
      </w:r>
      <w:r w:rsidRPr="00501882">
        <w:rPr>
          <w:b/>
          <w:iCs/>
          <w:color w:val="000000"/>
          <w:szCs w:val="18"/>
        </w:rPr>
        <w:fldChar w:fldCharType="end"/>
      </w:r>
      <w:r w:rsidRPr="00501882">
        <w:rPr>
          <w:b/>
          <w:iCs/>
          <w:color w:val="000000"/>
          <w:szCs w:val="18"/>
        </w:rPr>
        <w:t xml:space="preserve"> – AR UE device architecture</w:t>
      </w:r>
    </w:p>
    <w:p w14:paraId="781DC1A2" w14:textId="77777777" w:rsidR="00B87B80" w:rsidRDefault="00B87B80" w:rsidP="005D6F9A">
      <w:pPr>
        <w:rPr>
          <w:lang w:eastAsia="en-GB"/>
        </w:rPr>
      </w:pPr>
    </w:p>
    <w:p w14:paraId="5D2D2030" w14:textId="75E6928E" w:rsidR="006512B6" w:rsidRDefault="0040534E" w:rsidP="006512B6">
      <w:pPr>
        <w:pStyle w:val="Heading1"/>
        <w:tabs>
          <w:tab w:val="left" w:pos="2410"/>
        </w:tabs>
      </w:pPr>
      <w:r>
        <w:lastRenderedPageBreak/>
        <w:t>4</w:t>
      </w:r>
      <w:r w:rsidR="006512B6">
        <w:tab/>
        <w:t>Conclusion</w:t>
      </w:r>
    </w:p>
    <w:p w14:paraId="5D3437B7" w14:textId="2416CE78" w:rsidR="006512B6" w:rsidRPr="00F0029D" w:rsidRDefault="00F0029D" w:rsidP="005D6F9A">
      <w:pPr>
        <w:rPr>
          <w:sz w:val="20"/>
          <w:szCs w:val="18"/>
          <w:lang w:eastAsia="en-GB"/>
        </w:rPr>
      </w:pPr>
      <w:r w:rsidRPr="00F0029D">
        <w:rPr>
          <w:sz w:val="20"/>
          <w:szCs w:val="18"/>
          <w:lang w:eastAsia="en-GB"/>
        </w:rPr>
        <w:t>We recommend adopting those changes to align MeCAR AR devices to the agreed XR client generic architecture.</w:t>
      </w:r>
    </w:p>
    <w:p w14:paraId="66C174EF" w14:textId="77777777" w:rsidR="00F0029D" w:rsidRDefault="00F0029D" w:rsidP="005D6F9A">
      <w:pPr>
        <w:rPr>
          <w:lang w:eastAsia="en-GB"/>
        </w:rPr>
      </w:pPr>
    </w:p>
    <w:p w14:paraId="54A493A0" w14:textId="45311226" w:rsidR="005D6F9A" w:rsidRDefault="005D6F9A" w:rsidP="00683344">
      <w:pPr>
        <w:pStyle w:val="Heading1"/>
        <w:tabs>
          <w:tab w:val="left" w:pos="2410"/>
        </w:tabs>
      </w:pPr>
      <w:r>
        <w:t>References</w:t>
      </w:r>
    </w:p>
    <w:p w14:paraId="13B98F5A" w14:textId="7EC35B03" w:rsidR="005D6F9A" w:rsidRPr="001A26F4" w:rsidRDefault="005D6F9A" w:rsidP="005D6F9A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0"/>
          <w:lang w:eastAsia="en-GB"/>
        </w:rPr>
      </w:pPr>
      <w:bookmarkStart w:id="7" w:name="_Ref127285372"/>
      <w:r w:rsidRPr="001A26F4">
        <w:rPr>
          <w:rFonts w:ascii="Arial" w:hAnsi="Arial" w:cs="Arial"/>
          <w:sz w:val="20"/>
          <w:szCs w:val="20"/>
          <w:lang w:eastAsia="en-GB"/>
        </w:rPr>
        <w:t>3GPP TSG SA WG4#121-e meeting</w:t>
      </w:r>
      <w:r w:rsidRPr="001A26F4">
        <w:rPr>
          <w:rFonts w:ascii="Arial" w:hAnsi="Arial" w:cs="Arial"/>
          <w:sz w:val="20"/>
          <w:szCs w:val="20"/>
          <w:lang w:eastAsia="en-GB"/>
        </w:rPr>
        <w:tab/>
      </w:r>
      <w:proofErr w:type="spellStart"/>
      <w:r w:rsidRPr="001A26F4">
        <w:rPr>
          <w:rFonts w:ascii="Arial" w:hAnsi="Arial" w:cs="Arial"/>
          <w:sz w:val="20"/>
          <w:szCs w:val="20"/>
          <w:lang w:eastAsia="en-GB"/>
        </w:rPr>
        <w:t>Tdoc</w:t>
      </w:r>
      <w:proofErr w:type="spellEnd"/>
      <w:r w:rsidRPr="001A26F4">
        <w:rPr>
          <w:rFonts w:ascii="Arial" w:hAnsi="Arial" w:cs="Arial"/>
          <w:sz w:val="20"/>
          <w:szCs w:val="20"/>
          <w:lang w:eastAsia="en-GB"/>
        </w:rPr>
        <w:t xml:space="preserve"> S4-221577,</w:t>
      </w:r>
      <w:r w:rsidR="006512B6" w:rsidRPr="001A26F4">
        <w:rPr>
          <w:rFonts w:ascii="Arial" w:hAnsi="Arial" w:cs="Arial"/>
          <w:sz w:val="20"/>
          <w:szCs w:val="20"/>
          <w:lang w:eastAsia="en-GB"/>
        </w:rPr>
        <w:t xml:space="preserve"> “Candidate XR Baseline Client architecture”,</w:t>
      </w:r>
      <w:r w:rsidRPr="001A26F4">
        <w:rPr>
          <w:rFonts w:ascii="Arial" w:hAnsi="Arial" w:cs="Arial"/>
          <w:sz w:val="20"/>
          <w:szCs w:val="20"/>
          <w:lang w:eastAsia="en-GB"/>
        </w:rPr>
        <w:t xml:space="preserve"> 14th – 18th November 2022</w:t>
      </w:r>
      <w:bookmarkEnd w:id="7"/>
    </w:p>
    <w:sectPr w:rsidR="005D6F9A" w:rsidRPr="001A26F4" w:rsidSect="007F7E2F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5026" w14:textId="77777777" w:rsidR="00525413" w:rsidRDefault="00525413">
      <w:r>
        <w:separator/>
      </w:r>
    </w:p>
  </w:endnote>
  <w:endnote w:type="continuationSeparator" w:id="0">
    <w:p w14:paraId="1B090958" w14:textId="77777777" w:rsidR="00525413" w:rsidRDefault="00525413">
      <w:r>
        <w:continuationSeparator/>
      </w:r>
    </w:p>
  </w:endnote>
  <w:endnote w:type="continuationNotice" w:id="1">
    <w:p w14:paraId="684D8B13" w14:textId="77777777" w:rsidR="00525413" w:rsidRDefault="005254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9BBB" w14:textId="77777777" w:rsidR="00525413" w:rsidRDefault="00525413">
      <w:r>
        <w:separator/>
      </w:r>
    </w:p>
  </w:footnote>
  <w:footnote w:type="continuationSeparator" w:id="0">
    <w:p w14:paraId="532054C4" w14:textId="77777777" w:rsidR="00525413" w:rsidRDefault="00525413">
      <w:r>
        <w:continuationSeparator/>
      </w:r>
    </w:p>
  </w:footnote>
  <w:footnote w:type="continuationNotice" w:id="1">
    <w:p w14:paraId="0BFF03A5" w14:textId="77777777" w:rsidR="00525413" w:rsidRDefault="005254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25467B9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563ABD">
      <w:rPr>
        <w:rFonts w:cs="Arial"/>
        <w:lang w:val="en-US"/>
      </w:rPr>
      <w:t>2</w:t>
    </w:r>
    <w:r w:rsidR="00F72AE9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C65CFC" w:rsidRPr="00C65CFC">
      <w:rPr>
        <w:rFonts w:cs="Arial"/>
        <w:b/>
        <w:i/>
        <w:sz w:val="28"/>
        <w:szCs w:val="28"/>
      </w:rPr>
      <w:t>230212</w:t>
    </w:r>
  </w:p>
  <w:p w14:paraId="641F0A71" w14:textId="31E6B387" w:rsidR="00ED0981" w:rsidRPr="0084724A" w:rsidRDefault="00E61A9F" w:rsidP="00E61A9F">
    <w:pPr>
      <w:tabs>
        <w:tab w:val="right" w:pos="9360"/>
      </w:tabs>
      <w:rPr>
        <w:rFonts w:cs="Arial"/>
        <w:b/>
        <w:lang w:val="en-US" w:eastAsia="zh-CN"/>
      </w:rPr>
    </w:pPr>
    <w:r w:rsidRPr="00E61A9F">
      <w:rPr>
        <w:rFonts w:cs="Arial"/>
        <w:lang w:eastAsia="zh-CN"/>
      </w:rPr>
      <w:t>Athens, Greece, 20th – 24th February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380C"/>
    <w:multiLevelType w:val="hybridMultilevel"/>
    <w:tmpl w:val="E818905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E366E"/>
    <w:multiLevelType w:val="hybridMultilevel"/>
    <w:tmpl w:val="B2A4C972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33EF9"/>
    <w:multiLevelType w:val="hybridMultilevel"/>
    <w:tmpl w:val="2EB2C53A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87F76"/>
    <w:multiLevelType w:val="hybridMultilevel"/>
    <w:tmpl w:val="02167C74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2"/>
  </w:num>
  <w:num w:numId="3" w16cid:durableId="409429099">
    <w:abstractNumId w:val="5"/>
  </w:num>
  <w:num w:numId="4" w16cid:durableId="2011760548">
    <w:abstractNumId w:val="7"/>
  </w:num>
  <w:num w:numId="5" w16cid:durableId="1185099933">
    <w:abstractNumId w:val="9"/>
  </w:num>
  <w:num w:numId="6" w16cid:durableId="2125691376">
    <w:abstractNumId w:val="11"/>
  </w:num>
  <w:num w:numId="7" w16cid:durableId="1790123087">
    <w:abstractNumId w:val="6"/>
  </w:num>
  <w:num w:numId="8" w16cid:durableId="425274739">
    <w:abstractNumId w:val="8"/>
  </w:num>
  <w:num w:numId="9" w16cid:durableId="447626314">
    <w:abstractNumId w:val="3"/>
  </w:num>
  <w:num w:numId="10" w16cid:durableId="1172643659">
    <w:abstractNumId w:val="1"/>
  </w:num>
  <w:num w:numId="11" w16cid:durableId="744569066">
    <w:abstractNumId w:val="4"/>
  </w:num>
  <w:num w:numId="12" w16cid:durableId="604073784">
    <w:abstractNumId w:val="10"/>
  </w:num>
  <w:num w:numId="13" w16cid:durableId="180573517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6F58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6F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8B7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5E01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2FB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6D7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34E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5EBC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882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413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6F9A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250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6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3344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709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6C24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052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542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493B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4600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D47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5DFC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5AFD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17E7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27657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26C2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A5B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B80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CFC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A74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AAA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C98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0D7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7B8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515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29D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368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56A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AF4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07B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B1">
    <w:name w:val="B1"/>
    <w:basedOn w:val="List"/>
    <w:link w:val="B1Char1"/>
    <w:qFormat/>
    <w:rsid w:val="00E107B8"/>
    <w:pPr>
      <w:widowControl/>
      <w:spacing w:after="180" w:line="240" w:lineRule="auto"/>
      <w:ind w:left="568" w:hanging="284"/>
      <w:contextualSpacing w:val="0"/>
    </w:pPr>
    <w:rPr>
      <w:rFonts w:ascii="Times New Roman" w:eastAsia="Malgun Gothic" w:hAnsi="Times New Roman"/>
      <w:sz w:val="20"/>
    </w:rPr>
  </w:style>
  <w:style w:type="character" w:customStyle="1" w:styleId="B1Char1">
    <w:name w:val="B1 Char1"/>
    <w:link w:val="B1"/>
    <w:rsid w:val="00E107B8"/>
    <w:rPr>
      <w:rFonts w:eastAsia="Malgun Gothic"/>
      <w:lang w:val="en-GB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E107B8"/>
    <w:rPr>
      <w:rFonts w:eastAsia="Calibri"/>
      <w:sz w:val="24"/>
      <w:szCs w:val="24"/>
    </w:rPr>
  </w:style>
  <w:style w:type="paragraph" w:styleId="List">
    <w:name w:val="List"/>
    <w:basedOn w:val="Normal"/>
    <w:semiHidden/>
    <w:unhideWhenUsed/>
    <w:rsid w:val="00E107B8"/>
    <w:pPr>
      <w:ind w:left="283" w:hanging="283"/>
      <w:contextualSpacing/>
    </w:pPr>
  </w:style>
  <w:style w:type="paragraph" w:customStyle="1" w:styleId="EditorsNote">
    <w:name w:val="Editor's Note"/>
    <w:basedOn w:val="Normal"/>
    <w:rsid w:val="00A95DFC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color w:val="FF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3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577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59</cp:revision>
  <cp:lastPrinted>2016-05-03T09:51:00Z</cp:lastPrinted>
  <dcterms:created xsi:type="dcterms:W3CDTF">2022-05-03T14:59:00Z</dcterms:created>
  <dcterms:modified xsi:type="dcterms:W3CDTF">2023-02-14T16:29:00Z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