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40090D7" w:rsidR="00610027" w:rsidRPr="006E0144" w:rsidRDefault="00610027" w:rsidP="00610027">
      <w:pPr>
        <w:tabs>
          <w:tab w:val="left" w:pos="2268"/>
        </w:tabs>
        <w:spacing w:before="120"/>
        <w:rPr>
          <w:rFonts w:ascii="Arial" w:eastAsia="SimSun" w:hAnsi="Arial" w:cs="Arial"/>
          <w:szCs w:val="24"/>
          <w:lang w:val="en-US" w:eastAsia="ja-JP"/>
        </w:rPr>
      </w:pPr>
      <w:r w:rsidRPr="006E0144">
        <w:rPr>
          <w:rFonts w:ascii="Arial" w:hAnsi="Arial" w:cs="Arial"/>
          <w:b/>
          <w:szCs w:val="24"/>
          <w:lang w:val="en-US" w:eastAsia="ja-JP"/>
        </w:rPr>
        <w:t>Agenda item:</w:t>
      </w:r>
      <w:r w:rsidRPr="006E0144">
        <w:rPr>
          <w:rFonts w:ascii="Arial" w:hAnsi="Arial" w:cs="Arial"/>
          <w:szCs w:val="24"/>
          <w:lang w:val="en-US" w:eastAsia="ja-JP"/>
        </w:rPr>
        <w:t xml:space="preserve"> </w:t>
      </w:r>
      <w:r w:rsidRPr="006E0144">
        <w:rPr>
          <w:rFonts w:ascii="Arial" w:hAnsi="Arial" w:cs="Arial"/>
          <w:szCs w:val="24"/>
          <w:lang w:val="en-US" w:eastAsia="ja-JP"/>
        </w:rPr>
        <w:tab/>
      </w:r>
      <w:r w:rsidR="000964D4">
        <w:rPr>
          <w:rFonts w:ascii="Arial" w:hAnsi="Arial" w:cs="Arial"/>
          <w:szCs w:val="24"/>
          <w:lang w:val="en-US" w:eastAsia="ja-JP"/>
        </w:rPr>
        <w:t>8.6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11B29E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99150C">
        <w:rPr>
          <w:rFonts w:ascii="Arial" w:hAnsi="Arial" w:cs="Arial"/>
          <w:b/>
          <w:szCs w:val="24"/>
          <w:lang w:val="en-US" w:eastAsia="ja-JP"/>
        </w:rPr>
        <w:t>[SR_MSE] Split Rendering Configuration Information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3A09D3BF" w14:textId="3C138C6F" w:rsidR="0099150C" w:rsidRDefault="0099150C" w:rsidP="00C112DE">
      <w:pPr>
        <w:rPr>
          <w:lang w:val="en-US"/>
        </w:rPr>
      </w:pPr>
      <w:r>
        <w:rPr>
          <w:lang w:val="en-US"/>
        </w:rPr>
        <w:t>When setting up a split rendering session between the split rendering client and server, the SR client needs to share information about its XR session with the SR server. This information is used by the SR server to correctly render the scene to match the configuration of the XR session on the SR client.</w:t>
      </w:r>
    </w:p>
    <w:p w14:paraId="7BAE957B" w14:textId="0EDA43FB" w:rsidR="00F2666E" w:rsidRDefault="00261837" w:rsidP="00C112DE">
      <w:pPr>
        <w:rPr>
          <w:lang w:val="en-US"/>
        </w:rPr>
      </w:pPr>
      <w:r>
        <w:rPr>
          <w:lang w:val="en-US"/>
        </w:rPr>
        <w:t>In this contribution, we</w:t>
      </w:r>
      <w:r w:rsidR="0099150C">
        <w:rPr>
          <w:lang w:val="en-US"/>
        </w:rPr>
        <w:t xml:space="preserve"> propose </w:t>
      </w:r>
      <w:r w:rsidR="0040582C">
        <w:rPr>
          <w:lang w:val="en-US"/>
        </w:rPr>
        <w:t xml:space="preserve">a format for </w:t>
      </w:r>
      <w:r w:rsidR="0099150C">
        <w:rPr>
          <w:lang w:val="en-US"/>
        </w:rPr>
        <w:t>the SR configuratio</w:t>
      </w:r>
      <w:r w:rsidR="0040582C">
        <w:rPr>
          <w:lang w:val="en-US"/>
        </w:rPr>
        <w:t>n and how this is exchanged during SR session setup.</w:t>
      </w:r>
    </w:p>
    <w:bookmarkEnd w:id="0"/>
    <w:p w14:paraId="2245E2A1" w14:textId="346BD11C" w:rsidR="009162C5" w:rsidRDefault="0040582C" w:rsidP="00CD5384">
      <w:pPr>
        <w:pStyle w:val="Heading1"/>
        <w:numPr>
          <w:ilvl w:val="0"/>
          <w:numId w:val="3"/>
        </w:numPr>
      </w:pPr>
      <w:r>
        <w:t>Split Rendering Configuration</w:t>
      </w:r>
    </w:p>
    <w:p w14:paraId="2741EAED" w14:textId="5696921D" w:rsidR="0040582C" w:rsidRDefault="0040582C" w:rsidP="00107B79">
      <w:pPr>
        <w:pStyle w:val="Heading1"/>
        <w:numPr>
          <w:ilvl w:val="1"/>
          <w:numId w:val="3"/>
        </w:numPr>
      </w:pPr>
      <w:r>
        <w:t>General</w:t>
      </w:r>
    </w:p>
    <w:p w14:paraId="2F4E8A36" w14:textId="77777777" w:rsidR="00107B79" w:rsidRDefault="0040582C" w:rsidP="0040582C">
      <w:pPr>
        <w:rPr>
          <w:lang w:val="en-US"/>
        </w:rPr>
      </w:pPr>
      <w:r>
        <w:rPr>
          <w:lang w:val="en-US"/>
        </w:rPr>
        <w:t>The Split Rendering client establishes an XR session locally based on the device configuration and user selection. The SR client defines the view configuration (e.g. mono or stereo views), the projection format (</w:t>
      </w:r>
      <w:r w:rsidR="00107B79">
        <w:rPr>
          <w:lang w:val="en-US"/>
        </w:rPr>
        <w:t xml:space="preserve">such as projection, </w:t>
      </w:r>
      <w:r>
        <w:rPr>
          <w:lang w:val="en-US"/>
        </w:rPr>
        <w:t xml:space="preserve">equirectangular, quad, </w:t>
      </w:r>
      <w:r w:rsidR="00107B79">
        <w:rPr>
          <w:lang w:val="en-US"/>
        </w:rPr>
        <w:t xml:space="preserve">or </w:t>
      </w:r>
      <w:r>
        <w:rPr>
          <w:lang w:val="en-US"/>
        </w:rPr>
        <w:t>cubemap</w:t>
      </w:r>
      <w:r w:rsidR="00107B79">
        <w:rPr>
          <w:lang w:val="en-US"/>
        </w:rPr>
        <w:t xml:space="preserve">), the swap chain image configuration, etc. </w:t>
      </w:r>
    </w:p>
    <w:p w14:paraId="697056E6" w14:textId="66776EA6" w:rsidR="0040582C" w:rsidRDefault="00107B79" w:rsidP="0040582C">
      <w:pPr>
        <w:rPr>
          <w:lang w:val="en-US"/>
        </w:rPr>
      </w:pPr>
      <w:r>
        <w:rPr>
          <w:lang w:val="en-US"/>
        </w:rPr>
        <w:t xml:space="preserve">In addition, </w:t>
      </w:r>
      <w:r w:rsidR="00892363">
        <w:rPr>
          <w:lang w:val="en-US"/>
        </w:rPr>
        <w:t xml:space="preserve">XR space and </w:t>
      </w:r>
      <w:r>
        <w:rPr>
          <w:lang w:val="en-US"/>
        </w:rPr>
        <w:t>action configuration</w:t>
      </w:r>
      <w:r w:rsidR="00892363">
        <w:rPr>
          <w:lang w:val="en-US"/>
        </w:rPr>
        <w:t>s</w:t>
      </w:r>
      <w:r>
        <w:rPr>
          <w:lang w:val="en-US"/>
        </w:rPr>
        <w:t xml:space="preserve"> </w:t>
      </w:r>
      <w:r w:rsidR="00892363">
        <w:rPr>
          <w:lang w:val="en-US"/>
        </w:rPr>
        <w:t>are</w:t>
      </w:r>
      <w:r>
        <w:rPr>
          <w:lang w:val="en-US"/>
        </w:rPr>
        <w:t xml:space="preserve"> negotiated between the SR client and server. </w:t>
      </w:r>
      <w:r w:rsidR="00892363">
        <w:rPr>
          <w:lang w:val="en-US"/>
        </w:rPr>
        <w:t>This</w:t>
      </w:r>
      <w:r>
        <w:rPr>
          <w:lang w:val="en-US"/>
        </w:rPr>
        <w:t xml:space="preserve"> includes </w:t>
      </w:r>
      <w:r w:rsidR="00892363">
        <w:rPr>
          <w:lang w:val="en-US"/>
        </w:rPr>
        <w:t xml:space="preserve">defining common XR spaces and </w:t>
      </w:r>
      <w:r>
        <w:rPr>
          <w:lang w:val="en-US"/>
        </w:rPr>
        <w:t xml:space="preserve">defining and selecting actions and action sets. </w:t>
      </w:r>
    </w:p>
    <w:p w14:paraId="64A970D7" w14:textId="240F190C" w:rsidR="00107B79" w:rsidRDefault="00107B79" w:rsidP="0040582C">
      <w:pPr>
        <w:rPr>
          <w:lang w:val="en-US"/>
        </w:rPr>
      </w:pPr>
      <w:r>
        <w:rPr>
          <w:lang w:val="en-US"/>
        </w:rPr>
        <w:t>The format is extensible to support the exchange of additional/future configuration information.</w:t>
      </w:r>
    </w:p>
    <w:p w14:paraId="6F2A9FCB" w14:textId="32D9C71B" w:rsidR="00107B79" w:rsidRPr="0040582C" w:rsidRDefault="00107B79" w:rsidP="00107B79">
      <w:pPr>
        <w:pStyle w:val="Heading1"/>
        <w:numPr>
          <w:ilvl w:val="1"/>
          <w:numId w:val="3"/>
        </w:numPr>
      </w:pPr>
      <w:r>
        <w:t>Split Rendering Configuration Format</w:t>
      </w:r>
    </w:p>
    <w:p w14:paraId="703B97C1" w14:textId="7EC71171" w:rsidR="00E87A4B" w:rsidRDefault="00892363" w:rsidP="00EB48D6">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4"/>
        <w:gridCol w:w="950"/>
        <w:gridCol w:w="1403"/>
        <w:gridCol w:w="4610"/>
      </w:tblGrid>
      <w:tr w:rsidR="00000000" w14:paraId="32EFC0BA" w14:textId="77777777">
        <w:tc>
          <w:tcPr>
            <w:tcW w:w="3618" w:type="dxa"/>
            <w:shd w:val="clear" w:color="auto" w:fill="auto"/>
          </w:tcPr>
          <w:p w14:paraId="7B132969" w14:textId="544641CD" w:rsidR="00892363" w:rsidRDefault="00892363">
            <w:pPr>
              <w:jc w:val="center"/>
              <w:rPr>
                <w:b/>
                <w:bCs/>
                <w:lang w:val="en-US"/>
              </w:rPr>
            </w:pPr>
            <w:r>
              <w:rPr>
                <w:b/>
                <w:bCs/>
                <w:lang w:val="en-US"/>
              </w:rPr>
              <w:t>Name</w:t>
            </w:r>
          </w:p>
        </w:tc>
        <w:tc>
          <w:tcPr>
            <w:tcW w:w="276" w:type="dxa"/>
            <w:shd w:val="clear" w:color="auto" w:fill="auto"/>
          </w:tcPr>
          <w:p w14:paraId="29288E51" w14:textId="14AAA51D" w:rsidR="00892363" w:rsidRDefault="00892363">
            <w:pPr>
              <w:jc w:val="center"/>
              <w:rPr>
                <w:b/>
                <w:bCs/>
                <w:lang w:val="en-US"/>
              </w:rPr>
            </w:pPr>
            <w:r>
              <w:rPr>
                <w:b/>
                <w:bCs/>
                <w:lang w:val="en-US"/>
              </w:rPr>
              <w:t>Type</w:t>
            </w:r>
          </w:p>
        </w:tc>
        <w:tc>
          <w:tcPr>
            <w:tcW w:w="1403" w:type="dxa"/>
            <w:shd w:val="clear" w:color="auto" w:fill="auto"/>
          </w:tcPr>
          <w:p w14:paraId="13E885EE" w14:textId="433B3B5E" w:rsidR="00892363" w:rsidRDefault="00892363">
            <w:pPr>
              <w:jc w:val="center"/>
              <w:rPr>
                <w:b/>
                <w:bCs/>
                <w:lang w:val="en-US"/>
              </w:rPr>
            </w:pPr>
            <w:r>
              <w:rPr>
                <w:b/>
                <w:bCs/>
                <w:lang w:val="en-US"/>
              </w:rPr>
              <w:t>Cardinality</w:t>
            </w:r>
          </w:p>
        </w:tc>
        <w:tc>
          <w:tcPr>
            <w:tcW w:w="4610" w:type="dxa"/>
            <w:shd w:val="clear" w:color="auto" w:fill="auto"/>
          </w:tcPr>
          <w:p w14:paraId="5A66C065" w14:textId="35266510" w:rsidR="00892363" w:rsidRDefault="00892363">
            <w:pPr>
              <w:jc w:val="center"/>
              <w:rPr>
                <w:b/>
                <w:bCs/>
                <w:lang w:val="en-US"/>
              </w:rPr>
            </w:pPr>
            <w:r>
              <w:rPr>
                <w:b/>
                <w:bCs/>
                <w:lang w:val="en-US"/>
              </w:rPr>
              <w:t>Description</w:t>
            </w:r>
          </w:p>
        </w:tc>
      </w:tr>
      <w:tr w:rsidR="00000000" w14:paraId="169001AD" w14:textId="77777777">
        <w:tc>
          <w:tcPr>
            <w:tcW w:w="3618" w:type="dxa"/>
            <w:shd w:val="clear" w:color="auto" w:fill="auto"/>
          </w:tcPr>
          <w:p w14:paraId="32C177D6" w14:textId="7688D23D" w:rsidR="00892363" w:rsidRDefault="004E41BA" w:rsidP="00EB48D6">
            <w:pPr>
              <w:rPr>
                <w:lang w:val="en-US"/>
              </w:rPr>
            </w:pPr>
            <w:r>
              <w:rPr>
                <w:lang w:val="en-US"/>
              </w:rPr>
              <w:t>spaceConfiguration</w:t>
            </w:r>
          </w:p>
        </w:tc>
        <w:tc>
          <w:tcPr>
            <w:tcW w:w="276" w:type="dxa"/>
            <w:shd w:val="clear" w:color="auto" w:fill="auto"/>
          </w:tcPr>
          <w:p w14:paraId="431F2588" w14:textId="71BFC6E2" w:rsidR="00892363" w:rsidRDefault="004E41BA" w:rsidP="00EB48D6">
            <w:pPr>
              <w:rPr>
                <w:lang w:val="en-US"/>
              </w:rPr>
            </w:pPr>
            <w:r>
              <w:rPr>
                <w:lang w:val="en-US"/>
              </w:rPr>
              <w:t>Object</w:t>
            </w:r>
          </w:p>
        </w:tc>
        <w:tc>
          <w:tcPr>
            <w:tcW w:w="1403" w:type="dxa"/>
            <w:shd w:val="clear" w:color="auto" w:fill="auto"/>
          </w:tcPr>
          <w:p w14:paraId="1CEFB59D" w14:textId="29D3081D" w:rsidR="00892363" w:rsidRDefault="004E41BA" w:rsidP="00EB48D6">
            <w:pPr>
              <w:rPr>
                <w:lang w:val="en-US"/>
              </w:rPr>
            </w:pPr>
            <w:r>
              <w:rPr>
                <w:lang w:val="en-US"/>
              </w:rPr>
              <w:t>0..1</w:t>
            </w:r>
          </w:p>
        </w:tc>
        <w:tc>
          <w:tcPr>
            <w:tcW w:w="4610" w:type="dxa"/>
            <w:shd w:val="clear" w:color="auto" w:fill="auto"/>
          </w:tcPr>
          <w:p w14:paraId="33170E65" w14:textId="23EF899F" w:rsidR="00892363" w:rsidRDefault="00033F90" w:rsidP="00EB48D6">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000000" w14:paraId="1CC67525" w14:textId="77777777">
        <w:tc>
          <w:tcPr>
            <w:tcW w:w="3618" w:type="dxa"/>
            <w:shd w:val="clear" w:color="auto" w:fill="auto"/>
          </w:tcPr>
          <w:p w14:paraId="26C6B074" w14:textId="29052C9D" w:rsidR="004E41BA" w:rsidRDefault="004E41BA" w:rsidP="00EB48D6">
            <w:pPr>
              <w:rPr>
                <w:lang w:val="en-US"/>
              </w:rPr>
            </w:pPr>
            <w:r>
              <w:rPr>
                <w:lang w:val="en-US"/>
              </w:rPr>
              <w:t xml:space="preserve">   </w:t>
            </w:r>
            <w:r w:rsidR="00033F90">
              <w:rPr>
                <w:lang w:val="en-US"/>
              </w:rPr>
              <w:t>referenceSpaces</w:t>
            </w:r>
          </w:p>
        </w:tc>
        <w:tc>
          <w:tcPr>
            <w:tcW w:w="276" w:type="dxa"/>
            <w:shd w:val="clear" w:color="auto" w:fill="auto"/>
          </w:tcPr>
          <w:p w14:paraId="2F6C223E" w14:textId="05B41D17" w:rsidR="004E41BA" w:rsidRDefault="00033F90" w:rsidP="00EB48D6">
            <w:pPr>
              <w:rPr>
                <w:lang w:val="en-US"/>
              </w:rPr>
            </w:pPr>
            <w:r>
              <w:rPr>
                <w:lang w:val="en-US"/>
              </w:rPr>
              <w:t>Array</w:t>
            </w:r>
          </w:p>
        </w:tc>
        <w:tc>
          <w:tcPr>
            <w:tcW w:w="1403" w:type="dxa"/>
            <w:shd w:val="clear" w:color="auto" w:fill="auto"/>
          </w:tcPr>
          <w:p w14:paraId="626A5EAB" w14:textId="7D835CB5" w:rsidR="004E41BA" w:rsidRDefault="00033F90" w:rsidP="00EB48D6">
            <w:pPr>
              <w:rPr>
                <w:lang w:val="en-US"/>
              </w:rPr>
            </w:pPr>
            <w:r>
              <w:rPr>
                <w:lang w:val="en-US"/>
              </w:rPr>
              <w:t>0..1</w:t>
            </w:r>
          </w:p>
        </w:tc>
        <w:tc>
          <w:tcPr>
            <w:tcW w:w="4610" w:type="dxa"/>
            <w:shd w:val="clear" w:color="auto" w:fill="auto"/>
          </w:tcPr>
          <w:p w14:paraId="25BE9E2A" w14:textId="564ED83D" w:rsidR="004E41BA" w:rsidRDefault="00033F90" w:rsidP="00EB48D6">
            <w:pPr>
              <w:rPr>
                <w:lang w:val="en-US"/>
              </w:rPr>
            </w:pPr>
            <w:r>
              <w:rPr>
                <w:lang w:val="en-US"/>
              </w:rPr>
              <w:t>An array of reference spaces and their identifiers.</w:t>
            </w:r>
          </w:p>
        </w:tc>
      </w:tr>
      <w:tr w:rsidR="00000000" w14:paraId="529221A4" w14:textId="77777777">
        <w:tc>
          <w:tcPr>
            <w:tcW w:w="3618" w:type="dxa"/>
            <w:shd w:val="clear" w:color="auto" w:fill="auto"/>
          </w:tcPr>
          <w:p w14:paraId="46478189" w14:textId="6601BB20" w:rsidR="00033F90" w:rsidRDefault="00033F90" w:rsidP="00EB48D6">
            <w:pPr>
              <w:rPr>
                <w:lang w:val="en-US"/>
              </w:rPr>
            </w:pPr>
            <w:r>
              <w:rPr>
                <w:lang w:val="en-US"/>
              </w:rPr>
              <w:t xml:space="preserve">        id</w:t>
            </w:r>
          </w:p>
        </w:tc>
        <w:tc>
          <w:tcPr>
            <w:tcW w:w="276" w:type="dxa"/>
            <w:shd w:val="clear" w:color="auto" w:fill="auto"/>
          </w:tcPr>
          <w:p w14:paraId="40414953" w14:textId="4174FEF9" w:rsidR="00033F90" w:rsidRDefault="00033F90" w:rsidP="00EB48D6">
            <w:pPr>
              <w:rPr>
                <w:lang w:val="en-US"/>
              </w:rPr>
            </w:pPr>
            <w:r>
              <w:rPr>
                <w:lang w:val="en-US"/>
              </w:rPr>
              <w:t>number</w:t>
            </w:r>
          </w:p>
        </w:tc>
        <w:tc>
          <w:tcPr>
            <w:tcW w:w="1403" w:type="dxa"/>
            <w:shd w:val="clear" w:color="auto" w:fill="auto"/>
          </w:tcPr>
          <w:p w14:paraId="23A6C5DA" w14:textId="4CD1A494" w:rsidR="00033F90" w:rsidRDefault="00033F90" w:rsidP="00EB48D6">
            <w:pPr>
              <w:rPr>
                <w:lang w:val="en-US"/>
              </w:rPr>
            </w:pPr>
            <w:r>
              <w:rPr>
                <w:lang w:val="en-US"/>
              </w:rPr>
              <w:t>1..1</w:t>
            </w:r>
          </w:p>
        </w:tc>
        <w:tc>
          <w:tcPr>
            <w:tcW w:w="4610" w:type="dxa"/>
            <w:shd w:val="clear" w:color="auto" w:fill="auto"/>
          </w:tcPr>
          <w:p w14:paraId="500107B9" w14:textId="261972C4" w:rsidR="00033F90" w:rsidRDefault="00033F90" w:rsidP="00EB48D6">
            <w:pPr>
              <w:rPr>
                <w:lang w:val="en-US"/>
              </w:rPr>
            </w:pPr>
            <w:r>
              <w:rPr>
                <w:lang w:val="en-US"/>
              </w:rPr>
              <w:t>A unique identifier of the XR space in the context of the split rendering session.</w:t>
            </w:r>
          </w:p>
        </w:tc>
      </w:tr>
      <w:tr w:rsidR="00000000" w14:paraId="35190B37" w14:textId="77777777">
        <w:tc>
          <w:tcPr>
            <w:tcW w:w="3618" w:type="dxa"/>
            <w:shd w:val="clear" w:color="auto" w:fill="auto"/>
          </w:tcPr>
          <w:p w14:paraId="115C6190" w14:textId="70CD005C" w:rsidR="00033F90" w:rsidRDefault="00033F90" w:rsidP="00EB48D6">
            <w:pPr>
              <w:rPr>
                <w:lang w:val="en-US"/>
              </w:rPr>
            </w:pPr>
            <w:r>
              <w:rPr>
                <w:lang w:val="en-US"/>
              </w:rPr>
              <w:t xml:space="preserve">        refSpace</w:t>
            </w:r>
          </w:p>
        </w:tc>
        <w:tc>
          <w:tcPr>
            <w:tcW w:w="276" w:type="dxa"/>
            <w:shd w:val="clear" w:color="auto" w:fill="auto"/>
          </w:tcPr>
          <w:p w14:paraId="20177BCD" w14:textId="478FFC50" w:rsidR="00033F90" w:rsidRDefault="00033F90" w:rsidP="00EB48D6">
            <w:pPr>
              <w:rPr>
                <w:lang w:val="en-US"/>
              </w:rPr>
            </w:pPr>
            <w:r>
              <w:rPr>
                <w:lang w:val="en-US"/>
              </w:rPr>
              <w:t>enum</w:t>
            </w:r>
          </w:p>
        </w:tc>
        <w:tc>
          <w:tcPr>
            <w:tcW w:w="1403" w:type="dxa"/>
            <w:shd w:val="clear" w:color="auto" w:fill="auto"/>
          </w:tcPr>
          <w:p w14:paraId="3FF51A93" w14:textId="4C6143DC" w:rsidR="00033F90" w:rsidRDefault="00033F90" w:rsidP="00EB48D6">
            <w:pPr>
              <w:rPr>
                <w:lang w:val="en-US"/>
              </w:rPr>
            </w:pPr>
            <w:r>
              <w:rPr>
                <w:lang w:val="en-US"/>
              </w:rPr>
              <w:t>1..1</w:t>
            </w:r>
          </w:p>
        </w:tc>
        <w:tc>
          <w:tcPr>
            <w:tcW w:w="4610" w:type="dxa"/>
            <w:shd w:val="clear" w:color="auto" w:fill="auto"/>
          </w:tcPr>
          <w:p w14:paraId="39094E99" w14:textId="29499FB9" w:rsidR="00033F90" w:rsidRDefault="00033F90" w:rsidP="00EB48D6">
            <w:pPr>
              <w:rPr>
                <w:lang w:val="en-US"/>
              </w:rPr>
            </w:pPr>
            <w:r>
              <w:rPr>
                <w:lang w:val="en-US"/>
              </w:rPr>
              <w:t>One of the defined reference spaces in OpenXR. These may be</w:t>
            </w:r>
            <w:r w:rsidR="00C93BAD">
              <w:rPr>
                <w:lang w:val="en-US"/>
              </w:rPr>
              <w:t xml:space="preserve">: </w:t>
            </w:r>
            <w:r w:rsidR="00C93BAD">
              <w:rPr>
                <w:lang w:val="en-US"/>
              </w:rPr>
              <w:t>XR_REFERENCE_SPACE_TYPE_VIEW</w:t>
            </w:r>
            <w:r w:rsidR="00C93BAD">
              <w:rPr>
                <w:lang w:val="en-US"/>
              </w:rPr>
              <w:t xml:space="preserve">, </w:t>
            </w:r>
            <w:r w:rsidR="00C93BAD">
              <w:rPr>
                <w:lang w:val="en-US"/>
              </w:rPr>
              <w:t>XR_REFERENCE_SPACE_TYPE_LOCAL,</w:t>
            </w:r>
            <w:r w:rsidR="00C93BAD">
              <w:rPr>
                <w:lang w:val="en-US"/>
              </w:rPr>
              <w:t xml:space="preserve"> or</w:t>
            </w:r>
            <w:r w:rsidR="00C93BAD">
              <w:rPr>
                <w:lang w:val="en-US"/>
              </w:rPr>
              <w:t xml:space="preserve"> XR_REFERENCE_SPACE_TYPE_STAGE</w:t>
            </w:r>
            <w:r w:rsidR="00C93BAD">
              <w:rPr>
                <w:lang w:val="en-US"/>
              </w:rPr>
              <w:t>.</w:t>
            </w:r>
          </w:p>
        </w:tc>
      </w:tr>
      <w:tr w:rsidR="00000000" w14:paraId="2E8D68AA" w14:textId="77777777">
        <w:tc>
          <w:tcPr>
            <w:tcW w:w="3618" w:type="dxa"/>
            <w:shd w:val="clear" w:color="auto" w:fill="auto"/>
          </w:tcPr>
          <w:p w14:paraId="660635A0" w14:textId="5ABB58E5" w:rsidR="00C93BAD" w:rsidRDefault="00C93BAD" w:rsidP="00EB48D6">
            <w:pPr>
              <w:rPr>
                <w:lang w:val="en-US"/>
              </w:rPr>
            </w:pPr>
            <w:r>
              <w:rPr>
                <w:lang w:val="en-US"/>
              </w:rPr>
              <w:t xml:space="preserve">   actionSpaces</w:t>
            </w:r>
          </w:p>
        </w:tc>
        <w:tc>
          <w:tcPr>
            <w:tcW w:w="276" w:type="dxa"/>
            <w:shd w:val="clear" w:color="auto" w:fill="auto"/>
          </w:tcPr>
          <w:p w14:paraId="17443124" w14:textId="791DDF86" w:rsidR="00C93BAD" w:rsidRDefault="00C93BAD" w:rsidP="00EB48D6">
            <w:pPr>
              <w:rPr>
                <w:lang w:val="en-US"/>
              </w:rPr>
            </w:pPr>
            <w:r>
              <w:rPr>
                <w:lang w:val="en-US"/>
              </w:rPr>
              <w:t>Array</w:t>
            </w:r>
          </w:p>
        </w:tc>
        <w:tc>
          <w:tcPr>
            <w:tcW w:w="1403" w:type="dxa"/>
            <w:shd w:val="clear" w:color="auto" w:fill="auto"/>
          </w:tcPr>
          <w:p w14:paraId="2E1DE8C7" w14:textId="3A3BC01B" w:rsidR="00C93BAD" w:rsidRDefault="00C93BAD" w:rsidP="00EB48D6">
            <w:pPr>
              <w:rPr>
                <w:lang w:val="en-US"/>
              </w:rPr>
            </w:pPr>
            <w:r>
              <w:rPr>
                <w:lang w:val="en-US"/>
              </w:rPr>
              <w:t>0..1</w:t>
            </w:r>
          </w:p>
        </w:tc>
        <w:tc>
          <w:tcPr>
            <w:tcW w:w="4610" w:type="dxa"/>
            <w:shd w:val="clear" w:color="auto" w:fill="auto"/>
          </w:tcPr>
          <w:p w14:paraId="4C77E4B2" w14:textId="605755A1" w:rsidR="00C93BAD" w:rsidRDefault="00C93BAD" w:rsidP="00EB48D6">
            <w:pPr>
              <w:rPr>
                <w:lang w:val="en-US"/>
              </w:rPr>
            </w:pPr>
            <w:r>
              <w:rPr>
                <w:lang w:val="en-US"/>
              </w:rPr>
              <w:t xml:space="preserve">An array of action spaces that need to be defined by the split rendering client in the XR session. </w:t>
            </w:r>
          </w:p>
        </w:tc>
      </w:tr>
      <w:tr w:rsidR="00000000" w14:paraId="4C3A1F86" w14:textId="77777777">
        <w:tc>
          <w:tcPr>
            <w:tcW w:w="3618" w:type="dxa"/>
            <w:shd w:val="clear" w:color="auto" w:fill="auto"/>
          </w:tcPr>
          <w:p w14:paraId="703FFE01" w14:textId="13E79183" w:rsidR="00C93BAD" w:rsidRDefault="00C93BAD" w:rsidP="00EB48D6">
            <w:pPr>
              <w:rPr>
                <w:lang w:val="en-US"/>
              </w:rPr>
            </w:pPr>
            <w:r>
              <w:rPr>
                <w:lang w:val="en-US"/>
              </w:rPr>
              <w:t xml:space="preserve">        id</w:t>
            </w:r>
          </w:p>
        </w:tc>
        <w:tc>
          <w:tcPr>
            <w:tcW w:w="276" w:type="dxa"/>
            <w:shd w:val="clear" w:color="auto" w:fill="auto"/>
          </w:tcPr>
          <w:p w14:paraId="62006A17" w14:textId="6D5B8F2C" w:rsidR="00C93BAD" w:rsidRDefault="00C93BAD" w:rsidP="00EB48D6">
            <w:pPr>
              <w:rPr>
                <w:lang w:val="en-US"/>
              </w:rPr>
            </w:pPr>
            <w:r>
              <w:rPr>
                <w:lang w:val="en-US"/>
              </w:rPr>
              <w:t>number</w:t>
            </w:r>
          </w:p>
        </w:tc>
        <w:tc>
          <w:tcPr>
            <w:tcW w:w="1403" w:type="dxa"/>
            <w:shd w:val="clear" w:color="auto" w:fill="auto"/>
          </w:tcPr>
          <w:p w14:paraId="44F2ECC4" w14:textId="15E8AEC8" w:rsidR="00C93BAD" w:rsidRDefault="00C93BAD" w:rsidP="00EB48D6">
            <w:pPr>
              <w:rPr>
                <w:lang w:val="en-US"/>
              </w:rPr>
            </w:pPr>
            <w:r>
              <w:rPr>
                <w:lang w:val="en-US"/>
              </w:rPr>
              <w:t>1..1</w:t>
            </w:r>
          </w:p>
        </w:tc>
        <w:tc>
          <w:tcPr>
            <w:tcW w:w="4610" w:type="dxa"/>
            <w:shd w:val="clear" w:color="auto" w:fill="auto"/>
          </w:tcPr>
          <w:p w14:paraId="3671F112" w14:textId="45466E57" w:rsidR="00C93BAD" w:rsidRDefault="00C93BAD" w:rsidP="00EB48D6">
            <w:pPr>
              <w:rPr>
                <w:lang w:val="en-US"/>
              </w:rPr>
            </w:pPr>
            <w:r>
              <w:rPr>
                <w:lang w:val="en-US"/>
              </w:rPr>
              <w:t>A unique identifier of the XR space in the context of the split rendering session.</w:t>
            </w:r>
          </w:p>
        </w:tc>
      </w:tr>
      <w:tr w:rsidR="00000000" w14:paraId="29722C69" w14:textId="77777777">
        <w:tc>
          <w:tcPr>
            <w:tcW w:w="3618" w:type="dxa"/>
            <w:shd w:val="clear" w:color="auto" w:fill="auto"/>
          </w:tcPr>
          <w:p w14:paraId="2C8A850C" w14:textId="0524CC5D" w:rsidR="00C93BAD" w:rsidRDefault="00C93BAD" w:rsidP="00EB48D6">
            <w:pPr>
              <w:rPr>
                <w:lang w:val="en-US"/>
              </w:rPr>
            </w:pPr>
            <w:r>
              <w:rPr>
                <w:lang w:val="en-US"/>
              </w:rPr>
              <w:t xml:space="preserve">        actionId</w:t>
            </w:r>
          </w:p>
        </w:tc>
        <w:tc>
          <w:tcPr>
            <w:tcW w:w="276" w:type="dxa"/>
            <w:shd w:val="clear" w:color="auto" w:fill="auto"/>
          </w:tcPr>
          <w:p w14:paraId="591EE73D" w14:textId="0053DC90" w:rsidR="00C93BAD" w:rsidRDefault="00C93BAD" w:rsidP="00EB48D6">
            <w:pPr>
              <w:rPr>
                <w:lang w:val="en-US"/>
              </w:rPr>
            </w:pPr>
            <w:r>
              <w:rPr>
                <w:lang w:val="en-US"/>
              </w:rPr>
              <w:t>number</w:t>
            </w:r>
          </w:p>
        </w:tc>
        <w:tc>
          <w:tcPr>
            <w:tcW w:w="1403" w:type="dxa"/>
            <w:shd w:val="clear" w:color="auto" w:fill="auto"/>
          </w:tcPr>
          <w:p w14:paraId="1199ECC0" w14:textId="46561D67" w:rsidR="00C93BAD" w:rsidRDefault="00C93BAD" w:rsidP="00EB48D6">
            <w:pPr>
              <w:rPr>
                <w:lang w:val="en-US"/>
              </w:rPr>
            </w:pPr>
            <w:r>
              <w:rPr>
                <w:lang w:val="en-US"/>
              </w:rPr>
              <w:t>1..1</w:t>
            </w:r>
          </w:p>
        </w:tc>
        <w:tc>
          <w:tcPr>
            <w:tcW w:w="4610" w:type="dxa"/>
            <w:shd w:val="clear" w:color="auto" w:fill="auto"/>
          </w:tcPr>
          <w:p w14:paraId="591C3034" w14:textId="538AA85A" w:rsidR="00C93BAD" w:rsidRDefault="00C93BAD" w:rsidP="00EB48D6">
            <w:pPr>
              <w:rPr>
                <w:lang w:val="en-US"/>
              </w:rPr>
            </w:pPr>
            <w:r>
              <w:rPr>
                <w:lang w:val="en-US"/>
              </w:rPr>
              <w:t>Provides the unique identifier of the action.</w:t>
            </w:r>
          </w:p>
        </w:tc>
      </w:tr>
      <w:tr w:rsidR="00000000" w14:paraId="53FC323A" w14:textId="77777777">
        <w:tc>
          <w:tcPr>
            <w:tcW w:w="3618" w:type="dxa"/>
            <w:shd w:val="clear" w:color="auto" w:fill="auto"/>
          </w:tcPr>
          <w:p w14:paraId="24A85FF5" w14:textId="2223407C" w:rsidR="00C93BAD" w:rsidRDefault="00C93BAD" w:rsidP="00EB48D6">
            <w:pPr>
              <w:rPr>
                <w:lang w:val="en-US"/>
              </w:rPr>
            </w:pPr>
            <w:r>
              <w:rPr>
                <w:lang w:val="en-US"/>
              </w:rPr>
              <w:t xml:space="preserve">        subactionPath</w:t>
            </w:r>
          </w:p>
        </w:tc>
        <w:tc>
          <w:tcPr>
            <w:tcW w:w="276" w:type="dxa"/>
            <w:shd w:val="clear" w:color="auto" w:fill="auto"/>
          </w:tcPr>
          <w:p w14:paraId="6A760947" w14:textId="712CB979" w:rsidR="00C93BAD" w:rsidRDefault="00C93BAD" w:rsidP="00EB48D6">
            <w:pPr>
              <w:rPr>
                <w:lang w:val="en-US"/>
              </w:rPr>
            </w:pPr>
            <w:r>
              <w:rPr>
                <w:lang w:val="en-US"/>
              </w:rPr>
              <w:t>string</w:t>
            </w:r>
          </w:p>
        </w:tc>
        <w:tc>
          <w:tcPr>
            <w:tcW w:w="1403" w:type="dxa"/>
            <w:shd w:val="clear" w:color="auto" w:fill="auto"/>
          </w:tcPr>
          <w:p w14:paraId="4D4EC960" w14:textId="294F8B5A" w:rsidR="00C93BAD" w:rsidRDefault="00C93BAD" w:rsidP="00EB48D6">
            <w:pPr>
              <w:rPr>
                <w:lang w:val="en-US"/>
              </w:rPr>
            </w:pPr>
            <w:r>
              <w:rPr>
                <w:lang w:val="en-US"/>
              </w:rPr>
              <w:t>1..1</w:t>
            </w:r>
          </w:p>
        </w:tc>
        <w:tc>
          <w:tcPr>
            <w:tcW w:w="4610" w:type="dxa"/>
            <w:shd w:val="clear" w:color="auto" w:fill="auto"/>
          </w:tcPr>
          <w:p w14:paraId="629046E2" w14:textId="3270C16D" w:rsidR="00C93BAD" w:rsidRDefault="00C93BAD" w:rsidP="00EB48D6">
            <w:pPr>
              <w:rPr>
                <w:lang w:val="en-US"/>
              </w:rPr>
            </w:pPr>
            <w:r>
              <w:rPr>
                <w:lang w:val="en-US"/>
              </w:rPr>
              <w:t>The subaction path identifies the action, which can then be mapped by the XR runtime to user input modalities.</w:t>
            </w:r>
          </w:p>
        </w:tc>
      </w:tr>
      <w:tr w:rsidR="00000000" w14:paraId="2266FF79" w14:textId="77777777">
        <w:tc>
          <w:tcPr>
            <w:tcW w:w="3618" w:type="dxa"/>
            <w:shd w:val="clear" w:color="auto" w:fill="auto"/>
          </w:tcPr>
          <w:p w14:paraId="157136D2" w14:textId="20B70705" w:rsidR="00C93BAD" w:rsidRDefault="00C93BAD" w:rsidP="00EB48D6">
            <w:pPr>
              <w:rPr>
                <w:lang w:val="en-US"/>
              </w:rPr>
            </w:pPr>
            <w:r>
              <w:rPr>
                <w:lang w:val="en-US"/>
              </w:rPr>
              <w:t xml:space="preserve">        initialPose</w:t>
            </w:r>
          </w:p>
        </w:tc>
        <w:tc>
          <w:tcPr>
            <w:tcW w:w="276" w:type="dxa"/>
            <w:shd w:val="clear" w:color="auto" w:fill="auto"/>
          </w:tcPr>
          <w:p w14:paraId="3350CAE4" w14:textId="49D4717B" w:rsidR="00C93BAD" w:rsidRDefault="00C93BAD" w:rsidP="00EB48D6">
            <w:pPr>
              <w:rPr>
                <w:lang w:val="en-US"/>
              </w:rPr>
            </w:pPr>
            <w:r>
              <w:rPr>
                <w:lang w:val="en-US"/>
              </w:rPr>
              <w:t>Pose</w:t>
            </w:r>
          </w:p>
        </w:tc>
        <w:tc>
          <w:tcPr>
            <w:tcW w:w="1403" w:type="dxa"/>
            <w:shd w:val="clear" w:color="auto" w:fill="auto"/>
          </w:tcPr>
          <w:p w14:paraId="3D8453F0" w14:textId="5663F523" w:rsidR="00C93BAD" w:rsidRDefault="00C93BAD" w:rsidP="00EB48D6">
            <w:pPr>
              <w:rPr>
                <w:lang w:val="en-US"/>
              </w:rPr>
            </w:pPr>
            <w:r>
              <w:rPr>
                <w:lang w:val="en-US"/>
              </w:rPr>
              <w:t>0..1</w:t>
            </w:r>
          </w:p>
        </w:tc>
        <w:tc>
          <w:tcPr>
            <w:tcW w:w="4610" w:type="dxa"/>
            <w:shd w:val="clear" w:color="auto" w:fill="auto"/>
          </w:tcPr>
          <w:p w14:paraId="1894E021" w14:textId="2866BAE5" w:rsidR="00C93BAD" w:rsidRDefault="00C93BAD" w:rsidP="00EB48D6">
            <w:pPr>
              <w:rPr>
                <w:lang w:val="en-US"/>
              </w:rPr>
            </w:pPr>
            <w:r>
              <w:rPr>
                <w:lang w:val="en-US"/>
              </w:rPr>
              <w:t>Provides the initial pose of the new XR space’s origin.</w:t>
            </w:r>
          </w:p>
        </w:tc>
      </w:tr>
      <w:tr w:rsidR="00000000" w14:paraId="0CEB0ED6" w14:textId="77777777">
        <w:tc>
          <w:tcPr>
            <w:tcW w:w="3618" w:type="dxa"/>
            <w:shd w:val="clear" w:color="auto" w:fill="auto"/>
          </w:tcPr>
          <w:p w14:paraId="2D9CFA2E" w14:textId="17AB22C9" w:rsidR="00892363" w:rsidRDefault="004E41BA" w:rsidP="00EB48D6">
            <w:pPr>
              <w:rPr>
                <w:lang w:val="en-US"/>
              </w:rPr>
            </w:pPr>
            <w:r>
              <w:rPr>
                <w:lang w:val="en-US"/>
              </w:rPr>
              <w:t>viewConfiguration</w:t>
            </w:r>
          </w:p>
        </w:tc>
        <w:tc>
          <w:tcPr>
            <w:tcW w:w="276" w:type="dxa"/>
            <w:shd w:val="clear" w:color="auto" w:fill="auto"/>
          </w:tcPr>
          <w:p w14:paraId="7A367041" w14:textId="2DBE1386" w:rsidR="00892363" w:rsidRDefault="004E41BA" w:rsidP="00EB48D6">
            <w:pPr>
              <w:rPr>
                <w:lang w:val="en-US"/>
              </w:rPr>
            </w:pPr>
            <w:r>
              <w:rPr>
                <w:lang w:val="en-US"/>
              </w:rPr>
              <w:t>Object</w:t>
            </w:r>
          </w:p>
        </w:tc>
        <w:tc>
          <w:tcPr>
            <w:tcW w:w="1403" w:type="dxa"/>
            <w:shd w:val="clear" w:color="auto" w:fill="auto"/>
          </w:tcPr>
          <w:p w14:paraId="157D5AA3" w14:textId="6A746E2D" w:rsidR="00892363" w:rsidRDefault="004E41BA" w:rsidP="00EB48D6">
            <w:pPr>
              <w:rPr>
                <w:lang w:val="en-US"/>
              </w:rPr>
            </w:pPr>
            <w:r>
              <w:rPr>
                <w:lang w:val="en-US"/>
              </w:rPr>
              <w:t>0..1</w:t>
            </w:r>
          </w:p>
        </w:tc>
        <w:tc>
          <w:tcPr>
            <w:tcW w:w="4610" w:type="dxa"/>
            <w:shd w:val="clear" w:color="auto" w:fill="auto"/>
          </w:tcPr>
          <w:p w14:paraId="050ADDC9" w14:textId="3A4DB136" w:rsidR="00892363" w:rsidRDefault="00C93BAD" w:rsidP="00EB48D6">
            <w:pPr>
              <w:rPr>
                <w:lang w:val="en-US"/>
              </w:rPr>
            </w:pPr>
            <w:r>
              <w:rPr>
                <w:lang w:val="en-US"/>
              </w:rPr>
              <w:t>Conveys the view configuration that is configured for the XR session.</w:t>
            </w:r>
          </w:p>
        </w:tc>
      </w:tr>
      <w:tr w:rsidR="00000000" w14:paraId="166040AD" w14:textId="77777777">
        <w:tc>
          <w:tcPr>
            <w:tcW w:w="3618" w:type="dxa"/>
            <w:shd w:val="clear" w:color="auto" w:fill="auto"/>
          </w:tcPr>
          <w:p w14:paraId="37F5BC33" w14:textId="52547EAA" w:rsidR="00C93BAD" w:rsidRDefault="00C93BAD" w:rsidP="00EB48D6">
            <w:pPr>
              <w:rPr>
                <w:lang w:val="en-US"/>
              </w:rPr>
            </w:pPr>
            <w:r>
              <w:rPr>
                <w:lang w:val="en-US"/>
              </w:rPr>
              <w:t xml:space="preserve">        type</w:t>
            </w:r>
          </w:p>
        </w:tc>
        <w:tc>
          <w:tcPr>
            <w:tcW w:w="276" w:type="dxa"/>
            <w:shd w:val="clear" w:color="auto" w:fill="auto"/>
          </w:tcPr>
          <w:p w14:paraId="6941D0BC" w14:textId="37EE437E" w:rsidR="00C93BAD" w:rsidRDefault="00C93BAD" w:rsidP="00EB48D6">
            <w:pPr>
              <w:rPr>
                <w:lang w:val="en-US"/>
              </w:rPr>
            </w:pPr>
            <w:r>
              <w:rPr>
                <w:lang w:val="en-US"/>
              </w:rPr>
              <w:t xml:space="preserve">Enum </w:t>
            </w:r>
          </w:p>
        </w:tc>
        <w:tc>
          <w:tcPr>
            <w:tcW w:w="1403" w:type="dxa"/>
            <w:shd w:val="clear" w:color="auto" w:fill="auto"/>
          </w:tcPr>
          <w:p w14:paraId="1CF19ED4" w14:textId="0ACD7762" w:rsidR="00C93BAD" w:rsidRDefault="00C93BAD" w:rsidP="00EB48D6">
            <w:pPr>
              <w:rPr>
                <w:lang w:val="en-US"/>
              </w:rPr>
            </w:pPr>
            <w:r>
              <w:rPr>
                <w:lang w:val="en-US"/>
              </w:rPr>
              <w:t>1..1</w:t>
            </w:r>
          </w:p>
        </w:tc>
        <w:tc>
          <w:tcPr>
            <w:tcW w:w="4610" w:type="dxa"/>
            <w:shd w:val="clear" w:color="auto" w:fill="auto"/>
          </w:tcPr>
          <w:p w14:paraId="7C66FF62" w14:textId="14D1AB31" w:rsidR="00C93BAD" w:rsidRDefault="00C93BAD" w:rsidP="00EB48D6">
            <w:pPr>
              <w:rPr>
                <w:lang w:val="en-US"/>
              </w:rPr>
            </w:pPr>
            <w:r>
              <w:rPr>
                <w:lang w:val="en-US"/>
              </w:rPr>
              <w:t>The type indicates the view configuration. Defined values are MONO and STEREO. Other values may be added.</w:t>
            </w:r>
          </w:p>
        </w:tc>
      </w:tr>
      <w:tr w:rsidR="00000000" w14:paraId="569E8168" w14:textId="77777777">
        <w:tc>
          <w:tcPr>
            <w:tcW w:w="3618" w:type="dxa"/>
            <w:shd w:val="clear" w:color="auto" w:fill="auto"/>
          </w:tcPr>
          <w:p w14:paraId="65F71227" w14:textId="02A8A1CB" w:rsidR="00C93BAD" w:rsidRDefault="00C93BAD" w:rsidP="00EB48D6">
            <w:pPr>
              <w:rPr>
                <w:lang w:val="en-US"/>
              </w:rPr>
            </w:pPr>
            <w:r>
              <w:rPr>
                <w:lang w:val="en-US"/>
              </w:rPr>
              <w:t xml:space="preserve">        </w:t>
            </w:r>
            <w:r w:rsidR="005516E5">
              <w:rPr>
                <w:lang w:val="en-US"/>
              </w:rPr>
              <w:t>width</w:t>
            </w:r>
          </w:p>
        </w:tc>
        <w:tc>
          <w:tcPr>
            <w:tcW w:w="276" w:type="dxa"/>
            <w:shd w:val="clear" w:color="auto" w:fill="auto"/>
          </w:tcPr>
          <w:p w14:paraId="52804B71" w14:textId="729951CC" w:rsidR="00C93BAD" w:rsidRDefault="005516E5" w:rsidP="00EB48D6">
            <w:pPr>
              <w:rPr>
                <w:lang w:val="en-US"/>
              </w:rPr>
            </w:pPr>
            <w:r>
              <w:rPr>
                <w:lang w:val="en-US"/>
              </w:rPr>
              <w:t>number</w:t>
            </w:r>
          </w:p>
        </w:tc>
        <w:tc>
          <w:tcPr>
            <w:tcW w:w="1403" w:type="dxa"/>
            <w:shd w:val="clear" w:color="auto" w:fill="auto"/>
          </w:tcPr>
          <w:p w14:paraId="1EDB0FC2" w14:textId="437D42ED" w:rsidR="00C93BAD" w:rsidRDefault="005516E5" w:rsidP="00EB48D6">
            <w:pPr>
              <w:rPr>
                <w:lang w:val="en-US"/>
              </w:rPr>
            </w:pPr>
            <w:r>
              <w:rPr>
                <w:lang w:val="en-US"/>
              </w:rPr>
              <w:t>1..1</w:t>
            </w:r>
          </w:p>
        </w:tc>
        <w:tc>
          <w:tcPr>
            <w:tcW w:w="4610" w:type="dxa"/>
            <w:shd w:val="clear" w:color="auto" w:fill="auto"/>
          </w:tcPr>
          <w:p w14:paraId="54F859EB" w14:textId="02D7735C" w:rsidR="00C93BAD" w:rsidRDefault="005516E5" w:rsidP="00EB48D6">
            <w:pPr>
              <w:rPr>
                <w:lang w:val="en-US"/>
              </w:rPr>
            </w:pPr>
            <w:r>
              <w:rPr>
                <w:lang w:val="en-US"/>
              </w:rPr>
              <w:t>The recommended width of the swapchain image.</w:t>
            </w:r>
          </w:p>
        </w:tc>
      </w:tr>
      <w:tr w:rsidR="00000000" w14:paraId="2861EB25" w14:textId="77777777">
        <w:tc>
          <w:tcPr>
            <w:tcW w:w="3618" w:type="dxa"/>
            <w:shd w:val="clear" w:color="auto" w:fill="auto"/>
          </w:tcPr>
          <w:p w14:paraId="5F477BD1" w14:textId="6281656D" w:rsidR="005516E5" w:rsidRDefault="005516E5" w:rsidP="00EB48D6">
            <w:pPr>
              <w:rPr>
                <w:lang w:val="en-US"/>
              </w:rPr>
            </w:pPr>
            <w:r>
              <w:rPr>
                <w:lang w:val="en-US"/>
              </w:rPr>
              <w:t xml:space="preserve">        height</w:t>
            </w:r>
          </w:p>
        </w:tc>
        <w:tc>
          <w:tcPr>
            <w:tcW w:w="276" w:type="dxa"/>
            <w:shd w:val="clear" w:color="auto" w:fill="auto"/>
          </w:tcPr>
          <w:p w14:paraId="5465D871" w14:textId="6F028A1D" w:rsidR="005516E5" w:rsidRDefault="005516E5" w:rsidP="00EB48D6">
            <w:pPr>
              <w:rPr>
                <w:lang w:val="en-US"/>
              </w:rPr>
            </w:pPr>
            <w:r>
              <w:rPr>
                <w:lang w:val="en-US"/>
              </w:rPr>
              <w:t>number</w:t>
            </w:r>
          </w:p>
        </w:tc>
        <w:tc>
          <w:tcPr>
            <w:tcW w:w="1403" w:type="dxa"/>
            <w:shd w:val="clear" w:color="auto" w:fill="auto"/>
          </w:tcPr>
          <w:p w14:paraId="622D46E2" w14:textId="310C028F" w:rsidR="005516E5" w:rsidRDefault="005516E5" w:rsidP="00EB48D6">
            <w:pPr>
              <w:rPr>
                <w:lang w:val="en-US"/>
              </w:rPr>
            </w:pPr>
            <w:r>
              <w:rPr>
                <w:lang w:val="en-US"/>
              </w:rPr>
              <w:t>1..1</w:t>
            </w:r>
          </w:p>
        </w:tc>
        <w:tc>
          <w:tcPr>
            <w:tcW w:w="4610" w:type="dxa"/>
            <w:shd w:val="clear" w:color="auto" w:fill="auto"/>
          </w:tcPr>
          <w:p w14:paraId="7E053227" w14:textId="66270AD5" w:rsidR="005516E5" w:rsidRDefault="005516E5" w:rsidP="00EB48D6">
            <w:pPr>
              <w:rPr>
                <w:lang w:val="en-US"/>
              </w:rPr>
            </w:pPr>
            <w:r>
              <w:rPr>
                <w:lang w:val="en-US"/>
              </w:rPr>
              <w:t>The recommended height of the swapchain image.</w:t>
            </w:r>
          </w:p>
        </w:tc>
      </w:tr>
      <w:tr w:rsidR="00000000" w14:paraId="1286A128" w14:textId="77777777">
        <w:tc>
          <w:tcPr>
            <w:tcW w:w="3618" w:type="dxa"/>
            <w:shd w:val="clear" w:color="auto" w:fill="auto"/>
          </w:tcPr>
          <w:p w14:paraId="6892BE40" w14:textId="2558BBED" w:rsidR="008C3789" w:rsidRDefault="008C3789" w:rsidP="00EB48D6">
            <w:pPr>
              <w:rPr>
                <w:lang w:val="en-US"/>
              </w:rPr>
            </w:pPr>
            <w:r>
              <w:rPr>
                <w:lang w:val="en-US"/>
              </w:rPr>
              <w:t xml:space="preserve">        compositionLayer</w:t>
            </w:r>
          </w:p>
        </w:tc>
        <w:tc>
          <w:tcPr>
            <w:tcW w:w="276" w:type="dxa"/>
            <w:shd w:val="clear" w:color="auto" w:fill="auto"/>
          </w:tcPr>
          <w:p w14:paraId="6099985B" w14:textId="3546E736" w:rsidR="008C3789" w:rsidRDefault="008C3789" w:rsidP="00EB48D6">
            <w:pPr>
              <w:rPr>
                <w:lang w:val="en-US"/>
              </w:rPr>
            </w:pPr>
            <w:r>
              <w:rPr>
                <w:lang w:val="en-US"/>
              </w:rPr>
              <w:t>string</w:t>
            </w:r>
          </w:p>
        </w:tc>
        <w:tc>
          <w:tcPr>
            <w:tcW w:w="1403" w:type="dxa"/>
            <w:shd w:val="clear" w:color="auto" w:fill="auto"/>
          </w:tcPr>
          <w:p w14:paraId="7F76C59A" w14:textId="79B67142" w:rsidR="008C3789" w:rsidRDefault="008C3789" w:rsidP="00EB48D6">
            <w:pPr>
              <w:rPr>
                <w:lang w:val="en-US"/>
              </w:rPr>
            </w:pPr>
            <w:r>
              <w:rPr>
                <w:lang w:val="en-US"/>
              </w:rPr>
              <w:t>1..1</w:t>
            </w:r>
          </w:p>
        </w:tc>
        <w:tc>
          <w:tcPr>
            <w:tcW w:w="4610" w:type="dxa"/>
            <w:shd w:val="clear" w:color="auto" w:fill="auto"/>
          </w:tcPr>
          <w:p w14:paraId="0A87B064" w14:textId="12C7DE50" w:rsidR="008C3789" w:rsidRDefault="008C3789" w:rsidP="00EB48D6">
            <w:pPr>
              <w:rPr>
                <w:lang w:val="en-US"/>
              </w:rPr>
            </w:pPr>
            <w:r>
              <w:rPr>
                <w:lang w:val="en-US"/>
              </w:rPr>
              <w:t>An identifier of the selected composition layer.</w:t>
            </w:r>
          </w:p>
        </w:tc>
      </w:tr>
      <w:tr w:rsidR="00000000" w14:paraId="1F058265" w14:textId="77777777">
        <w:tc>
          <w:tcPr>
            <w:tcW w:w="3618" w:type="dxa"/>
            <w:shd w:val="clear" w:color="auto" w:fill="auto"/>
          </w:tcPr>
          <w:p w14:paraId="30A4DEAA" w14:textId="1226B2E1" w:rsidR="00892363" w:rsidRDefault="004E41BA" w:rsidP="00EB48D6">
            <w:pPr>
              <w:rPr>
                <w:lang w:val="en-US"/>
              </w:rPr>
            </w:pPr>
            <w:r>
              <w:rPr>
                <w:lang w:val="en-US"/>
              </w:rPr>
              <w:t>actionConfiguration</w:t>
            </w:r>
          </w:p>
        </w:tc>
        <w:tc>
          <w:tcPr>
            <w:tcW w:w="276" w:type="dxa"/>
            <w:shd w:val="clear" w:color="auto" w:fill="auto"/>
          </w:tcPr>
          <w:p w14:paraId="3FFEFF11" w14:textId="5FEE10F9" w:rsidR="00892363" w:rsidRDefault="008C3789" w:rsidP="00EB48D6">
            <w:pPr>
              <w:rPr>
                <w:lang w:val="en-US"/>
              </w:rPr>
            </w:pPr>
            <w:r>
              <w:rPr>
                <w:lang w:val="en-US"/>
              </w:rPr>
              <w:t>Array</w:t>
            </w:r>
          </w:p>
        </w:tc>
        <w:tc>
          <w:tcPr>
            <w:tcW w:w="1403" w:type="dxa"/>
            <w:shd w:val="clear" w:color="auto" w:fill="auto"/>
          </w:tcPr>
          <w:p w14:paraId="348C0AD0" w14:textId="149B340D" w:rsidR="00892363" w:rsidRDefault="004E41BA" w:rsidP="00EB48D6">
            <w:pPr>
              <w:rPr>
                <w:lang w:val="en-US"/>
              </w:rPr>
            </w:pPr>
            <w:r>
              <w:rPr>
                <w:lang w:val="en-US"/>
              </w:rPr>
              <w:t>0..1</w:t>
            </w:r>
          </w:p>
        </w:tc>
        <w:tc>
          <w:tcPr>
            <w:tcW w:w="4610" w:type="dxa"/>
            <w:shd w:val="clear" w:color="auto" w:fill="auto"/>
          </w:tcPr>
          <w:p w14:paraId="7B87AD05" w14:textId="5B5A6157" w:rsidR="00892363" w:rsidRDefault="008C3789" w:rsidP="00EB48D6">
            <w:pPr>
              <w:rPr>
                <w:lang w:val="en-US"/>
              </w:rPr>
            </w:pPr>
            <w:r>
              <w:rPr>
                <w:lang w:val="en-US"/>
              </w:rPr>
              <w:t>This contains a list of the actions that are to be defined by the SR client.</w:t>
            </w:r>
          </w:p>
        </w:tc>
      </w:tr>
      <w:tr w:rsidR="00000000" w14:paraId="2D111212" w14:textId="77777777">
        <w:tc>
          <w:tcPr>
            <w:tcW w:w="3618" w:type="dxa"/>
            <w:shd w:val="clear" w:color="auto" w:fill="auto"/>
          </w:tcPr>
          <w:p w14:paraId="44D0A685" w14:textId="46F6A7BA" w:rsidR="008C3789" w:rsidRDefault="008C3789" w:rsidP="00EB48D6">
            <w:pPr>
              <w:rPr>
                <w:lang w:val="en-US"/>
              </w:rPr>
            </w:pPr>
            <w:r>
              <w:rPr>
                <w:lang w:val="en-US"/>
              </w:rPr>
              <w:t xml:space="preserve">        action</w:t>
            </w:r>
          </w:p>
        </w:tc>
        <w:tc>
          <w:tcPr>
            <w:tcW w:w="276" w:type="dxa"/>
            <w:shd w:val="clear" w:color="auto" w:fill="auto"/>
          </w:tcPr>
          <w:p w14:paraId="13911316" w14:textId="2266FC38" w:rsidR="008C3789" w:rsidRDefault="008C3789" w:rsidP="00EB48D6">
            <w:pPr>
              <w:rPr>
                <w:lang w:val="en-US"/>
              </w:rPr>
            </w:pPr>
            <w:r>
              <w:rPr>
                <w:lang w:val="en-US"/>
              </w:rPr>
              <w:t>Object</w:t>
            </w:r>
          </w:p>
        </w:tc>
        <w:tc>
          <w:tcPr>
            <w:tcW w:w="1403" w:type="dxa"/>
            <w:shd w:val="clear" w:color="auto" w:fill="auto"/>
          </w:tcPr>
          <w:p w14:paraId="3F95F381" w14:textId="52DD4D5B" w:rsidR="008C3789" w:rsidRDefault="008C3789" w:rsidP="00EB48D6">
            <w:pPr>
              <w:rPr>
                <w:lang w:val="en-US"/>
              </w:rPr>
            </w:pPr>
            <w:proofErr w:type="gramStart"/>
            <w:r>
              <w:rPr>
                <w:lang w:val="en-US"/>
              </w:rPr>
              <w:t>1..n</w:t>
            </w:r>
            <w:proofErr w:type="gramEnd"/>
          </w:p>
        </w:tc>
        <w:tc>
          <w:tcPr>
            <w:tcW w:w="4610" w:type="dxa"/>
            <w:shd w:val="clear" w:color="auto" w:fill="auto"/>
          </w:tcPr>
          <w:p w14:paraId="76AB84C3" w14:textId="69CD71B3" w:rsidR="008C3789" w:rsidRDefault="008C3789" w:rsidP="00EB48D6">
            <w:pPr>
              <w:rPr>
                <w:lang w:val="en-US"/>
              </w:rPr>
            </w:pPr>
            <w:r>
              <w:rPr>
                <w:lang w:val="en-US"/>
              </w:rPr>
              <w:t>A definition of a single action object.</w:t>
            </w:r>
          </w:p>
        </w:tc>
      </w:tr>
      <w:tr w:rsidR="00000000" w14:paraId="06959906" w14:textId="77777777">
        <w:tc>
          <w:tcPr>
            <w:tcW w:w="3618" w:type="dxa"/>
            <w:shd w:val="clear" w:color="auto" w:fill="auto"/>
          </w:tcPr>
          <w:p w14:paraId="2B84D1D8" w14:textId="1A3CED6A" w:rsidR="008C3789" w:rsidRDefault="008C3789" w:rsidP="00EB48D6">
            <w:pPr>
              <w:rPr>
                <w:lang w:val="en-US"/>
              </w:rPr>
            </w:pPr>
            <w:r>
              <w:rPr>
                <w:lang w:val="en-US"/>
              </w:rPr>
              <w:t xml:space="preserve">        id</w:t>
            </w:r>
          </w:p>
        </w:tc>
        <w:tc>
          <w:tcPr>
            <w:tcW w:w="276" w:type="dxa"/>
            <w:shd w:val="clear" w:color="auto" w:fill="auto"/>
          </w:tcPr>
          <w:p w14:paraId="217311AE" w14:textId="052A2640" w:rsidR="008C3789" w:rsidRDefault="008C3789" w:rsidP="00EB48D6">
            <w:pPr>
              <w:rPr>
                <w:lang w:val="en-US"/>
              </w:rPr>
            </w:pPr>
            <w:r>
              <w:rPr>
                <w:lang w:val="en-US"/>
              </w:rPr>
              <w:t>number</w:t>
            </w:r>
          </w:p>
        </w:tc>
        <w:tc>
          <w:tcPr>
            <w:tcW w:w="1403" w:type="dxa"/>
            <w:shd w:val="clear" w:color="auto" w:fill="auto"/>
          </w:tcPr>
          <w:p w14:paraId="5679FB41" w14:textId="3B7022C6" w:rsidR="008C3789" w:rsidRDefault="008C3789" w:rsidP="00EB48D6">
            <w:pPr>
              <w:rPr>
                <w:lang w:val="en-US"/>
              </w:rPr>
            </w:pPr>
            <w:r>
              <w:rPr>
                <w:lang w:val="en-US"/>
              </w:rPr>
              <w:t>1..1</w:t>
            </w:r>
          </w:p>
        </w:tc>
        <w:tc>
          <w:tcPr>
            <w:tcW w:w="4610" w:type="dxa"/>
            <w:shd w:val="clear" w:color="auto" w:fill="auto"/>
          </w:tcPr>
          <w:p w14:paraId="20A8CB8D" w14:textId="7E558959" w:rsidR="008C3789" w:rsidRDefault="008C3789" w:rsidP="00EB48D6">
            <w:pPr>
              <w:rPr>
                <w:lang w:val="en-US"/>
              </w:rPr>
            </w:pPr>
            <w:r>
              <w:rPr>
                <w:lang w:val="en-US"/>
              </w:rPr>
              <w:t>A unique identifier of the action.</w:t>
            </w:r>
          </w:p>
        </w:tc>
      </w:tr>
      <w:tr w:rsidR="00000000" w14:paraId="7132278D" w14:textId="77777777">
        <w:tc>
          <w:tcPr>
            <w:tcW w:w="3618" w:type="dxa"/>
            <w:shd w:val="clear" w:color="auto" w:fill="auto"/>
          </w:tcPr>
          <w:p w14:paraId="089C4662" w14:textId="1F3365AC" w:rsidR="008C3789" w:rsidRDefault="008C3789" w:rsidP="00EB48D6">
            <w:pPr>
              <w:rPr>
                <w:lang w:val="en-US"/>
              </w:rPr>
            </w:pPr>
            <w:r>
              <w:rPr>
                <w:lang w:val="en-US"/>
              </w:rPr>
              <w:t xml:space="preserve">       actionType</w:t>
            </w:r>
          </w:p>
        </w:tc>
        <w:tc>
          <w:tcPr>
            <w:tcW w:w="276" w:type="dxa"/>
            <w:shd w:val="clear" w:color="auto" w:fill="auto"/>
          </w:tcPr>
          <w:p w14:paraId="6E44D38C" w14:textId="787CFC12" w:rsidR="008C3789" w:rsidRDefault="008C3789" w:rsidP="00EB48D6">
            <w:pPr>
              <w:rPr>
                <w:lang w:val="en-US"/>
              </w:rPr>
            </w:pPr>
            <w:r>
              <w:rPr>
                <w:lang w:val="en-US"/>
              </w:rPr>
              <w:t>enum</w:t>
            </w:r>
          </w:p>
        </w:tc>
        <w:tc>
          <w:tcPr>
            <w:tcW w:w="1403" w:type="dxa"/>
            <w:shd w:val="clear" w:color="auto" w:fill="auto"/>
          </w:tcPr>
          <w:p w14:paraId="617499AB" w14:textId="79304D77" w:rsidR="008C3789" w:rsidRDefault="008C3789" w:rsidP="00EB48D6">
            <w:pPr>
              <w:rPr>
                <w:lang w:val="en-US"/>
              </w:rPr>
            </w:pPr>
            <w:r>
              <w:rPr>
                <w:lang w:val="en-US"/>
              </w:rPr>
              <w:t>1..1</w:t>
            </w:r>
          </w:p>
        </w:tc>
        <w:tc>
          <w:tcPr>
            <w:tcW w:w="4610" w:type="dxa"/>
            <w:shd w:val="clear" w:color="auto" w:fill="auto"/>
          </w:tcPr>
          <w:p w14:paraId="5138200B" w14:textId="653CCB91" w:rsidR="008C3789" w:rsidRDefault="008C3789" w:rsidP="00EB48D6">
            <w:pPr>
              <w:rPr>
                <w:lang w:val="en-US"/>
              </w:rPr>
            </w:pPr>
            <w:r>
              <w:rPr>
                <w:lang w:val="en-US"/>
              </w:rPr>
              <w:t xml:space="preserve">The type of </w:t>
            </w:r>
            <w:proofErr w:type="gramStart"/>
            <w:r>
              <w:rPr>
                <w:lang w:val="en-US"/>
              </w:rPr>
              <w:t>the action</w:t>
            </w:r>
            <w:proofErr w:type="gramEnd"/>
            <w:r>
              <w:rPr>
                <w:lang w:val="en-US"/>
              </w:rPr>
              <w:t xml:space="preserve"> state. This can be a Boolean, float, vector2, pose</w:t>
            </w:r>
            <w:r w:rsidR="004E1EC2">
              <w:rPr>
                <w:lang w:val="en-US"/>
              </w:rPr>
              <w:t>, vibration output, etc.</w:t>
            </w:r>
          </w:p>
        </w:tc>
      </w:tr>
      <w:tr w:rsidR="00000000" w14:paraId="466177BA" w14:textId="77777777">
        <w:tc>
          <w:tcPr>
            <w:tcW w:w="3618" w:type="dxa"/>
            <w:shd w:val="clear" w:color="auto" w:fill="auto"/>
          </w:tcPr>
          <w:p w14:paraId="43C9E173" w14:textId="685A6B0A" w:rsidR="008C3789" w:rsidRDefault="008C3789" w:rsidP="00EB48D6">
            <w:pPr>
              <w:rPr>
                <w:lang w:val="en-US"/>
              </w:rPr>
            </w:pPr>
            <w:r>
              <w:rPr>
                <w:lang w:val="en-US"/>
              </w:rPr>
              <w:t xml:space="preserve">       subactionPath</w:t>
            </w:r>
            <w:r w:rsidR="004E1EC2">
              <w:rPr>
                <w:lang w:val="en-US"/>
              </w:rPr>
              <w:t>s</w:t>
            </w:r>
          </w:p>
        </w:tc>
        <w:tc>
          <w:tcPr>
            <w:tcW w:w="276" w:type="dxa"/>
            <w:shd w:val="clear" w:color="auto" w:fill="auto"/>
          </w:tcPr>
          <w:p w14:paraId="32DAE400" w14:textId="4CCE2AE4" w:rsidR="008C3789" w:rsidRDefault="004E1EC2" w:rsidP="00EB48D6">
            <w:pPr>
              <w:rPr>
                <w:lang w:val="en-US"/>
              </w:rPr>
            </w:pPr>
            <w:r>
              <w:rPr>
                <w:lang w:val="en-US"/>
              </w:rPr>
              <w:t>s</w:t>
            </w:r>
            <w:r w:rsidR="008C3789">
              <w:rPr>
                <w:lang w:val="en-US"/>
              </w:rPr>
              <w:t>tring</w:t>
            </w:r>
          </w:p>
        </w:tc>
        <w:tc>
          <w:tcPr>
            <w:tcW w:w="1403" w:type="dxa"/>
            <w:shd w:val="clear" w:color="auto" w:fill="auto"/>
          </w:tcPr>
          <w:p w14:paraId="1269AB12" w14:textId="377295F7" w:rsidR="008C3789" w:rsidRDefault="008C3789" w:rsidP="00EB48D6">
            <w:pPr>
              <w:rPr>
                <w:lang w:val="en-US"/>
              </w:rPr>
            </w:pPr>
            <w:proofErr w:type="gramStart"/>
            <w:r>
              <w:rPr>
                <w:lang w:val="en-US"/>
              </w:rPr>
              <w:t>1..</w:t>
            </w:r>
            <w:r w:rsidR="004E1EC2">
              <w:rPr>
                <w:lang w:val="en-US"/>
              </w:rPr>
              <w:t>n</w:t>
            </w:r>
            <w:proofErr w:type="gramEnd"/>
          </w:p>
        </w:tc>
        <w:tc>
          <w:tcPr>
            <w:tcW w:w="4610" w:type="dxa"/>
            <w:shd w:val="clear" w:color="auto" w:fill="auto"/>
          </w:tcPr>
          <w:p w14:paraId="7AD4878F" w14:textId="77E1D1FB" w:rsidR="008C3789" w:rsidRDefault="004E1EC2" w:rsidP="00EB48D6">
            <w:pPr>
              <w:rPr>
                <w:lang w:val="en-US"/>
              </w:rPr>
            </w:pPr>
            <w:r>
              <w:rPr>
                <w:lang w:val="en-US"/>
              </w:rPr>
              <w:t>An array of subaction paths associated with this action. The split rendering client will provide the state of all defined sub-action paths.</w:t>
            </w:r>
          </w:p>
        </w:tc>
      </w:tr>
      <w:tr w:rsidR="00000000" w14:paraId="27659AE9" w14:textId="77777777">
        <w:tc>
          <w:tcPr>
            <w:tcW w:w="3618" w:type="dxa"/>
            <w:shd w:val="clear" w:color="auto" w:fill="auto"/>
          </w:tcPr>
          <w:p w14:paraId="60518744" w14:textId="3CCC80E5" w:rsidR="004E41BA" w:rsidRDefault="004E41BA" w:rsidP="00EB48D6">
            <w:pPr>
              <w:rPr>
                <w:lang w:val="en-US"/>
              </w:rPr>
            </w:pPr>
            <w:r>
              <w:rPr>
                <w:lang w:val="en-US"/>
              </w:rPr>
              <w:t>extraConfigurations</w:t>
            </w:r>
          </w:p>
        </w:tc>
        <w:tc>
          <w:tcPr>
            <w:tcW w:w="276" w:type="dxa"/>
            <w:shd w:val="clear" w:color="auto" w:fill="auto"/>
          </w:tcPr>
          <w:p w14:paraId="3013BD52" w14:textId="39D2E02C" w:rsidR="004E41BA" w:rsidRDefault="004E41BA" w:rsidP="00EB48D6">
            <w:pPr>
              <w:rPr>
                <w:lang w:val="en-US"/>
              </w:rPr>
            </w:pPr>
            <w:r>
              <w:rPr>
                <w:lang w:val="en-US"/>
              </w:rPr>
              <w:t>Object</w:t>
            </w:r>
          </w:p>
          <w:p w14:paraId="32BF25A7" w14:textId="02B68B89" w:rsidR="004E41BA" w:rsidRDefault="004E41BA" w:rsidP="00EB48D6">
            <w:pPr>
              <w:rPr>
                <w:lang w:val="en-US"/>
              </w:rPr>
            </w:pPr>
          </w:p>
        </w:tc>
        <w:tc>
          <w:tcPr>
            <w:tcW w:w="1403" w:type="dxa"/>
            <w:shd w:val="clear" w:color="auto" w:fill="auto"/>
          </w:tcPr>
          <w:p w14:paraId="6A144B5C" w14:textId="43896E02" w:rsidR="004E41BA" w:rsidRDefault="004E41BA" w:rsidP="00EB48D6">
            <w:pPr>
              <w:rPr>
                <w:lang w:val="en-US"/>
              </w:rPr>
            </w:pPr>
            <w:r>
              <w:rPr>
                <w:lang w:val="en-US"/>
              </w:rPr>
              <w:t>0..1</w:t>
            </w:r>
          </w:p>
        </w:tc>
        <w:tc>
          <w:tcPr>
            <w:tcW w:w="4610" w:type="dxa"/>
            <w:shd w:val="clear" w:color="auto" w:fill="auto"/>
          </w:tcPr>
          <w:p w14:paraId="279C0481" w14:textId="0F455897" w:rsidR="004E41BA" w:rsidRDefault="004E1EC2" w:rsidP="00EB48D6">
            <w:pPr>
              <w:rPr>
                <w:lang w:val="en-US"/>
              </w:rPr>
            </w:pPr>
            <w:r>
              <w:rPr>
                <w:lang w:val="en-US"/>
              </w:rPr>
              <w:t>A placeholder for addition configuration information.</w:t>
            </w:r>
          </w:p>
        </w:tc>
      </w:tr>
    </w:tbl>
    <w:p w14:paraId="35F51B34" w14:textId="726447FC" w:rsidR="00892363" w:rsidRDefault="00892363" w:rsidP="00EB48D6">
      <w:pPr>
        <w:rPr>
          <w:lang w:val="en-US"/>
        </w:rPr>
      </w:pPr>
    </w:p>
    <w:p w14:paraId="0C2A720E" w14:textId="4B80B287" w:rsidR="004E1EC2" w:rsidRDefault="004E1EC2" w:rsidP="004E1EC2">
      <w:pPr>
        <w:pStyle w:val="Heading1"/>
        <w:numPr>
          <w:ilvl w:val="1"/>
          <w:numId w:val="3"/>
        </w:numPr>
      </w:pPr>
      <w:r>
        <w:t>Transport of the Configuration Information</w:t>
      </w:r>
    </w:p>
    <w:p w14:paraId="234DD49D" w14:textId="02D1F71E" w:rsidR="004E1EC2" w:rsidRPr="004E1EC2" w:rsidRDefault="004E1EC2" w:rsidP="004E1EC2">
      <w:pPr>
        <w:rPr>
          <w:lang w:val="en-US"/>
        </w:rPr>
      </w:pPr>
      <w:r>
        <w:rPr>
          <w:lang w:val="en-US"/>
        </w:rPr>
        <w:t xml:space="preserve">When WebRTC is used for carrying the split rendering data, the XR configuration information should be carried as </w:t>
      </w:r>
      <w:proofErr w:type="gramStart"/>
      <w:r>
        <w:rPr>
          <w:lang w:val="en-US"/>
        </w:rPr>
        <w:t>application-specific</w:t>
      </w:r>
      <w:proofErr w:type="gramEnd"/>
      <w:r>
        <w:rPr>
          <w:lang w:val="en-US"/>
        </w:rPr>
        <w:t xml:space="preserve"> WebRTC signaling messages as defined in TS26.113.</w:t>
      </w:r>
    </w:p>
    <w:p w14:paraId="31DFDB63" w14:textId="77777777" w:rsidR="00583965" w:rsidRDefault="00583965" w:rsidP="007D1D47">
      <w:pPr>
        <w:pStyle w:val="Heading1"/>
        <w:numPr>
          <w:ilvl w:val="0"/>
          <w:numId w:val="3"/>
        </w:numPr>
      </w:pPr>
      <w:r>
        <w:t>Proposal</w:t>
      </w:r>
    </w:p>
    <w:p w14:paraId="73F02001" w14:textId="4B5D3EF3" w:rsidR="00F17FCB" w:rsidRDefault="00583965" w:rsidP="00DE5141">
      <w:pPr>
        <w:rPr>
          <w:lang w:val="en-US"/>
        </w:rPr>
      </w:pPr>
      <w:r>
        <w:rPr>
          <w:lang w:val="en-US"/>
        </w:rPr>
        <w:t>We propose to</w:t>
      </w:r>
      <w:r w:rsidR="00DF13C0">
        <w:rPr>
          <w:lang w:val="en-US"/>
        </w:rPr>
        <w:t xml:space="preserve"> agree the </w:t>
      </w:r>
      <w:r w:rsidR="00107B79">
        <w:rPr>
          <w:lang w:val="en-US"/>
        </w:rPr>
        <w:t>content of</w:t>
      </w:r>
      <w:r w:rsidR="004E1EC2">
        <w:rPr>
          <w:lang w:val="en-US"/>
        </w:rPr>
        <w:t xml:space="preserve"> section 2 to the draft TS26.565</w:t>
      </w:r>
      <w:r w:rsidR="00DE5141">
        <w:rPr>
          <w:lang w:val="en-US"/>
        </w:rPr>
        <w:t>.</w:t>
      </w:r>
    </w:p>
    <w:sectPr w:rsidR="00F17FC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53C8C" w14:textId="77777777" w:rsidR="00D83852" w:rsidRDefault="00D83852">
      <w:r>
        <w:separator/>
      </w:r>
    </w:p>
  </w:endnote>
  <w:endnote w:type="continuationSeparator" w:id="0">
    <w:p w14:paraId="09520505" w14:textId="77777777" w:rsidR="00D83852" w:rsidRDefault="00D8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3F8B8" w14:textId="77777777" w:rsidR="00D83852" w:rsidRDefault="00D83852">
      <w:r>
        <w:separator/>
      </w:r>
    </w:p>
  </w:footnote>
  <w:footnote w:type="continuationSeparator" w:id="0">
    <w:p w14:paraId="1B3AA10B" w14:textId="77777777" w:rsidR="00D83852" w:rsidRDefault="00D83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C13C295"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6E0144">
      <w:rPr>
        <w:rFonts w:ascii="Arial" w:eastAsia="SimSun" w:hAnsi="Arial" w:cs="Arial"/>
        <w:sz w:val="22"/>
        <w:lang w:val="en-US"/>
      </w:rPr>
      <w:t>2</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w:t>
    </w:r>
    <w:r w:rsidR="006E0144">
      <w:rPr>
        <w:rFonts w:ascii="Arial" w:eastAsia="SimSun" w:hAnsi="Arial" w:cs="Arial"/>
        <w:b/>
        <w:i/>
        <w:sz w:val="28"/>
        <w:szCs w:val="28"/>
      </w:rPr>
      <w:t>3</w:t>
    </w:r>
    <w:r w:rsidR="00D4755C">
      <w:rPr>
        <w:rFonts w:ascii="Arial" w:eastAsia="SimSun" w:hAnsi="Arial" w:cs="Arial"/>
        <w:b/>
        <w:i/>
        <w:sz w:val="28"/>
        <w:szCs w:val="28"/>
      </w:rPr>
      <w:t>0</w:t>
    </w:r>
    <w:r w:rsidR="00107B79">
      <w:rPr>
        <w:rFonts w:ascii="Arial" w:eastAsia="SimSun" w:hAnsi="Arial" w:cs="Arial"/>
        <w:b/>
        <w:i/>
        <w:sz w:val="28"/>
        <w:szCs w:val="28"/>
      </w:rPr>
      <w:t>138</w:t>
    </w:r>
  </w:p>
  <w:p w14:paraId="07F0C8DC" w14:textId="247B7151" w:rsidR="008075BF" w:rsidRPr="006C359E" w:rsidRDefault="006E0144"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EB48D6">
      <w:rPr>
        <w:rFonts w:ascii="Arial" w:eastAsia="SimSun" w:hAnsi="Arial" w:cs="Arial"/>
        <w:sz w:val="22"/>
        <w:lang w:eastAsia="zh-CN"/>
      </w:rPr>
      <w:t>2</w:t>
    </w:r>
    <w:r>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Pr>
        <w:rFonts w:ascii="Arial" w:eastAsia="SimSun" w:hAnsi="Arial" w:cs="Arial"/>
        <w:sz w:val="22"/>
        <w:lang w:eastAsia="zh-CN"/>
      </w:rPr>
      <w:t>3, Athens, Greece</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0"/>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0"/>
  </w:num>
  <w:num w:numId="11" w16cid:durableId="1525971380">
    <w:abstractNumId w:val="8"/>
  </w:num>
  <w:num w:numId="12" w16cid:durableId="1511218414">
    <w:abstractNumId w:val="9"/>
  </w:num>
  <w:num w:numId="13" w16cid:durableId="815728443">
    <w:abstractNumId w:val="10"/>
  </w:num>
  <w:num w:numId="14" w16cid:durableId="910039807">
    <w:abstractNumId w:val="11"/>
  </w:num>
  <w:num w:numId="15" w16cid:durableId="615796942">
    <w:abstractNumId w:val="10"/>
  </w:num>
  <w:num w:numId="16" w16cid:durableId="1284573992">
    <w:abstractNumId w:val="10"/>
  </w:num>
  <w:num w:numId="17" w16cid:durableId="121172735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3F90"/>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4D4"/>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7B79"/>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0582C"/>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1EC2"/>
    <w:rsid w:val="004E41BA"/>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16E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2363"/>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789"/>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50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3BAD"/>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3852"/>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n">
    <w:name w:val="pln"/>
    <w:basedOn w:val="DefaultParagraphFont"/>
    <w:rsid w:val="00C93BAD"/>
  </w:style>
  <w:style w:type="character" w:customStyle="1" w:styleId="pun">
    <w:name w:val="pun"/>
    <w:basedOn w:val="DefaultParagraphFont"/>
    <w:rsid w:val="00C93BAD"/>
  </w:style>
  <w:style w:type="character" w:customStyle="1" w:styleId="lit">
    <w:name w:val="lit"/>
    <w:basedOn w:val="DefaultParagraphFont"/>
    <w:rsid w:val="00C93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598</Words>
  <Characters>3410</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