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tabs>
          <w:tab w:val="right" w:pos="9639"/>
        </w:tabs>
        <w:spacing w:after="0"/>
        <w:rPr>
          <w:rFonts w:hint="default"/>
          <w:b/>
          <w:sz w:val="24"/>
          <w:lang w:val="en-US" w:eastAsia="zh-CN"/>
        </w:rPr>
      </w:pPr>
      <w:r>
        <w:rPr>
          <w:b/>
          <w:sz w:val="24"/>
        </w:rPr>
        <w:t xml:space="preserve">3GPP </w:t>
      </w:r>
      <w:r>
        <w:rPr>
          <w:rFonts w:hint="eastAsia"/>
          <w:b/>
          <w:sz w:val="24"/>
        </w:rPr>
        <w:t>SA4-e (AH) RTC SWG post 123e</w:t>
      </w:r>
      <w:bookmarkStart w:id="0" w:name="_GoBack"/>
      <w:bookmarkEnd w:id="0"/>
      <w:r>
        <w:rPr>
          <w:b/>
          <w:i/>
          <w:sz w:val="28"/>
        </w:rPr>
        <w:tab/>
      </w:r>
      <w:r>
        <w:rPr>
          <w:rFonts w:hint="eastAsia"/>
          <w:b/>
          <w:sz w:val="24"/>
        </w:rPr>
        <w:t>S4aR230076</w:t>
      </w:r>
    </w:p>
    <w:p>
      <w:pPr>
        <w:spacing w:after="120"/>
        <w:ind w:left="1985" w:hanging="1985"/>
        <w:rPr>
          <w:rFonts w:ascii="Arial" w:hAnsi="Arial"/>
          <w:b/>
          <w:sz w:val="24"/>
        </w:rPr>
      </w:pPr>
      <w:r>
        <w:rPr>
          <w:rFonts w:hint="eastAsia" w:ascii="Arial" w:hAnsi="Arial"/>
          <w:b/>
          <w:sz w:val="24"/>
        </w:rPr>
        <w:t xml:space="preserve">Online, </w:t>
      </w:r>
      <w:r>
        <w:rPr>
          <w:rFonts w:hint="eastAsia" w:ascii="Arial" w:hAnsi="Arial" w:eastAsia="宋体"/>
          <w:b/>
          <w:sz w:val="24"/>
          <w:lang w:val="en-US" w:eastAsia="zh-CN"/>
        </w:rPr>
        <w:t>3rd</w:t>
      </w:r>
      <w:r>
        <w:rPr>
          <w:rFonts w:hint="eastAsia" w:ascii="Arial" w:hAnsi="Arial"/>
          <w:b/>
          <w:sz w:val="24"/>
        </w:rPr>
        <w:t xml:space="preserve"> </w:t>
      </w:r>
      <w:r>
        <w:rPr>
          <w:rFonts w:hint="eastAsia" w:ascii="Arial" w:hAnsi="Arial" w:eastAsia="宋体"/>
          <w:b/>
          <w:sz w:val="24"/>
          <w:lang w:val="en-US" w:eastAsia="zh-CN"/>
        </w:rPr>
        <w:t xml:space="preserve">May </w:t>
      </w:r>
      <w:r>
        <w:rPr>
          <w:rFonts w:hint="eastAsia" w:ascii="Arial" w:hAnsi="Arial"/>
          <w:b/>
          <w:sz w:val="24"/>
        </w:rPr>
        <w:t>2023</w:t>
      </w: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[iRTCW] Add the reference for video format conversion</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4.4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255"/>
          <w:numId w:val="0"/>
        </w:numPr>
        <w:rPr>
          <w:rFonts w:ascii="Times New Roman" w:hAnsi="Times New Roman"/>
          <w:b w:val="0"/>
          <w:bCs/>
          <w:sz w:val="28"/>
          <w:szCs w:val="28"/>
        </w:rPr>
      </w:pPr>
    </w:p>
    <w:p>
      <w:pPr>
        <w:pStyle w:val="2"/>
        <w:numPr>
          <w:ilvl w:val="0"/>
          <w:numId w:val="1"/>
        </w:numPr>
        <w:rPr>
          <w:rFonts w:ascii="Times New Roman" w:hAnsi="Times New Roman"/>
          <w:b w:val="0"/>
          <w:bCs/>
          <w:sz w:val="28"/>
          <w:szCs w:val="28"/>
        </w:rPr>
      </w:pPr>
      <w:r>
        <w:rPr>
          <w:rFonts w:ascii="Times New Roman" w:hAnsi="Times New Roman"/>
          <w:b w:val="0"/>
          <w:bCs/>
          <w:sz w:val="28"/>
          <w:szCs w:val="28"/>
        </w:rPr>
        <w:t>Introduction</w:t>
      </w:r>
    </w:p>
    <w:p>
      <w:pPr>
        <w:rPr>
          <w:rFonts w:hint="default" w:eastAsia="宋体"/>
          <w:lang w:val="en-US" w:eastAsia="zh-CN"/>
        </w:rPr>
      </w:pPr>
      <w:r>
        <w:rPr>
          <w:rFonts w:hint="eastAsia" w:eastAsia="宋体"/>
          <w:lang w:val="en-US" w:eastAsia="zh-CN"/>
        </w:rPr>
        <w:t>During the SA4 RTC SWG Telco #10 meeting on March 29, 2023, it was agreed to reference the ongoing work in MeCAR for the content of 5.2.3.6.2 "Video format conversion". Additionally, d</w:t>
      </w:r>
      <w:r>
        <w:t>uring SA4#1</w:t>
      </w:r>
      <w:r>
        <w:rPr>
          <w:rFonts w:hint="eastAsia" w:eastAsia="宋体"/>
          <w:lang w:val="en-US" w:eastAsia="zh-CN"/>
        </w:rPr>
        <w:t>23-</w:t>
      </w:r>
      <w:r>
        <w:t>e</w:t>
      </w:r>
      <w:r>
        <w:rPr>
          <w:rFonts w:hint="eastAsia" w:eastAsia="宋体"/>
          <w:lang w:val="en-US" w:eastAsia="zh-CN"/>
        </w:rPr>
        <w:t>,</w:t>
      </w:r>
      <w:r>
        <w:t xml:space="preserve"> the</w:t>
      </w:r>
      <w:r>
        <w:rPr>
          <w:rFonts w:hint="eastAsia" w:eastAsia="宋体"/>
          <w:lang w:val="en-US" w:eastAsia="zh-CN"/>
        </w:rPr>
        <w:t xml:space="preserve"> relevant content </w:t>
      </w:r>
      <w:r>
        <w:t>was</w:t>
      </w:r>
      <w:r>
        <w:rPr>
          <w:rFonts w:hint="eastAsia" w:eastAsia="宋体"/>
          <w:lang w:val="en-US" w:eastAsia="zh-CN"/>
        </w:rPr>
        <w:t xml:space="preserve"> a</w:t>
      </w:r>
      <w:r>
        <w:t xml:space="preserve">greed in </w:t>
      </w:r>
      <w:r>
        <w:fldChar w:fldCharType="begin"/>
      </w:r>
      <w:r>
        <w:instrText xml:space="preserve"> HYPERLINK "https://www.3gpp.org/ftp/TSG_SA/WG4_CODEC/TSGS4_118-e/Docs/S4-220513.zip" </w:instrText>
      </w:r>
      <w:r>
        <w:fldChar w:fldCharType="separate"/>
      </w:r>
      <w:r>
        <w:rPr>
          <w:rStyle w:val="7"/>
        </w:rPr>
        <w:t>S4-</w:t>
      </w:r>
      <w:r>
        <w:rPr>
          <w:rStyle w:val="7"/>
          <w:rFonts w:hint="eastAsia" w:eastAsia="宋体"/>
          <w:lang w:val="en-US" w:eastAsia="zh-CN"/>
        </w:rPr>
        <w:t>230707</w:t>
      </w:r>
      <w:r>
        <w:fldChar w:fldCharType="end"/>
      </w:r>
      <w:r>
        <w:rPr>
          <w:rFonts w:hint="eastAsia" w:eastAsia="宋体"/>
          <w:lang w:val="en-US" w:eastAsia="zh-CN"/>
        </w:rPr>
        <w:t xml:space="preserve"> and added to MeCAR Permanent Document v7.0.0.</w:t>
      </w:r>
    </w:p>
    <w:p>
      <w:pPr>
        <w:rPr>
          <w:rFonts w:hint="eastAsia" w:eastAsia="宋体"/>
          <w:lang w:val="en-US" w:eastAsia="zh-CN"/>
        </w:rPr>
      </w:pPr>
    </w:p>
    <w:p>
      <w:pPr>
        <w:rPr>
          <w:rFonts w:hint="eastAsia" w:ascii="Times New Roman" w:hAnsi="Times New Roman" w:eastAsia="宋体"/>
          <w:b w:val="0"/>
          <w:bCs/>
          <w:sz w:val="28"/>
          <w:szCs w:val="28"/>
          <w:lang w:val="en-US" w:eastAsia="zh-CN"/>
        </w:rPr>
      </w:pPr>
      <w:r>
        <w:rPr>
          <w:rFonts w:hint="eastAsia" w:ascii="Times New Roman" w:hAnsi="Times New Roman" w:eastAsia="宋体"/>
          <w:b w:val="0"/>
          <w:bCs/>
          <w:sz w:val="28"/>
          <w:szCs w:val="28"/>
          <w:lang w:val="en-US" w:eastAsia="zh-CN"/>
        </w:rPr>
        <w:t>6.10.1</w:t>
      </w:r>
      <w:r>
        <w:rPr>
          <w:rFonts w:hint="eastAsia" w:ascii="Times New Roman" w:hAnsi="Times New Roman" w:eastAsia="宋体"/>
          <w:b w:val="0"/>
          <w:bCs/>
          <w:sz w:val="28"/>
          <w:szCs w:val="28"/>
          <w:lang w:val="en-US" w:eastAsia="zh-CN"/>
        </w:rPr>
        <w:tab/>
      </w:r>
      <w:r>
        <w:rPr>
          <w:rFonts w:hint="eastAsia" w:ascii="Times New Roman" w:hAnsi="Times New Roman" w:eastAsia="宋体"/>
          <w:b w:val="0"/>
          <w:bCs/>
          <w:sz w:val="28"/>
          <w:szCs w:val="28"/>
          <w:lang w:val="en-US" w:eastAsia="zh-CN"/>
        </w:rPr>
        <w:t>Color conversion module</w:t>
      </w:r>
    </w:p>
    <w:p>
      <w:pPr>
        <w:rPr>
          <w:rFonts w:hint="eastAsia" w:ascii="Times New Roman" w:hAnsi="Times New Roman" w:eastAsia="宋体"/>
          <w:b w:val="0"/>
          <w:bCs/>
          <w:sz w:val="28"/>
          <w:szCs w:val="28"/>
          <w:lang w:val="en-US" w:eastAsia="zh-CN"/>
        </w:rPr>
      </w:pPr>
    </w:p>
    <w:p>
      <w:pPr>
        <w:rPr>
          <w:rFonts w:eastAsia="宋体"/>
          <w:lang w:val="en-US" w:eastAsia="zh-CN"/>
        </w:rPr>
      </w:pPr>
      <w:r>
        <w:rPr>
          <w:rFonts w:hint="eastAsia" w:eastAsia="宋体"/>
          <w:lang w:val="en-US" w:eastAsia="zh-CN"/>
        </w:rPr>
        <w:t xml:space="preserve">Colour Conversion is needed for various use cases. One such example is for Raster-based split rendering defined in TR 26.928 clause 6.2.5, colours for the frame buffers are typically RGB but may be converted </w:t>
      </w:r>
      <w:r>
        <w:rPr>
          <w:rFonts w:eastAsia="宋体"/>
          <w:lang w:val="en-US" w:eastAsia="zh-CN"/>
        </w:rPr>
        <w:t>from</w:t>
      </w:r>
      <w:r>
        <w:rPr>
          <w:rFonts w:hint="eastAsia" w:eastAsia="宋体"/>
          <w:lang w:val="en-US" w:eastAsia="zh-CN"/>
        </w:rPr>
        <w:t xml:space="preserve"> YUV</w:t>
      </w:r>
      <w:r>
        <w:rPr>
          <w:rFonts w:eastAsia="宋体"/>
          <w:lang w:val="en-US" w:eastAsia="zh-CN"/>
        </w:rPr>
        <w:t>, as YUV is typically used in video compression standards</w:t>
      </w:r>
      <w:r>
        <w:rPr>
          <w:rFonts w:hint="eastAsia" w:eastAsia="宋体"/>
          <w:lang w:val="en-US" w:eastAsia="zh-CN"/>
        </w:rPr>
        <w:t xml:space="preserve">. </w:t>
      </w:r>
    </w:p>
    <w:p>
      <w:pPr>
        <w:rPr>
          <w:rFonts w:eastAsia="宋体"/>
          <w:lang w:val="en-US" w:eastAsia="zh-CN"/>
        </w:rPr>
      </w:pPr>
    </w:p>
    <w:p>
      <w:pPr>
        <w:rPr>
          <w:rFonts w:eastAsia="宋体"/>
          <w:lang w:val="en-US" w:eastAsia="zh-CN"/>
        </w:rPr>
      </w:pPr>
      <w:r>
        <w:rPr>
          <w:rFonts w:hint="eastAsia" w:eastAsia="宋体"/>
          <w:lang w:val="en-US" w:eastAsia="zh-CN"/>
        </w:rPr>
        <w:t xml:space="preserve">Another example is for </w:t>
      </w:r>
      <w:r>
        <w:rPr>
          <w:rFonts w:eastAsia="宋体"/>
          <w:i/>
          <w:iCs/>
          <w:lang w:val="en-US" w:eastAsia="zh-CN"/>
        </w:rPr>
        <w:t>Device design type 4</w:t>
      </w:r>
      <w:r>
        <w:rPr>
          <w:rFonts w:hint="eastAsia" w:eastAsia="宋体"/>
          <w:lang w:val="en-US" w:eastAsia="zh-CN"/>
        </w:rPr>
        <w:t>, some encoders may not be directly on RGBA, the extended colour conversion module in combination with available acceleration frameworks (e.g., NDK) may also be needed.</w:t>
      </w:r>
    </w:p>
    <w:p>
      <w:pPr>
        <w:rPr>
          <w:rFonts w:eastAsia="宋体"/>
          <w:lang w:val="en-US" w:eastAsia="zh-CN"/>
        </w:rPr>
      </w:pPr>
    </w:p>
    <w:p>
      <w:pPr>
        <w:rPr>
          <w:rFonts w:eastAsia="宋体"/>
          <w:lang w:val="en-US" w:eastAsia="zh-CN"/>
        </w:rPr>
      </w:pPr>
      <w:r>
        <w:rPr>
          <w:rFonts w:eastAsia="宋体"/>
          <w:lang w:val="en-US" w:eastAsia="zh-CN"/>
        </w:rPr>
        <w:t xml:space="preserve">These conversion may require certain resources and should be include as part of the media capabilities of a MeCAR device. </w:t>
      </w:r>
    </w:p>
    <w:p>
      <w:pPr>
        <w:rPr>
          <w:rFonts w:eastAsia="宋体"/>
          <w:lang w:val="en-US" w:eastAsia="zh-CN"/>
        </w:rPr>
      </w:pPr>
    </w:p>
    <w:p>
      <w:pPr>
        <w:numPr>
          <w:ilvl w:val="255"/>
          <w:numId w:val="0"/>
        </w:numPr>
        <w:rPr>
          <w:rFonts w:eastAsia="宋体"/>
          <w:lang w:val="en-US" w:eastAsia="zh-CN"/>
        </w:rPr>
      </w:pPr>
      <w:r>
        <w:rPr>
          <w:rFonts w:hint="eastAsia" w:eastAsia="宋体"/>
          <w:lang w:val="en-US" w:eastAsia="zh-CN"/>
        </w:rPr>
        <w:t>YUV, which stands for luma (Y') and chroma (U, V), can be further subdivided into various planar and storage formats such as YUV I420, YUV420sp (NV12), YUV420sp (NV21) and others. A generic YUV format, capable of describing any 4:2:0 chroma subsampled planar or semi planar buffer (but not fully interleaved), is an 8 bits per colour sample. The conversion between RGB and YUV color spaces can be carried out based on the conversion formulas defined in BT.601, BT.709, and BT.2020 in order to calculate each Y, U, V values, and the alpha_channel can be support as additional transparency information.</w:t>
      </w:r>
    </w:p>
    <w:p>
      <w:pPr>
        <w:numPr>
          <w:ilvl w:val="255"/>
          <w:numId w:val="0"/>
        </w:numPr>
        <w:rPr>
          <w:rFonts w:eastAsia="宋体"/>
          <w:lang w:val="en-US" w:eastAsia="zh-CN"/>
        </w:rPr>
      </w:pPr>
    </w:p>
    <w:p>
      <w:pPr>
        <w:numPr>
          <w:ilvl w:val="255"/>
          <w:numId w:val="0"/>
        </w:numPr>
        <w:rPr>
          <w:rFonts w:eastAsia="宋体"/>
          <w:lang w:val="en-US" w:eastAsia="zh-CN"/>
        </w:rPr>
      </w:pPr>
      <w:r>
        <w:rPr>
          <w:rFonts w:eastAsia="宋体"/>
          <w:lang w:val="en-US" w:eastAsia="zh-CN"/>
        </w:rPr>
        <w:t>The conversion needs to be done such that it is compatible with the runtime rendering formats, typically R8G8B8A8.</w:t>
      </w:r>
    </w:p>
    <w:p>
      <w:pPr>
        <w:rPr>
          <w:lang w:val="en-US" w:eastAsia="zh-CN"/>
        </w:rPr>
      </w:pPr>
    </w:p>
    <w:p>
      <w:pPr>
        <w:pStyle w:val="3"/>
        <w:ind w:left="0" w:firstLine="0"/>
        <w:rPr>
          <w:rFonts w:ascii="Times New Roman" w:hAnsi="Times New Roman" w:eastAsia="宋体"/>
          <w:b w:val="0"/>
          <w:sz w:val="20"/>
          <w:lang w:val="en-US" w:eastAsia="zh-CN"/>
        </w:rPr>
      </w:pPr>
      <w:r>
        <w:rPr>
          <w:rFonts w:ascii="Times New Roman" w:hAnsi="Times New Roman" w:eastAsia="宋体"/>
          <w:b w:val="0"/>
          <w:sz w:val="20"/>
          <w:lang w:val="en-US" w:eastAsia="zh-CN"/>
        </w:rPr>
        <w:t>An example of color conversion procedures for</w:t>
      </w:r>
      <w:r>
        <w:rPr>
          <w:rFonts w:hint="eastAsia" w:ascii="Times New Roman" w:hAnsi="Times New Roman" w:eastAsia="宋体"/>
          <w:b w:val="0"/>
          <w:sz w:val="20"/>
          <w:lang w:val="en-US" w:eastAsia="zh-CN"/>
        </w:rPr>
        <w:t xml:space="preserve"> </w:t>
      </w:r>
      <w:r>
        <w:rPr>
          <w:rFonts w:ascii="Times New Roman" w:hAnsi="Times New Roman" w:eastAsia="宋体"/>
          <w:b w:val="0"/>
          <w:i/>
          <w:iCs/>
          <w:sz w:val="20"/>
          <w:lang w:val="en-US" w:eastAsia="zh-CN"/>
        </w:rPr>
        <w:t>Device design type 4</w:t>
      </w:r>
      <w:r>
        <w:rPr>
          <w:rFonts w:hint="eastAsia" w:ascii="Times New Roman" w:hAnsi="Times New Roman" w:eastAsia="宋体"/>
          <w:b w:val="0"/>
          <w:i/>
          <w:iCs/>
          <w:sz w:val="20"/>
          <w:lang w:val="en-US" w:eastAsia="zh-CN"/>
        </w:rPr>
        <w:t xml:space="preserve"> </w:t>
      </w:r>
      <w:r>
        <w:rPr>
          <w:rFonts w:ascii="Times New Roman" w:hAnsi="Times New Roman" w:eastAsia="宋体"/>
          <w:b w:val="0"/>
          <w:sz w:val="20"/>
          <w:lang w:val="en-US" w:eastAsia="zh-CN"/>
        </w:rPr>
        <w:t xml:space="preserve">descriptions as follows: </w:t>
      </w:r>
    </w:p>
    <w:p>
      <w:pPr>
        <w:numPr>
          <w:ilvl w:val="0"/>
          <w:numId w:val="2"/>
        </w:numPr>
        <w:rPr>
          <w:rFonts w:eastAsia="宋体"/>
          <w:lang w:val="en-US" w:eastAsia="zh-CN"/>
        </w:rPr>
      </w:pPr>
      <w:r>
        <w:rPr>
          <w:rFonts w:hint="eastAsia" w:eastAsia="宋体"/>
          <w:lang w:val="en-US" w:eastAsia="zh-CN"/>
        </w:rPr>
        <w:t>The XR Application sends the rendered frame to the color conversion module.</w:t>
      </w:r>
    </w:p>
    <w:p>
      <w:pPr>
        <w:numPr>
          <w:ilvl w:val="0"/>
          <w:numId w:val="2"/>
        </w:numPr>
        <w:rPr>
          <w:rFonts w:eastAsia="宋体"/>
          <w:lang w:val="en-US" w:eastAsia="zh-CN"/>
        </w:rPr>
      </w:pPr>
      <w:r>
        <w:rPr>
          <w:rFonts w:hint="eastAsia" w:eastAsia="宋体"/>
          <w:lang w:val="en-US" w:eastAsia="zh-CN"/>
        </w:rPr>
        <w:t>The color conversion module gets the pixel data of the rendered frame by copying it into a provide bitmap.</w:t>
      </w:r>
    </w:p>
    <w:p>
      <w:pPr>
        <w:numPr>
          <w:ilvl w:val="0"/>
          <w:numId w:val="2"/>
        </w:numPr>
        <w:rPr>
          <w:rFonts w:eastAsia="宋体"/>
          <w:lang w:val="en-US" w:eastAsia="zh-CN"/>
        </w:rPr>
      </w:pPr>
      <w:r>
        <w:rPr>
          <w:rFonts w:hint="eastAsia" w:eastAsia="宋体"/>
          <w:lang w:val="en-US" w:eastAsia="zh-CN"/>
        </w:rPr>
        <w:t xml:space="preserve">The color conversion module uses the RGB to YUV conversion formula to convert the R, G, B value into the Y, U, V value. The alpha_channel value is set to be 0 as a typical LCD screen of current smartphone devices, used as an optical transmitter, is based on a RGB_888 color space system. </w:t>
      </w:r>
    </w:p>
    <w:p>
      <w:pPr>
        <w:numPr>
          <w:ilvl w:val="0"/>
          <w:numId w:val="2"/>
        </w:numPr>
        <w:rPr>
          <w:rFonts w:eastAsia="宋体"/>
          <w:lang w:val="en-US" w:eastAsia="zh-CN"/>
        </w:rPr>
      </w:pPr>
      <w:r>
        <w:rPr>
          <w:rFonts w:hint="eastAsia" w:eastAsia="宋体"/>
          <w:lang w:val="en-US" w:eastAsia="zh-CN"/>
        </w:rPr>
        <w:t>Finally, the color conversion module follows the YUV storage format to store the Y, U, V values..</w:t>
      </w:r>
    </w:p>
    <w:p>
      <w:pPr>
        <w:rPr>
          <w:sz w:val="16"/>
          <w:szCs w:val="16"/>
          <w:lang w:val="en-US" w:eastAsia="zh-CN"/>
        </w:rPr>
      </w:pPr>
    </w:p>
    <w:p>
      <w:pPr>
        <w:rPr>
          <w:rFonts w:eastAsia="宋体"/>
          <w:lang w:val="en-US" w:eastAsia="zh-CN"/>
        </w:rPr>
      </w:pPr>
    </w:p>
    <w:p>
      <w:pPr>
        <w:pStyle w:val="2"/>
        <w:numPr>
          <w:ilvl w:val="0"/>
          <w:numId w:val="1"/>
        </w:numPr>
        <w:rPr>
          <w:rFonts w:ascii="Times New Roman" w:hAnsi="Times New Roman"/>
          <w:b w:val="0"/>
          <w:bCs/>
          <w:sz w:val="28"/>
          <w:szCs w:val="28"/>
        </w:rPr>
      </w:pPr>
      <w:r>
        <w:rPr>
          <w:rFonts w:hint="eastAsia" w:ascii="Times New Roman" w:hAnsi="Times New Roman" w:eastAsia="宋体"/>
          <w:b w:val="0"/>
          <w:bCs/>
          <w:sz w:val="28"/>
          <w:szCs w:val="28"/>
          <w:lang w:val="en-US" w:eastAsia="zh-CN"/>
        </w:rPr>
        <w:t>Proposal</w:t>
      </w:r>
    </w:p>
    <w:p>
      <w:pPr>
        <w:rPr>
          <w:rFonts w:hint="default" w:eastAsia="宋体"/>
          <w:lang w:val="en-US" w:eastAsia="zh-CN"/>
        </w:rPr>
      </w:pPr>
      <w:r>
        <w:rPr>
          <w:lang w:val="en-US"/>
        </w:rPr>
        <w:t>We propose to</w:t>
      </w:r>
      <w:r>
        <w:rPr>
          <w:rFonts w:hint="eastAsia" w:eastAsia="宋体"/>
          <w:lang w:val="en-US" w:eastAsia="zh-CN"/>
        </w:rPr>
        <w:t xml:space="preserve"> include the following statement in clause 5.2.3.6.2 of the permanent document: </w:t>
      </w:r>
      <w:r>
        <w:rPr>
          <w:rFonts w:hint="default" w:eastAsia="宋体"/>
          <w:lang w:val="en-US" w:eastAsia="zh-CN"/>
        </w:rPr>
        <w:t>“</w:t>
      </w:r>
      <w:r>
        <w:rPr>
          <w:rFonts w:hint="eastAsia" w:eastAsia="宋体"/>
          <w:lang w:val="en-US" w:eastAsia="zh-CN"/>
        </w:rPr>
        <w:t>The procedure for video format conversion may refer to 6.10.1 Color conversion module of the MeCAR Permanent Document.</w:t>
      </w:r>
      <w:r>
        <w:rPr>
          <w:rFonts w:hint="default" w:eastAsia="宋体"/>
          <w:lang w:val="en-US" w:eastAsia="zh-CN"/>
        </w:rPr>
        <w:t>”</w:t>
      </w:r>
    </w:p>
    <w:p>
      <w:pPr>
        <w:rPr>
          <w:rFonts w:eastAsia="宋体"/>
          <w:lang w:val="en-US" w:eastAsia="zh-CN"/>
        </w:rPr>
      </w:pPr>
    </w:p>
    <w:p>
      <w:pPr>
        <w:pStyle w:val="2"/>
        <w:numPr>
          <w:ilvl w:val="0"/>
          <w:numId w:val="1"/>
        </w:numPr>
        <w:rPr>
          <w:rFonts w:ascii="Times New Roman" w:hAnsi="Times New Roman"/>
          <w:b w:val="0"/>
          <w:bCs/>
          <w:sz w:val="28"/>
          <w:szCs w:val="28"/>
        </w:rPr>
      </w:pPr>
      <w:r>
        <w:rPr>
          <w:rFonts w:hint="eastAsia" w:ascii="Times New Roman" w:hAnsi="Times New Roman" w:eastAsia="宋体"/>
          <w:b w:val="0"/>
          <w:bCs/>
          <w:sz w:val="28"/>
          <w:szCs w:val="28"/>
          <w:lang w:val="en-US" w:eastAsia="zh-CN"/>
        </w:rPr>
        <w:t>References</w:t>
      </w:r>
    </w:p>
    <w:p>
      <w:pPr>
        <w:numPr>
          <w:ilvl w:val="0"/>
          <w:numId w:val="3"/>
        </w:numPr>
      </w:pPr>
      <w:r>
        <w:rPr>
          <w:rFonts w:hint="eastAsia" w:ascii="Arial" w:hAnsi="Arial" w:cs="Arial"/>
        </w:rPr>
        <w:t>3GPP TSG SA WG4 S4-230738, “MeCAR Permanent Document v</w:t>
      </w:r>
      <w:r>
        <w:rPr>
          <w:rFonts w:hint="eastAsia" w:ascii="Arial" w:hAnsi="Arial" w:eastAsia="宋体" w:cs="Arial"/>
          <w:lang w:val="en-US" w:eastAsia="zh-CN"/>
        </w:rPr>
        <w:t>7</w:t>
      </w:r>
      <w:r>
        <w:rPr>
          <w:rFonts w:hint="eastAsia" w:ascii="Arial" w:hAnsi="Arial" w:cs="Arial"/>
        </w:rPr>
        <w:t xml:space="preserve">.0.0”, </w:t>
      </w:r>
      <w:r>
        <w:rPr>
          <w:rFonts w:hint="eastAsia" w:ascii="Arial" w:hAnsi="Arial" w:eastAsia="宋体" w:cs="Arial"/>
          <w:lang w:val="en-US" w:eastAsia="zh-CN"/>
        </w:rPr>
        <w:t>April</w:t>
      </w:r>
      <w:r>
        <w:rPr>
          <w:rFonts w:hint="eastAsia" w:ascii="Arial" w:hAnsi="Arial" w:cs="Arial"/>
        </w:rPr>
        <w:t xml:space="preserve"> 2023.</w:t>
      </w:r>
    </w:p>
    <w:sectPr>
      <w:pgSz w:w="11907" w:h="16840"/>
      <w:pgMar w:top="1134" w:right="1021" w:bottom="1287" w:left="1021" w:header="720" w:footer="578" w:gutter="0"/>
      <w:lnNumType w:countBy="1"/>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E1654"/>
    <w:multiLevelType w:val="singleLevel"/>
    <w:tmpl w:val="18BE1654"/>
    <w:lvl w:ilvl="0" w:tentative="0">
      <w:start w:val="1"/>
      <w:numFmt w:val="decimal"/>
      <w:lvlText w:val="(%1)"/>
      <w:lvlJc w:val="left"/>
      <w:pPr>
        <w:ind w:left="425" w:hanging="425"/>
      </w:pPr>
      <w:rPr>
        <w:rFonts w:hint="default"/>
      </w:rPr>
    </w:lvl>
  </w:abstractNum>
  <w:abstractNum w:abstractNumId="1">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4CB52F14"/>
    <w:multiLevelType w:val="multilevel"/>
    <w:tmpl w:val="4CB52F14"/>
    <w:lvl w:ilvl="0" w:tentative="0">
      <w:start w:val="1"/>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44BE0"/>
    <w:rsid w:val="011272B7"/>
    <w:rsid w:val="1ACA2D9C"/>
    <w:rsid w:val="21AA26FB"/>
    <w:rsid w:val="3A4350D7"/>
    <w:rsid w:val="424B30F4"/>
    <w:rsid w:val="44662C7A"/>
    <w:rsid w:val="57644BE0"/>
    <w:rsid w:val="5F532348"/>
    <w:rsid w:val="6A687237"/>
    <w:rsid w:val="6E4C2E04"/>
    <w:rsid w:val="6EBD5D5E"/>
    <w:rsid w:val="70F55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character" w:styleId="7">
    <w:name w:val="Hyperlink"/>
    <w:qFormat/>
    <w:uiPriority w:val="99"/>
    <w:rPr>
      <w:color w:val="0000FF"/>
      <w:u w:val="single"/>
    </w:rPr>
  </w:style>
  <w:style w:type="character" w:styleId="8">
    <w:name w:val="annotation reference"/>
    <w:basedOn w:val="6"/>
    <w:qFormat/>
    <w:uiPriority w:val="0"/>
    <w:rPr>
      <w:sz w:val="16"/>
      <w:szCs w:val="16"/>
    </w:rPr>
  </w:style>
  <w:style w:type="paragraph" w:customStyle="1" w:styleId="9">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8</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2023-04-21T01:02:00Z</dcterms:created>
  <dc:creator>cmcc</dc:creator>
  <cp:lastModifiedBy>cmcc</cp:lastModifiedBy>
  <dcterms:modified xsi:type="dcterms:W3CDTF">2023-04-30T13:31:13Z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7B5387B3BE554392B6B8898030F1A64F</vt:lpwstr>
  </property>
</Properties>
</file>