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E76615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AE2380">
        <w:rPr>
          <w:rFonts w:ascii="Arial" w:hAnsi="Arial" w:cs="Arial"/>
          <w:szCs w:val="24"/>
          <w:lang w:val="pt-BR" w:eastAsia="ja-JP"/>
        </w:rPr>
        <w:t>2.3</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F0630A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AE2380">
        <w:rPr>
          <w:rFonts w:ascii="Arial" w:hAnsi="Arial" w:cs="Arial"/>
          <w:b/>
          <w:szCs w:val="24"/>
          <w:lang w:val="en-US" w:eastAsia="ja-JP"/>
        </w:rPr>
        <w:t>[SR_MSE] Negotiating and Describing a Split Rendering Session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1BF16015" w:rsidR="00C112DE" w:rsidRDefault="00C112DE" w:rsidP="007D1D47">
      <w:pPr>
        <w:pStyle w:val="Heading1"/>
        <w:numPr>
          <w:ilvl w:val="0"/>
          <w:numId w:val="3"/>
        </w:numPr>
      </w:pPr>
      <w:bookmarkStart w:id="0" w:name="_Toc504713888"/>
      <w:r w:rsidRPr="00C112DE">
        <w:t>Introduction</w:t>
      </w:r>
    </w:p>
    <w:p w14:paraId="15FFD8F4" w14:textId="310D463D" w:rsidR="002C561C" w:rsidRDefault="0080708A" w:rsidP="002C561C">
      <w:pPr>
        <w:rPr>
          <w:lang w:val="en-US"/>
        </w:rPr>
      </w:pPr>
      <w:r>
        <w:rPr>
          <w:lang w:val="en-US"/>
        </w:rPr>
        <w:t xml:space="preserve">Upon discovering the Split Rendering AS (SRAS) instance that will serve the application, the Split Rendering Client (SRC) will need to negotiate the parameters of the split rendering session with the SRAS. </w:t>
      </w:r>
    </w:p>
    <w:p w14:paraId="654C6C4C" w14:textId="200B414C" w:rsidR="0080708A" w:rsidRPr="002C561C" w:rsidRDefault="0080708A" w:rsidP="002C561C">
      <w:pPr>
        <w:rPr>
          <w:lang w:val="en-US"/>
        </w:rPr>
      </w:pPr>
      <w:r>
        <w:rPr>
          <w:lang w:val="en-US"/>
        </w:rPr>
        <w:t xml:space="preserve">In this contribution, we present a solution for the negotiation and configuration of a split rendering session. </w:t>
      </w:r>
      <w:r w:rsidR="00BE2258">
        <w:rPr>
          <w:lang w:val="en-US"/>
        </w:rPr>
        <w:t>The solution is designed in a way to support the wide spectrum of split rendering configurations.</w:t>
      </w:r>
    </w:p>
    <w:bookmarkEnd w:id="0"/>
    <w:p w14:paraId="2245E2A1" w14:textId="6A2109DE" w:rsidR="009162C5" w:rsidRDefault="00BE2258" w:rsidP="00CD5384">
      <w:pPr>
        <w:pStyle w:val="Heading1"/>
        <w:numPr>
          <w:ilvl w:val="0"/>
          <w:numId w:val="3"/>
        </w:numPr>
      </w:pPr>
      <w:r>
        <w:t>Split Rendering Negotiation and Configuration</w:t>
      </w:r>
    </w:p>
    <w:p w14:paraId="7A3CF3FF" w14:textId="3A52B578" w:rsidR="009C2F7D" w:rsidRDefault="00C16935" w:rsidP="00C16935">
      <w:pPr>
        <w:pStyle w:val="Heading2"/>
        <w:numPr>
          <w:ilvl w:val="0"/>
          <w:numId w:val="0"/>
        </w:numPr>
        <w:ind w:left="576" w:hanging="576"/>
      </w:pPr>
      <w:r>
        <w:t xml:space="preserve">2.1 </w:t>
      </w:r>
      <w:r>
        <w:tab/>
      </w:r>
      <w:r w:rsidR="00BE2258">
        <w:t>Procedure</w:t>
      </w:r>
    </w:p>
    <w:p w14:paraId="120885F4" w14:textId="12FDB96C" w:rsidR="00BE2258" w:rsidRDefault="00BE2258" w:rsidP="00BE2258">
      <w:pPr>
        <w:rPr>
          <w:lang w:val="en-US"/>
        </w:rPr>
      </w:pPr>
      <w:r>
        <w:rPr>
          <w:lang w:val="en-US"/>
        </w:rPr>
        <w:t>The following flow chart diagram depicts the split rendering setup procedure:</w:t>
      </w:r>
    </w:p>
    <w:p w14:paraId="2ABF2A38" w14:textId="7229BF37" w:rsidR="00BE2258" w:rsidRDefault="00F47A9D" w:rsidP="00BE2258">
      <w:pPr>
        <w:rPr>
          <w:lang w:val="en-US"/>
        </w:rPr>
      </w:pPr>
      <w:r>
        <w:rPr>
          <w:lang w:val="en-US"/>
        </w:rPr>
        <w:object w:dxaOrig="8160" w:dyaOrig="3510" w14:anchorId="1EA30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07.85pt;height:175.65pt" o:ole="">
            <v:imagedata r:id="rId11" o:title=""/>
          </v:shape>
          <o:OLEObject Type="Embed" ProgID="Mscgen.Chart" ShapeID="_x0000_i1032" DrawAspect="Content" ObjectID="_1733082662" r:id="rId12"/>
        </w:object>
      </w:r>
    </w:p>
    <w:p w14:paraId="308BD0DD" w14:textId="49B7517C" w:rsidR="00936531" w:rsidRDefault="00F47A9D" w:rsidP="00BE2258">
      <w:pPr>
        <w:rPr>
          <w:lang w:val="en-US"/>
        </w:rPr>
      </w:pPr>
      <w:r>
        <w:rPr>
          <w:lang w:val="en-US"/>
        </w:rPr>
        <w:t>The steps are detailed in the following list:</w:t>
      </w:r>
    </w:p>
    <w:p w14:paraId="18BDD3CC" w14:textId="41CD7BB7" w:rsidR="00F47A9D" w:rsidRDefault="00F47A9D" w:rsidP="00F47A9D">
      <w:pPr>
        <w:numPr>
          <w:ilvl w:val="0"/>
          <w:numId w:val="20"/>
        </w:numPr>
        <w:rPr>
          <w:lang w:val="en-US"/>
        </w:rPr>
      </w:pPr>
      <w:r>
        <w:rPr>
          <w:lang w:val="en-US"/>
        </w:rPr>
        <w:t xml:space="preserve">The SRC sends a request to the SRAS that includes its rendering capabilities and the XR configuration. The rendering capabilities may </w:t>
      </w:r>
      <w:proofErr w:type="gramStart"/>
      <w:r>
        <w:rPr>
          <w:lang w:val="en-US"/>
        </w:rPr>
        <w:t>include:</w:t>
      </w:r>
      <w:proofErr w:type="gramEnd"/>
      <w:r>
        <w:rPr>
          <w:lang w:val="en-US"/>
        </w:rPr>
        <w:t xml:space="preserve"> supported rendering pipelines, e.g. rasterization or ray tracing, texture support, scene complexity, A/V decoding capabilities, display capabilities, battery status, etc. The XR configuration should be based on information derived from the XR session configuration, such as: projection layer configuration, </w:t>
      </w:r>
      <w:r w:rsidRPr="00F47A9D">
        <w:rPr>
          <w:lang w:val="en-US"/>
        </w:rPr>
        <w:t>field of view, XR spaces, etc.</w:t>
      </w:r>
    </w:p>
    <w:p w14:paraId="030FFA6B" w14:textId="1FDEB996" w:rsidR="00F47A9D" w:rsidRDefault="00F47A9D" w:rsidP="00F47A9D">
      <w:pPr>
        <w:numPr>
          <w:ilvl w:val="0"/>
          <w:numId w:val="20"/>
        </w:numPr>
        <w:rPr>
          <w:lang w:val="en-US"/>
        </w:rPr>
      </w:pPr>
      <w:r>
        <w:rPr>
          <w:lang w:val="en-US"/>
        </w:rPr>
        <w:lastRenderedPageBreak/>
        <w:t xml:space="preserve">The SRAS </w:t>
      </w:r>
      <w:r w:rsidR="001B655B">
        <w:rPr>
          <w:lang w:val="en-US"/>
        </w:rPr>
        <w:t xml:space="preserve">sets up the split rendering process based on the client capabilities and XR configuration. </w:t>
      </w:r>
    </w:p>
    <w:p w14:paraId="6E7CAA10" w14:textId="252833A0" w:rsidR="00F47A9D" w:rsidRDefault="00F47A9D" w:rsidP="00F47A9D">
      <w:pPr>
        <w:numPr>
          <w:ilvl w:val="0"/>
          <w:numId w:val="20"/>
        </w:numPr>
        <w:rPr>
          <w:lang w:val="en-US"/>
        </w:rPr>
      </w:pPr>
      <w:r>
        <w:rPr>
          <w:lang w:val="en-US"/>
        </w:rPr>
        <w:t>The SRAS sends a description</w:t>
      </w:r>
      <w:r w:rsidR="001B655B">
        <w:rPr>
          <w:lang w:val="en-US"/>
        </w:rPr>
        <w:t xml:space="preserve"> to the SRC that contains a description of the input and output streams. The input streams will include Pose information and user actions. The output streams contain all pre-rendered media streams. The output streams may comply </w:t>
      </w:r>
      <w:proofErr w:type="gramStart"/>
      <w:r w:rsidR="001B655B">
        <w:rPr>
          <w:lang w:val="en-US"/>
        </w:rPr>
        <w:t>to</w:t>
      </w:r>
      <w:proofErr w:type="gramEnd"/>
      <w:r w:rsidR="001B655B">
        <w:rPr>
          <w:lang w:val="en-US"/>
        </w:rPr>
        <w:t xml:space="preserve"> different split rendering profiles. </w:t>
      </w:r>
    </w:p>
    <w:p w14:paraId="12514251" w14:textId="0D6DDCA8" w:rsidR="001B655B" w:rsidRDefault="001B655B" w:rsidP="00F47A9D">
      <w:pPr>
        <w:numPr>
          <w:ilvl w:val="0"/>
          <w:numId w:val="20"/>
        </w:numPr>
        <w:rPr>
          <w:lang w:val="en-US"/>
        </w:rPr>
      </w:pPr>
      <w:r>
        <w:rPr>
          <w:lang w:val="en-US"/>
        </w:rPr>
        <w:t xml:space="preserve">The SRC uses the information in the response to </w:t>
      </w:r>
      <w:proofErr w:type="gramStart"/>
      <w:r>
        <w:rPr>
          <w:lang w:val="en-US"/>
        </w:rPr>
        <w:t>setup</w:t>
      </w:r>
      <w:proofErr w:type="gramEnd"/>
      <w:r>
        <w:rPr>
          <w:lang w:val="en-US"/>
        </w:rPr>
        <w:t xml:space="preserve"> the WebRTC session and any other transport sessions that will be used to deliver the input and output data for the session. </w:t>
      </w:r>
    </w:p>
    <w:p w14:paraId="4AB6BF18" w14:textId="209957AF" w:rsidR="001B655B" w:rsidRPr="00F47A9D" w:rsidRDefault="001B655B" w:rsidP="00F47A9D">
      <w:pPr>
        <w:numPr>
          <w:ilvl w:val="0"/>
          <w:numId w:val="20"/>
        </w:numPr>
        <w:rPr>
          <w:lang w:val="en-US"/>
        </w:rPr>
      </w:pPr>
      <w:r>
        <w:rPr>
          <w:lang w:val="en-US"/>
        </w:rPr>
        <w:t>SRC and SRAS exchange the media and metadata.</w:t>
      </w:r>
    </w:p>
    <w:p w14:paraId="1B41C131" w14:textId="0C8673A7" w:rsidR="009E0423" w:rsidRDefault="00C33B1C" w:rsidP="00C33B1C">
      <w:pPr>
        <w:pStyle w:val="Heading2"/>
        <w:numPr>
          <w:ilvl w:val="0"/>
          <w:numId w:val="0"/>
        </w:numPr>
        <w:ind w:left="576" w:hanging="576"/>
      </w:pPr>
      <w:r>
        <w:t>2.2</w:t>
      </w:r>
      <w:r>
        <w:tab/>
      </w:r>
      <w:r>
        <w:tab/>
        <w:t>Split Rendering</w:t>
      </w:r>
      <w:r w:rsidR="00FC7505">
        <w:t xml:space="preserve"> Setup Formats</w:t>
      </w:r>
    </w:p>
    <w:p w14:paraId="1D0F81BF" w14:textId="409E17AA" w:rsidR="00FC7505" w:rsidRDefault="00FC7505" w:rsidP="00FC7505">
      <w:pPr>
        <w:rPr>
          <w:lang w:val="en-US"/>
        </w:rPr>
      </w:pPr>
      <w:r>
        <w:rPr>
          <w:lang w:val="en-US"/>
        </w:rPr>
        <w:t xml:space="preserve">The initial exchange may be performed through the usage of a RESTful API that is offered by the SRAS instance. The configuration and capabilities should be indicated in JSON format. </w:t>
      </w:r>
    </w:p>
    <w:p w14:paraId="0BFEAC94" w14:textId="4B7404DA" w:rsidR="00FC7505" w:rsidRDefault="00FC7505" w:rsidP="00FC7505">
      <w:pPr>
        <w:rPr>
          <w:lang w:val="en-US"/>
        </w:rPr>
      </w:pPr>
      <w:r>
        <w:rPr>
          <w:lang w:val="en-US"/>
        </w:rPr>
        <w:t xml:space="preserve">The SRAS should describe the output of the Split Rendering process in a format that is flexible enough to be able to support all split rendering configurations. This should cover simplified, pre-baked 3D formats as well as pixel streaming with 2 eye buffers. Ideally, the format should allow adaptive split rendering, </w:t>
      </w:r>
      <w:proofErr w:type="gramStart"/>
      <w:r>
        <w:rPr>
          <w:lang w:val="en-US"/>
        </w:rPr>
        <w:t>i.e.</w:t>
      </w:r>
      <w:proofErr w:type="gramEnd"/>
      <w:r>
        <w:rPr>
          <w:lang w:val="en-US"/>
        </w:rPr>
        <w:t xml:space="preserve"> it should offer different alternatives to the SRC.</w:t>
      </w:r>
    </w:p>
    <w:p w14:paraId="3CEB0972" w14:textId="312C38C6" w:rsidR="00FC7505" w:rsidRPr="00FC7505" w:rsidRDefault="00FC7505" w:rsidP="00FC7505">
      <w:pPr>
        <w:rPr>
          <w:lang w:val="en-US"/>
        </w:rPr>
      </w:pPr>
      <w:r>
        <w:rPr>
          <w:lang w:val="en-US"/>
        </w:rPr>
        <w:t xml:space="preserve">We propose to use a scene description format such as </w:t>
      </w:r>
      <w:proofErr w:type="spellStart"/>
      <w:r>
        <w:rPr>
          <w:lang w:val="en-US"/>
        </w:rPr>
        <w:t>glTF</w:t>
      </w:r>
      <w:proofErr w:type="spellEnd"/>
      <w:r>
        <w:rPr>
          <w:lang w:val="en-US"/>
        </w:rPr>
        <w:t xml:space="preserve"> and MPEG-I scene description for this purpose. The scene description </w:t>
      </w:r>
      <w:r w:rsidR="00A3137D">
        <w:rPr>
          <w:lang w:val="en-US"/>
        </w:rPr>
        <w:t xml:space="preserve">may describe different alternatives for the SRC to </w:t>
      </w:r>
      <w:proofErr w:type="spellStart"/>
      <w:proofErr w:type="gramStart"/>
      <w:r w:rsidR="00A3137D">
        <w:rPr>
          <w:lang w:val="en-US"/>
        </w:rPr>
        <w:t>chose</w:t>
      </w:r>
      <w:proofErr w:type="spellEnd"/>
      <w:proofErr w:type="gramEnd"/>
      <w:r w:rsidR="00A3137D">
        <w:rPr>
          <w:lang w:val="en-US"/>
        </w:rPr>
        <w:t xml:space="preserve"> from. For example, it may describe the 3D format and offer a 2D Pixel Streaming fall back. 3GPP should define any required extensions to </w:t>
      </w:r>
      <w:proofErr w:type="spellStart"/>
      <w:r w:rsidR="00A3137D">
        <w:rPr>
          <w:lang w:val="en-US"/>
        </w:rPr>
        <w:t>glTF</w:t>
      </w:r>
      <w:proofErr w:type="spellEnd"/>
      <w:r w:rsidR="00A3137D">
        <w:rPr>
          <w:lang w:val="en-US"/>
        </w:rPr>
        <w:t xml:space="preserve"> to achieve this goal.</w:t>
      </w:r>
    </w:p>
    <w:p w14:paraId="31DFDB63" w14:textId="77777777" w:rsidR="00583965" w:rsidRDefault="00583965" w:rsidP="00F47A9D">
      <w:pPr>
        <w:pStyle w:val="Heading1"/>
        <w:numPr>
          <w:ilvl w:val="0"/>
          <w:numId w:val="20"/>
        </w:numPr>
      </w:pPr>
      <w:r>
        <w:t>Proposal</w:t>
      </w:r>
    </w:p>
    <w:p w14:paraId="73F02001" w14:textId="50010362" w:rsidR="00F17FCB" w:rsidRDefault="00583965" w:rsidP="00DE5141">
      <w:pPr>
        <w:rPr>
          <w:lang w:val="en-US"/>
        </w:rPr>
      </w:pPr>
      <w:r>
        <w:rPr>
          <w:lang w:val="en-US"/>
        </w:rPr>
        <w:t>We propose to</w:t>
      </w:r>
      <w:r w:rsidR="00DF13C0">
        <w:rPr>
          <w:lang w:val="en-US"/>
        </w:rPr>
        <w:t xml:space="preserve"> </w:t>
      </w:r>
      <w:r w:rsidR="00A3137D">
        <w:rPr>
          <w:lang w:val="en-US"/>
        </w:rPr>
        <w:t>agree the principles stated in section 2 and start working on the SBA interface between the SRC and SRAS and define the formats and format extensions for this purpose</w:t>
      </w:r>
      <w:r w:rsidR="00DE5141">
        <w:rPr>
          <w:lang w:val="en-US"/>
        </w:rPr>
        <w:t>.</w:t>
      </w:r>
    </w:p>
    <w:sectPr w:rsidR="00F17FC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9787F" w14:textId="77777777" w:rsidR="00B54BE1" w:rsidRDefault="00B54BE1">
      <w:r>
        <w:separator/>
      </w:r>
    </w:p>
  </w:endnote>
  <w:endnote w:type="continuationSeparator" w:id="0">
    <w:p w14:paraId="6B158904" w14:textId="77777777" w:rsidR="00B54BE1" w:rsidRDefault="00B5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E8D0" w14:textId="77777777" w:rsidR="00B54BE1" w:rsidRDefault="00B54BE1">
      <w:r>
        <w:separator/>
      </w:r>
    </w:p>
  </w:footnote>
  <w:footnote w:type="continuationSeparator" w:id="0">
    <w:p w14:paraId="2CFBE304" w14:textId="77777777" w:rsidR="00B54BE1" w:rsidRDefault="00B54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02EF7BB"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 xml:space="preserve">Meeting </w:t>
    </w:r>
    <w:r w:rsidR="00AE2380">
      <w:rPr>
        <w:rFonts w:ascii="Arial" w:eastAsia="SimSun" w:hAnsi="Arial" w:cs="Arial"/>
        <w:sz w:val="22"/>
        <w:lang w:val="en-US"/>
      </w:rPr>
      <w:t xml:space="preserve">Post </w:t>
    </w:r>
    <w:r w:rsidR="009F132A">
      <w:rPr>
        <w:rFonts w:ascii="Arial" w:eastAsia="SimSun" w:hAnsi="Arial" w:cs="Arial"/>
        <w:sz w:val="22"/>
        <w:lang w:val="en-US"/>
      </w:rPr>
      <w:t>#1</w:t>
    </w:r>
    <w:r w:rsidR="00E66034">
      <w:rPr>
        <w:rFonts w:ascii="Arial" w:eastAsia="SimSun" w:hAnsi="Arial" w:cs="Arial"/>
        <w:sz w:val="22"/>
        <w:lang w:val="en-US"/>
      </w:rPr>
      <w:t>2</w:t>
    </w:r>
    <w:r w:rsidR="00AE2380">
      <w:rPr>
        <w:rFonts w:ascii="Arial" w:eastAsia="SimSun" w:hAnsi="Arial" w:cs="Arial"/>
        <w:sz w:val="22"/>
        <w:lang w:val="en-US"/>
      </w:rPr>
      <w:t>1 MBS AHG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w:t>
    </w:r>
    <w:r w:rsidR="00AE2380">
      <w:rPr>
        <w:rFonts w:ascii="Arial" w:eastAsia="SimSun" w:hAnsi="Arial" w:cs="Arial"/>
        <w:b/>
        <w:i/>
        <w:sz w:val="28"/>
        <w:szCs w:val="28"/>
      </w:rPr>
      <w:t>aI23011</w:t>
    </w:r>
  </w:p>
  <w:p w14:paraId="07F0C8DC" w14:textId="7AFC18F8" w:rsidR="008075BF" w:rsidRPr="006C359E" w:rsidRDefault="00D402C8"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22</w:t>
    </w:r>
    <w:r>
      <w:rPr>
        <w:rFonts w:ascii="Arial" w:eastAsia="SimSun" w:hAnsi="Arial" w:cs="Arial"/>
        <w:sz w:val="22"/>
        <w:vertAlign w:val="superscript"/>
        <w:lang w:eastAsia="zh-CN"/>
      </w:rPr>
      <w:t>nd</w:t>
    </w:r>
    <w:r w:rsidR="009F132A">
      <w:rPr>
        <w:rFonts w:ascii="Arial" w:eastAsia="SimSun" w:hAnsi="Arial" w:cs="Arial"/>
        <w:sz w:val="22"/>
        <w:lang w:eastAsia="zh-CN"/>
      </w:rPr>
      <w:t xml:space="preserve"> </w:t>
    </w:r>
    <w:r w:rsidR="00AE2380">
      <w:rPr>
        <w:rFonts w:ascii="Arial" w:eastAsia="SimSun" w:hAnsi="Arial" w:cs="Arial"/>
        <w:sz w:val="22"/>
        <w:lang w:eastAsia="zh-CN"/>
      </w:rPr>
      <w:t>December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65F2A52"/>
    <w:multiLevelType w:val="multilevel"/>
    <w:tmpl w:val="6844568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8A3C75"/>
    <w:multiLevelType w:val="hybridMultilevel"/>
    <w:tmpl w:val="12D0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A335A6"/>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6B6E02"/>
    <w:multiLevelType w:val="multilevel"/>
    <w:tmpl w:val="9968BDE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0"/>
  </w:num>
  <w:num w:numId="3" w16cid:durableId="1751778878">
    <w:abstractNumId w:val="9"/>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5"/>
  </w:num>
  <w:num w:numId="11" w16cid:durableId="1525971380">
    <w:abstractNumId w:val="12"/>
  </w:num>
  <w:num w:numId="12" w16cid:durableId="1511218414">
    <w:abstractNumId w:val="13"/>
  </w:num>
  <w:num w:numId="13" w16cid:durableId="815728443">
    <w:abstractNumId w:val="15"/>
  </w:num>
  <w:num w:numId="14" w16cid:durableId="910039807">
    <w:abstractNumId w:val="16"/>
  </w:num>
  <w:num w:numId="15" w16cid:durableId="1376656114">
    <w:abstractNumId w:val="14"/>
  </w:num>
  <w:num w:numId="16" w16cid:durableId="1177037526">
    <w:abstractNumId w:val="5"/>
  </w:num>
  <w:num w:numId="17" w16cid:durableId="1334991021">
    <w:abstractNumId w:val="15"/>
  </w:num>
  <w:num w:numId="18" w16cid:durableId="1437481052">
    <w:abstractNumId w:val="11"/>
  </w:num>
  <w:num w:numId="19" w16cid:durableId="182015676">
    <w:abstractNumId w:val="8"/>
  </w:num>
  <w:num w:numId="20" w16cid:durableId="127725456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5B12"/>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EA9"/>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89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55B"/>
    <w:rsid w:val="001B6D4A"/>
    <w:rsid w:val="001B6EB1"/>
    <w:rsid w:val="001C016A"/>
    <w:rsid w:val="001C1190"/>
    <w:rsid w:val="001C27AF"/>
    <w:rsid w:val="001C4BE5"/>
    <w:rsid w:val="001C59A9"/>
    <w:rsid w:val="001D0454"/>
    <w:rsid w:val="001D0F21"/>
    <w:rsid w:val="001D1B8C"/>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2A66"/>
    <w:rsid w:val="002236B1"/>
    <w:rsid w:val="002241DD"/>
    <w:rsid w:val="00224973"/>
    <w:rsid w:val="00224D7F"/>
    <w:rsid w:val="002257C4"/>
    <w:rsid w:val="002264A4"/>
    <w:rsid w:val="00226FF8"/>
    <w:rsid w:val="002310B9"/>
    <w:rsid w:val="00231FC6"/>
    <w:rsid w:val="00232FA9"/>
    <w:rsid w:val="00234B09"/>
    <w:rsid w:val="00237F9C"/>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45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561C"/>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2BE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3EB9"/>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02F"/>
    <w:rsid w:val="003D372B"/>
    <w:rsid w:val="003D5051"/>
    <w:rsid w:val="003D5161"/>
    <w:rsid w:val="003D54C1"/>
    <w:rsid w:val="003D7064"/>
    <w:rsid w:val="003E14BA"/>
    <w:rsid w:val="003E473F"/>
    <w:rsid w:val="003E5B78"/>
    <w:rsid w:val="003E6406"/>
    <w:rsid w:val="003E7C6D"/>
    <w:rsid w:val="003F0F68"/>
    <w:rsid w:val="003F2334"/>
    <w:rsid w:val="003F453D"/>
    <w:rsid w:val="003F4F7E"/>
    <w:rsid w:val="003F5323"/>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D6E"/>
    <w:rsid w:val="00501E5E"/>
    <w:rsid w:val="005062FF"/>
    <w:rsid w:val="00506B69"/>
    <w:rsid w:val="00511D2D"/>
    <w:rsid w:val="0051315C"/>
    <w:rsid w:val="005208EE"/>
    <w:rsid w:val="00520B6E"/>
    <w:rsid w:val="00520DBE"/>
    <w:rsid w:val="005219F9"/>
    <w:rsid w:val="005225C1"/>
    <w:rsid w:val="0052388F"/>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578"/>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1A0"/>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152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471"/>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522"/>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687"/>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08A"/>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2EE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531"/>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06EB"/>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2F7D"/>
    <w:rsid w:val="009C3EF1"/>
    <w:rsid w:val="009D189A"/>
    <w:rsid w:val="009D1AE2"/>
    <w:rsid w:val="009D2ABE"/>
    <w:rsid w:val="009D3C4A"/>
    <w:rsid w:val="009E0423"/>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137D"/>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4B44"/>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80"/>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4BE1"/>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258"/>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935"/>
    <w:rsid w:val="00C16A93"/>
    <w:rsid w:val="00C17389"/>
    <w:rsid w:val="00C21C8B"/>
    <w:rsid w:val="00C22749"/>
    <w:rsid w:val="00C23BFA"/>
    <w:rsid w:val="00C269E3"/>
    <w:rsid w:val="00C301EC"/>
    <w:rsid w:val="00C3197A"/>
    <w:rsid w:val="00C31D9C"/>
    <w:rsid w:val="00C32E3D"/>
    <w:rsid w:val="00C32F09"/>
    <w:rsid w:val="00C330B0"/>
    <w:rsid w:val="00C33B1C"/>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4BAF"/>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2C8"/>
    <w:rsid w:val="00D411B5"/>
    <w:rsid w:val="00D43C3B"/>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098"/>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0E8B"/>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400"/>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81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47A9D"/>
    <w:rsid w:val="00F513D6"/>
    <w:rsid w:val="00F53B80"/>
    <w:rsid w:val="00F55D81"/>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50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2022-12-20T22:05:00Z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