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27BF7B1D"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B380A">
        <w:rPr>
          <w:rFonts w:ascii="Arial" w:hAnsi="Arial" w:cs="Arial"/>
          <w:b/>
          <w:bCs/>
          <w:szCs w:val="24"/>
          <w:lang w:val="pt-BR" w:eastAsia="ja-JP"/>
        </w:rPr>
        <w:t>2</w:t>
      </w:r>
      <w:r w:rsidR="003F59CF">
        <w:rPr>
          <w:rFonts w:ascii="Arial" w:hAnsi="Arial" w:cs="Arial"/>
          <w:b/>
          <w:bCs/>
          <w:szCs w:val="24"/>
          <w:lang w:val="pt-BR" w:eastAsia="ja-JP"/>
        </w:rPr>
        <w:t>.</w:t>
      </w:r>
      <w:r w:rsidR="003B380A">
        <w:rPr>
          <w:rFonts w:ascii="Arial" w:hAnsi="Arial" w:cs="Arial"/>
          <w:b/>
          <w:bCs/>
          <w:szCs w:val="24"/>
          <w:lang w:val="pt-BR" w:eastAsia="ja-JP"/>
        </w:rPr>
        <w:t>3</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507F19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3B380A">
        <w:rPr>
          <w:rFonts w:ascii="Arial" w:hAnsi="Arial" w:cs="Arial"/>
          <w:b/>
          <w:szCs w:val="24"/>
          <w:lang w:val="en-US" w:eastAsia="ja-JP"/>
        </w:rPr>
        <w:t>SR</w:t>
      </w:r>
      <w:r w:rsidR="00DF7631">
        <w:rPr>
          <w:rFonts w:ascii="Arial" w:hAnsi="Arial" w:cs="Arial"/>
          <w:b/>
          <w:szCs w:val="24"/>
          <w:lang w:val="en-US" w:eastAsia="ja-JP"/>
        </w:rPr>
        <w:t>_</w:t>
      </w:r>
      <w:r w:rsidR="003B380A">
        <w:rPr>
          <w:rFonts w:ascii="Arial" w:hAnsi="Arial" w:cs="Arial"/>
          <w:b/>
          <w:szCs w:val="24"/>
          <w:lang w:val="en-US" w:eastAsia="ja-JP"/>
        </w:rPr>
        <w:t>MSE</w:t>
      </w:r>
      <w:r w:rsidR="00DF7631">
        <w:rPr>
          <w:rFonts w:ascii="Arial" w:hAnsi="Arial" w:cs="Arial"/>
          <w:b/>
          <w:szCs w:val="24"/>
          <w:lang w:val="en-US" w:eastAsia="ja-JP"/>
        </w:rPr>
        <w:t>] RTP Header Extension for PDU SET Marking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10FD097" w14:textId="1959877F" w:rsidR="00EB6F24" w:rsidRDefault="003B380A" w:rsidP="00C112DE">
      <w:pPr>
        <w:rPr>
          <w:lang w:val="en-US"/>
        </w:rPr>
      </w:pPr>
      <w:r>
        <w:rPr>
          <w:lang w:val="en-US"/>
        </w:rPr>
        <w:t>During the SA4 #121 meeting, several proposals on the reference architecture for split rendering have been agreed and documented in the draft TS26.565 clause 5</w:t>
      </w:r>
      <w:r w:rsidR="00EB6F24">
        <w:rPr>
          <w:lang w:val="en-US"/>
        </w:rPr>
        <w:t>.</w:t>
      </w:r>
      <w:r>
        <w:rPr>
          <w:lang w:val="en-US"/>
        </w:rPr>
        <w:t xml:space="preserve"> Unfortunately, these different architectures adopt different terminologies and interface designations. This might be very confusing to readers and implementers of the specification. </w:t>
      </w:r>
    </w:p>
    <w:p w14:paraId="1AAFD108" w14:textId="7377B39D" w:rsidR="003B380A" w:rsidRDefault="003B380A" w:rsidP="00C112DE">
      <w:pPr>
        <w:rPr>
          <w:lang w:val="en-US"/>
        </w:rPr>
      </w:pPr>
      <w:r>
        <w:rPr>
          <w:lang w:val="en-US"/>
        </w:rPr>
        <w:t>In this contribution, we want to start a harmonization effort that unifies the naming of components and interfaces for better clarity and consistency.</w:t>
      </w:r>
    </w:p>
    <w:p w14:paraId="30939A18" w14:textId="2DD2D6A6" w:rsidR="00EB6F24" w:rsidRDefault="003B380A" w:rsidP="00EB6F24">
      <w:pPr>
        <w:pStyle w:val="Heading1"/>
        <w:numPr>
          <w:ilvl w:val="0"/>
          <w:numId w:val="3"/>
        </w:numPr>
      </w:pPr>
      <w:r>
        <w:t>Harmonization</w:t>
      </w:r>
    </w:p>
    <w:bookmarkEnd w:id="0"/>
    <w:p w14:paraId="2750DC99" w14:textId="1C2644EC" w:rsidR="003E4F20" w:rsidRDefault="00A13DA2" w:rsidP="003E4F20">
      <w:r>
        <w:t>Currently, there are 4 different reference architectures defined:</w:t>
      </w:r>
    </w:p>
    <w:p w14:paraId="032EC045" w14:textId="25CDF3F2" w:rsidR="00A13DA2" w:rsidRDefault="009555A4" w:rsidP="00A13DA2">
      <w:pPr>
        <w:pStyle w:val="ListParagraph"/>
        <w:numPr>
          <w:ilvl w:val="0"/>
          <w:numId w:val="20"/>
        </w:numPr>
      </w:pPr>
      <w:r>
        <w:t xml:space="preserve">A client architecture that is adopted from the </w:t>
      </w:r>
      <w:proofErr w:type="spellStart"/>
      <w:r>
        <w:t>MeCAR</w:t>
      </w:r>
      <w:proofErr w:type="spellEnd"/>
      <w:r>
        <w:t xml:space="preserve"> discussions. It defines a set of device internal interfaces for the user plane of split rendering. For communication with the network, it defines interfaces IF-5 and IF-7 for the uplink and downlink split rendering data.</w:t>
      </w:r>
    </w:p>
    <w:p w14:paraId="6914444F" w14:textId="4B348698" w:rsidR="00492FFC" w:rsidRDefault="00492FFC" w:rsidP="00492FFC">
      <w:pPr>
        <w:pStyle w:val="ListParagraph"/>
      </w:pPr>
      <w:r>
        <w:rPr>
          <w:noProof/>
        </w:rPr>
        <w:drawing>
          <wp:inline distT="0" distB="0" distL="0" distR="0" wp14:anchorId="391C5AF9" wp14:editId="0521101E">
            <wp:extent cx="5629275" cy="24399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362" cy="2441333"/>
                    </a:xfrm>
                    <a:prstGeom prst="rect">
                      <a:avLst/>
                    </a:prstGeom>
                    <a:noFill/>
                    <a:ln>
                      <a:noFill/>
                    </a:ln>
                  </pic:spPr>
                </pic:pic>
              </a:graphicData>
            </a:graphic>
          </wp:inline>
        </w:drawing>
      </w:r>
    </w:p>
    <w:p w14:paraId="2E0DFFD9" w14:textId="5AC40FC5" w:rsidR="009555A4" w:rsidRDefault="009555A4" w:rsidP="00A13DA2">
      <w:pPr>
        <w:pStyle w:val="ListParagraph"/>
        <w:numPr>
          <w:ilvl w:val="0"/>
          <w:numId w:val="20"/>
        </w:numPr>
      </w:pPr>
      <w:r>
        <w:t xml:space="preserve">An end-to-end architecture is included but missing the architecture diagram and description. The section refers to </w:t>
      </w:r>
      <w:proofErr w:type="spellStart"/>
      <w:r>
        <w:t>MeCAR</w:t>
      </w:r>
      <w:proofErr w:type="spellEnd"/>
      <w:r>
        <w:t>, which suggests that this will be an extension of the previous architecture to cover the network side as well.</w:t>
      </w:r>
    </w:p>
    <w:p w14:paraId="2E9DD3E8" w14:textId="57AFB8DC" w:rsidR="009555A4" w:rsidRDefault="009555A4" w:rsidP="00A13DA2">
      <w:pPr>
        <w:pStyle w:val="ListParagraph"/>
        <w:numPr>
          <w:ilvl w:val="0"/>
          <w:numId w:val="20"/>
        </w:numPr>
      </w:pPr>
      <w:r>
        <w:t>A control architecture that focuses on the control plane to provide edge, QoS policy, and network assistance functionality. It defines a Split Rendering AF</w:t>
      </w:r>
      <w:r w:rsidR="00E22B49">
        <w:t xml:space="preserve"> and AS </w:t>
      </w:r>
      <w:proofErr w:type="spellStart"/>
      <w:r w:rsidR="00E22B49">
        <w:t>as</w:t>
      </w:r>
      <w:proofErr w:type="spellEnd"/>
      <w:r w:rsidR="00E22B49">
        <w:t xml:space="preserve"> well as a Split Rendering Client. The SR Client and AF communicate through the MSE-4S interface, which suggests that this communication is the user plane signaling to establish a session. The interface designation adopted follows the one used in TR26.857.</w:t>
      </w:r>
    </w:p>
    <w:p w14:paraId="0B53A365" w14:textId="397B6E2D" w:rsidR="00492FFC" w:rsidRDefault="00492FFC" w:rsidP="00492FFC">
      <w:pPr>
        <w:pStyle w:val="ListParagraph"/>
      </w:pPr>
      <w:r>
        <w:object w:dxaOrig="17130" w:dyaOrig="6296" w14:anchorId="018E2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58.5pt" o:ole="">
            <v:imagedata r:id="rId12" o:title=""/>
          </v:shape>
          <o:OLEObject Type="Embed" ProgID="Visio.Drawing.15" ShapeID="_x0000_i1025" DrawAspect="Content" ObjectID="_1731850786" r:id="rId13"/>
        </w:object>
      </w:r>
    </w:p>
    <w:p w14:paraId="67743830" w14:textId="1AEDF44E" w:rsidR="00E22B49" w:rsidRDefault="00E22B49" w:rsidP="00A13DA2">
      <w:pPr>
        <w:pStyle w:val="ListParagraph"/>
        <w:numPr>
          <w:ilvl w:val="0"/>
          <w:numId w:val="20"/>
        </w:numPr>
      </w:pPr>
      <w:r>
        <w:t>The user plane architecture is an adaptation of the 5GMS architecture and still references some of the 5GMS interfaces like 5GMS-M1/2/4/5 and even the EDGE-3 interface. It also creates different variations of the Application Servers involved and defines their interfaces as SR-m and SR-s for media and signaling.</w:t>
      </w:r>
    </w:p>
    <w:p w14:paraId="35C22290" w14:textId="29C987D1" w:rsidR="00492FFC" w:rsidRDefault="00492FFC" w:rsidP="00492FFC">
      <w:pPr>
        <w:pStyle w:val="ListParagraph"/>
      </w:pPr>
      <w:r w:rsidRPr="00ED4BBE">
        <w:rPr>
          <w:noProof/>
        </w:rPr>
        <w:drawing>
          <wp:inline distT="0" distB="0" distL="0" distR="0" wp14:anchorId="336C2F20" wp14:editId="20E58E0D">
            <wp:extent cx="5657850" cy="3455879"/>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66714" cy="3461293"/>
                    </a:xfrm>
                    <a:prstGeom prst="rect">
                      <a:avLst/>
                    </a:prstGeom>
                  </pic:spPr>
                </pic:pic>
              </a:graphicData>
            </a:graphic>
          </wp:inline>
        </w:drawing>
      </w:r>
    </w:p>
    <w:p w14:paraId="6B0CD66B" w14:textId="7475B5C2" w:rsidR="00E22B49" w:rsidRDefault="00E22B49" w:rsidP="00E22B49"/>
    <w:p w14:paraId="62CAD254" w14:textId="3CF1B82E" w:rsidR="00E22B49" w:rsidRDefault="00E22B49" w:rsidP="00E22B49">
      <w:proofErr w:type="gramStart"/>
      <w:r>
        <w:t>In order to</w:t>
      </w:r>
      <w:proofErr w:type="gramEnd"/>
      <w:r>
        <w:t xml:space="preserve"> simplify and unify the description of the reference architecture, we propose the following actions:</w:t>
      </w:r>
    </w:p>
    <w:p w14:paraId="696B3A4C" w14:textId="77777777" w:rsidR="00336F44" w:rsidRDefault="00336F44" w:rsidP="00E22B49">
      <w:pPr>
        <w:pStyle w:val="ListParagraph"/>
        <w:numPr>
          <w:ilvl w:val="0"/>
          <w:numId w:val="21"/>
        </w:numPr>
      </w:pPr>
      <w:r>
        <w:t xml:space="preserve">Adopt a unified designation for all interfaces. We propose to use the SR- prefix for all interfaces followed by the interface number, which is aligned with 5GMS/RTC/MSE architectures. For specializations of an interface, a suffix is appended to describe the nature of the data exchanged over that interface. An example is SR-4s, which designates the interface between the split rendering client and the split rendering AS for the exchange of session signaling. </w:t>
      </w:r>
    </w:p>
    <w:p w14:paraId="05A0C804" w14:textId="77777777" w:rsidR="00336F44" w:rsidRDefault="00336F44" w:rsidP="00E22B49">
      <w:pPr>
        <w:pStyle w:val="ListParagraph"/>
        <w:numPr>
          <w:ilvl w:val="0"/>
          <w:numId w:val="21"/>
        </w:numPr>
      </w:pPr>
      <w:r>
        <w:t xml:space="preserve">We suggest merging the user plane and control plane architectures into a single end-to-end architecture that depicts both control and user plane data end-to-end. </w:t>
      </w:r>
    </w:p>
    <w:p w14:paraId="20338AF0" w14:textId="154B7059" w:rsidR="00E22B49" w:rsidRDefault="00336F44" w:rsidP="00E22B49">
      <w:pPr>
        <w:pStyle w:val="ListParagraph"/>
        <w:numPr>
          <w:ilvl w:val="0"/>
          <w:numId w:val="21"/>
        </w:numPr>
      </w:pPr>
      <w:r>
        <w:lastRenderedPageBreak/>
        <w:t xml:space="preserve">The </w:t>
      </w:r>
      <w:proofErr w:type="spellStart"/>
      <w:r>
        <w:t>MeCAR</w:t>
      </w:r>
      <w:proofErr w:type="spellEnd"/>
      <w:r>
        <w:t xml:space="preserve"> dependent architectures should be replaced by a variant that focuses on the UE internal component breakdown. If naming differs from the previous recommendations, a mapping must be provided. </w:t>
      </w:r>
    </w:p>
    <w:p w14:paraId="0A21B35E" w14:textId="7223DFAE" w:rsidR="007E0996" w:rsidRDefault="007E0996" w:rsidP="00E22B49">
      <w:pPr>
        <w:pStyle w:val="ListParagraph"/>
        <w:numPr>
          <w:ilvl w:val="0"/>
          <w:numId w:val="21"/>
        </w:numPr>
      </w:pPr>
      <w:r>
        <w:t xml:space="preserve">Unify the component names across the two reference architectures. </w:t>
      </w:r>
      <w:proofErr w:type="gramStart"/>
      <w:r>
        <w:t>In particular, provide</w:t>
      </w:r>
      <w:proofErr w:type="gramEnd"/>
      <w:r>
        <w:t xml:space="preserve"> a mapping of the detailed </w:t>
      </w:r>
      <w:proofErr w:type="spellStart"/>
      <w:r>
        <w:t>MeCAR</w:t>
      </w:r>
      <w:proofErr w:type="spellEnd"/>
      <w:r>
        <w:t xml:space="preserve"> client elements to split rendering functional groups that hide implementation details. It should also and emphasize the interface that provides the SR API to the application.</w:t>
      </w:r>
    </w:p>
    <w:p w14:paraId="018CAA5C" w14:textId="062C1309" w:rsidR="00336F44" w:rsidRDefault="00336F44" w:rsidP="00E22B49">
      <w:pPr>
        <w:pStyle w:val="ListParagraph"/>
        <w:numPr>
          <w:ilvl w:val="0"/>
          <w:numId w:val="21"/>
        </w:numPr>
      </w:pPr>
      <w:r>
        <w:t xml:space="preserve">Update all call flows in the procedures clause accordingly. </w:t>
      </w:r>
    </w:p>
    <w:p w14:paraId="63E304E7" w14:textId="77777777" w:rsidR="007E0996" w:rsidRPr="0067558C" w:rsidRDefault="007E0996" w:rsidP="007E0996">
      <w:pPr>
        <w:ind w:left="360"/>
      </w:pPr>
    </w:p>
    <w:p w14:paraId="31DFDB63" w14:textId="77777777" w:rsidR="00583965" w:rsidRDefault="00583965" w:rsidP="007D1D47">
      <w:pPr>
        <w:pStyle w:val="Heading1"/>
        <w:numPr>
          <w:ilvl w:val="0"/>
          <w:numId w:val="3"/>
        </w:numPr>
      </w:pPr>
      <w:r>
        <w:t>Proposal</w:t>
      </w:r>
    </w:p>
    <w:p w14:paraId="73F02001" w14:textId="3DC14298" w:rsidR="00F17FCB" w:rsidRDefault="007E0996" w:rsidP="00DE5141">
      <w:pPr>
        <w:rPr>
          <w:lang w:val="en-US"/>
        </w:rPr>
      </w:pPr>
      <w:r>
        <w:rPr>
          <w:lang w:val="en-US"/>
        </w:rPr>
        <w:t xml:space="preserve">We propose to agree these modification suggestions. If agreed, we will provide a </w:t>
      </w:r>
      <w:proofErr w:type="spellStart"/>
      <w:r>
        <w:rPr>
          <w:lang w:val="en-US"/>
        </w:rPr>
        <w:t>pCR</w:t>
      </w:r>
      <w:proofErr w:type="spellEnd"/>
      <w:r>
        <w:rPr>
          <w:lang w:val="en-US"/>
        </w:rPr>
        <w:t xml:space="preserve"> to the next MBS call that implements these proposed changes.</w:t>
      </w:r>
    </w:p>
    <w:sectPr w:rsidR="00F17FC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98C9" w14:textId="77777777" w:rsidR="00C768D9" w:rsidRDefault="00C768D9">
      <w:r>
        <w:separator/>
      </w:r>
    </w:p>
  </w:endnote>
  <w:endnote w:type="continuationSeparator" w:id="0">
    <w:p w14:paraId="05A7A56C" w14:textId="77777777" w:rsidR="00C768D9" w:rsidRDefault="00C7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BB8C" w14:textId="77777777" w:rsidR="00C768D9" w:rsidRDefault="00C768D9">
      <w:r>
        <w:separator/>
      </w:r>
    </w:p>
  </w:footnote>
  <w:footnote w:type="continuationSeparator" w:id="0">
    <w:p w14:paraId="3ADE2CD8" w14:textId="77777777" w:rsidR="00C768D9" w:rsidRDefault="00C76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4B83C296" w:rsidR="00DA292D" w:rsidRPr="003B380A"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sz w:val="22"/>
        <w:lang w:val="en-US"/>
      </w:rPr>
    </w:pPr>
    <w:r w:rsidRPr="006C359E">
      <w:rPr>
        <w:rFonts w:ascii="Arial" w:eastAsia="SimSun" w:hAnsi="Arial" w:cs="Arial"/>
        <w:sz w:val="22"/>
        <w:lang w:val="en-US"/>
      </w:rPr>
      <w:t>T</w:t>
    </w:r>
    <w:r>
      <w:rPr>
        <w:rFonts w:ascii="Arial" w:eastAsia="SimSun" w:hAnsi="Arial" w:cs="Arial"/>
        <w:sz w:val="22"/>
        <w:lang w:val="en-US"/>
      </w:rPr>
      <w:t xml:space="preserve">SG SA4 </w:t>
    </w:r>
    <w:r w:rsidR="003B380A">
      <w:rPr>
        <w:rFonts w:ascii="Arial" w:eastAsia="SimSun" w:hAnsi="Arial" w:cs="Arial"/>
        <w:sz w:val="22"/>
        <w:lang w:val="en-US"/>
      </w:rPr>
      <w:t>MBS</w:t>
    </w:r>
    <w:r w:rsidR="00DF7631">
      <w:rPr>
        <w:rFonts w:ascii="Arial" w:eastAsia="SimSun" w:hAnsi="Arial" w:cs="Arial"/>
        <w:sz w:val="22"/>
        <w:lang w:val="en-US"/>
      </w:rPr>
      <w:t xml:space="preserve"> SWG Post #121 Ad-hoc Call</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w:t>
    </w:r>
    <w:r w:rsidR="00DF7631">
      <w:rPr>
        <w:rFonts w:ascii="Arial" w:eastAsia="SimSun" w:hAnsi="Arial" w:cs="Arial"/>
        <w:b/>
        <w:i/>
        <w:sz w:val="28"/>
        <w:szCs w:val="28"/>
      </w:rPr>
      <w:t>a</w:t>
    </w:r>
    <w:r w:rsidR="00E22B49">
      <w:rPr>
        <w:rFonts w:ascii="Arial" w:eastAsia="SimSun" w:hAnsi="Arial" w:cs="Arial"/>
        <w:b/>
        <w:i/>
        <w:sz w:val="28"/>
        <w:szCs w:val="28"/>
      </w:rPr>
      <w:t>I</w:t>
    </w:r>
    <w:r w:rsidR="00DF7631">
      <w:rPr>
        <w:rFonts w:ascii="Arial" w:eastAsia="SimSun" w:hAnsi="Arial" w:cs="Arial"/>
        <w:b/>
        <w:i/>
        <w:sz w:val="28"/>
        <w:szCs w:val="28"/>
      </w:rPr>
      <w:t>23000</w:t>
    </w:r>
    <w:r w:rsidR="00E22B49">
      <w:rPr>
        <w:rFonts w:ascii="Arial" w:eastAsia="SimSun" w:hAnsi="Arial" w:cs="Arial"/>
        <w:b/>
        <w:i/>
        <w:sz w:val="28"/>
        <w:szCs w:val="28"/>
      </w:rPr>
      <w:t>1</w:t>
    </w:r>
  </w:p>
  <w:p w14:paraId="3B56539F" w14:textId="11988962" w:rsidR="008075BF" w:rsidRPr="00DA292D" w:rsidRDefault="003B380A"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8</w:t>
    </w:r>
    <w:r w:rsidR="00DF7631">
      <w:rPr>
        <w:rFonts w:ascii="Arial" w:eastAsia="SimSun" w:hAnsi="Arial" w:cs="Arial"/>
        <w:sz w:val="22"/>
        <w:vertAlign w:val="superscript"/>
        <w:lang w:eastAsia="zh-CN"/>
      </w:rPr>
      <w:t>t</w:t>
    </w:r>
    <w:r>
      <w:rPr>
        <w:rFonts w:ascii="Arial" w:eastAsia="SimSun" w:hAnsi="Arial" w:cs="Arial"/>
        <w:sz w:val="22"/>
        <w:vertAlign w:val="superscript"/>
        <w:lang w:eastAsia="zh-CN"/>
      </w:rPr>
      <w:t>h</w:t>
    </w:r>
    <w:r w:rsidR="00DA292D">
      <w:rPr>
        <w:rFonts w:ascii="Arial" w:eastAsia="SimSun" w:hAnsi="Arial" w:cs="Arial"/>
        <w:sz w:val="22"/>
        <w:lang w:eastAsia="zh-CN"/>
      </w:rPr>
      <w:t xml:space="preserve"> </w:t>
    </w:r>
    <w:r w:rsidR="00DF7631">
      <w:rPr>
        <w:rFonts w:ascii="Arial" w:eastAsia="SimSun" w:hAnsi="Arial" w:cs="Arial"/>
        <w:sz w:val="22"/>
        <w:lang w:eastAsia="zh-CN"/>
      </w:rPr>
      <w:t>D</w:t>
    </w:r>
    <w:r w:rsidR="00DA292D">
      <w:rPr>
        <w:rFonts w:ascii="Arial" w:eastAsia="SimSun" w:hAnsi="Arial" w:cs="Arial"/>
        <w:sz w:val="22"/>
        <w:lang w:eastAsia="zh-CN"/>
      </w:rPr>
      <w:t>e</w:t>
    </w:r>
    <w:r w:rsidR="00DF7631">
      <w:rPr>
        <w:rFonts w:ascii="Arial" w:eastAsia="SimSun" w:hAnsi="Arial" w:cs="Arial"/>
        <w:sz w:val="22"/>
        <w:lang w:eastAsia="zh-CN"/>
      </w:rPr>
      <w:t>ce</w:t>
    </w:r>
    <w:r w:rsidR="00DA292D">
      <w:rPr>
        <w:rFonts w:ascii="Arial" w:eastAsia="SimSun" w:hAnsi="Arial" w:cs="Arial"/>
        <w:sz w:val="22"/>
        <w:lang w:eastAsia="zh-CN"/>
      </w:rPr>
      <w:t xml:space="preserve">mber </w:t>
    </w:r>
    <w:r w:rsidR="00DA292D" w:rsidRPr="006C359E">
      <w:rPr>
        <w:rFonts w:ascii="Arial" w:eastAsia="SimSun" w:hAnsi="Arial" w:cs="Arial"/>
        <w:sz w:val="22"/>
        <w:lang w:eastAsia="zh-CN"/>
      </w:rPr>
      <w:t>20</w:t>
    </w:r>
    <w:r w:rsidR="00DA292D">
      <w:rPr>
        <w:rFonts w:ascii="Arial" w:eastAsia="SimSun" w:hAnsi="Arial" w:cs="Arial"/>
        <w:sz w:val="22"/>
        <w:lang w:eastAsia="zh-CN"/>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A6464"/>
    <w:multiLevelType w:val="hybridMultilevel"/>
    <w:tmpl w:val="1B6AF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45881"/>
    <w:multiLevelType w:val="hybridMultilevel"/>
    <w:tmpl w:val="1CFA2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1046880021">
    <w:abstractNumId w:val="6"/>
  </w:num>
  <w:num w:numId="21" w16cid:durableId="74927731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6F4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380A"/>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FFC"/>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846"/>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0996"/>
    <w:rsid w:val="007E1583"/>
    <w:rsid w:val="007E1706"/>
    <w:rsid w:val="007E2227"/>
    <w:rsid w:val="007E413E"/>
    <w:rsid w:val="007E66A8"/>
    <w:rsid w:val="007E6961"/>
    <w:rsid w:val="007E6E6F"/>
    <w:rsid w:val="007F28D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5A4"/>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DA2"/>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8D9"/>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B49"/>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2022-12-06T22:52:00Z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