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633A8FF2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E81C0B">
        <w:rPr>
          <w:b/>
          <w:bCs/>
          <w:sz w:val="22"/>
          <w:szCs w:val="22"/>
        </w:rPr>
        <w:t>40039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236FC8BE" w14:textId="26163B17" w:rsidR="00E81C0B" w:rsidRPr="00C04CFA" w:rsidRDefault="00440983" w:rsidP="00E81C0B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E81C0B">
        <w:rPr>
          <w:b/>
          <w:sz w:val="22"/>
          <w:szCs w:val="22"/>
        </w:rPr>
        <w:t>pCR</w:t>
      </w:r>
      <w:proofErr w:type="spellEnd"/>
      <w:r w:rsidR="00E81C0B">
        <w:rPr>
          <w:b/>
          <w:sz w:val="22"/>
          <w:szCs w:val="22"/>
        </w:rPr>
        <w:t xml:space="preserve"> to TR 33.929: STIR/SHAKEN – Part XV (</w:t>
      </w:r>
      <w:r w:rsidR="00E81C0B">
        <w:rPr>
          <w:b/>
          <w:sz w:val="22"/>
          <w:szCs w:val="22"/>
        </w:rPr>
        <w:t>inbound roaming</w:t>
      </w:r>
      <w:r w:rsidR="00E81C0B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477DB8AF" w14:textId="3F982FA0" w:rsidR="00E81C0B" w:rsidRDefault="00440983" w:rsidP="00E81C0B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E81C0B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E81C0B">
        <w:rPr>
          <w:rFonts w:ascii="Arial" w:hAnsi="Arial" w:cs="Arial"/>
          <w:i/>
          <w:sz w:val="18"/>
          <w:szCs w:val="18"/>
        </w:rPr>
        <w:t>pCR</w:t>
      </w:r>
      <w:proofErr w:type="spellEnd"/>
      <w:r w:rsidR="00E81C0B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</w:t>
      </w:r>
      <w:r w:rsidR="00E81C0B">
        <w:rPr>
          <w:rFonts w:ascii="Arial" w:hAnsi="Arial" w:cs="Arial"/>
          <w:i/>
          <w:sz w:val="18"/>
          <w:szCs w:val="18"/>
        </w:rPr>
        <w:t>inbound roaming</w:t>
      </w:r>
      <w:r w:rsidR="00E81C0B">
        <w:rPr>
          <w:rFonts w:ascii="Arial" w:hAnsi="Arial" w:cs="Arial"/>
          <w:i/>
          <w:sz w:val="18"/>
          <w:szCs w:val="18"/>
        </w:rPr>
        <w:t xml:space="preserve">) </w:t>
      </w:r>
    </w:p>
    <w:p w14:paraId="2E5A706C" w14:textId="3D22EFE9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15740EF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 xml:space="preserve">, </w:t>
      </w:r>
      <w:r w:rsidR="004C1C76">
        <w:rPr>
          <w:bCs/>
          <w:sz w:val="22"/>
          <w:szCs w:val="22"/>
        </w:rPr>
        <w:t xml:space="preserve"> 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02AD0361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 xml:space="preserve">. </w:t>
      </w:r>
      <w:r w:rsidRPr="00CF3153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77777777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 xml:space="preserve">network domain </w:t>
      </w:r>
      <w:r w:rsidR="004C1C76" w:rsidRPr="00CF3153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 xml:space="preserve"> - there are multiple cases here.</w:t>
      </w:r>
    </w:p>
    <w:p w14:paraId="0E16484F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  there are multiple cases here.</w:t>
      </w:r>
    </w:p>
    <w:p w14:paraId="07E0C848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  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93691AC" w14:textId="77777777" w:rsidR="00F9793C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</w:p>
    <w:p w14:paraId="1D7F63F4" w14:textId="6A321B9C" w:rsidR="00F9793C" w:rsidRDefault="00F9793C" w:rsidP="00F9793C">
      <w:pPr>
        <w:pStyle w:val="Heading4"/>
      </w:pPr>
      <w:r>
        <w:t>4.10.3.5</w:t>
      </w:r>
      <w:r>
        <w:tab/>
        <w:t xml:space="preserve">Terminating IMS network – Telephony AS interacts with the Verification AS    </w:t>
      </w:r>
    </w:p>
    <w:p w14:paraId="1FE0E7AF" w14:textId="45DD4B6B" w:rsidR="000E4F62" w:rsidRDefault="000E4F62" w:rsidP="00F9793C">
      <w:pPr>
        <w:pStyle w:val="Heading4"/>
      </w:pPr>
      <w:r>
        <w:t>4.10.3.</w:t>
      </w:r>
      <w:r w:rsidR="00D76B96">
        <w:t>6</w:t>
      </w:r>
      <w:r w:rsidR="00542E84">
        <w:tab/>
      </w:r>
      <w:r w:rsidR="00D76B96">
        <w:t xml:space="preserve">Intermediate IMS network </w:t>
      </w:r>
    </w:p>
    <w:p w14:paraId="2CC4B6C5" w14:textId="792936A1" w:rsidR="00A238D0" w:rsidRDefault="00A238D0" w:rsidP="00A238D0">
      <w:pPr>
        <w:pStyle w:val="Heading4"/>
      </w:pPr>
      <w:r>
        <w:t>4.10.3.7</w:t>
      </w:r>
      <w:r>
        <w:tab/>
        <w:t>Emergency sessions</w:t>
      </w:r>
    </w:p>
    <w:p w14:paraId="1D044B48" w14:textId="56D7FF12" w:rsidR="00D82AF0" w:rsidRDefault="00D82AF0" w:rsidP="00FA1B8A">
      <w:pPr>
        <w:pStyle w:val="Heading4"/>
      </w:pPr>
      <w:r>
        <w:t>4.10.3.8</w:t>
      </w:r>
      <w:r>
        <w:tab/>
        <w:t>Emergency callback</w:t>
      </w:r>
    </w:p>
    <w:p w14:paraId="68B00521" w14:textId="562DA638" w:rsidR="00FA1B8A" w:rsidRPr="00FA1B8A" w:rsidRDefault="00FA1B8A" w:rsidP="00FA1B8A">
      <w:pPr>
        <w:pStyle w:val="Heading4"/>
      </w:pPr>
      <w:r>
        <w:t xml:space="preserve">4.10.3.9 </w:t>
      </w:r>
      <w:r>
        <w:tab/>
        <w:t>Roaming</w:t>
      </w:r>
    </w:p>
    <w:p w14:paraId="73875570" w14:textId="43DEF30A" w:rsidR="00FA1B8A" w:rsidRDefault="00A238D0" w:rsidP="00A238D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illustrations shown in this clause apply t</w:t>
      </w:r>
      <w:r w:rsidR="00FA1B8A">
        <w:rPr>
          <w:bCs/>
          <w:sz w:val="22"/>
          <w:szCs w:val="22"/>
        </w:rPr>
        <w:t xml:space="preserve">o the terminating VPLMN.  </w:t>
      </w:r>
      <w:r w:rsidR="00D82AF0">
        <w:rPr>
          <w:bCs/>
          <w:sz w:val="22"/>
          <w:szCs w:val="22"/>
        </w:rPr>
        <w:t xml:space="preserve"> </w:t>
      </w:r>
      <w:r w:rsidR="00D60C7D">
        <w:rPr>
          <w:bCs/>
          <w:sz w:val="22"/>
          <w:szCs w:val="22"/>
        </w:rPr>
        <w:t xml:space="preserve">In the illustrations, Party A (shown as A) calls Party B (shown as B). B is roaming and a target in the VPLMN. </w:t>
      </w:r>
    </w:p>
    <w:p w14:paraId="40B4FE10" w14:textId="22DC929E" w:rsidR="008000C9" w:rsidRDefault="00D82AF0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FA1B8A">
        <w:rPr>
          <w:bCs/>
          <w:sz w:val="22"/>
          <w:szCs w:val="22"/>
        </w:rPr>
        <w:t>P-CSCF in the VPLMN</w:t>
      </w:r>
      <w:r w:rsidR="00A238D0">
        <w:rPr>
          <w:bCs/>
          <w:sz w:val="22"/>
          <w:szCs w:val="22"/>
        </w:rPr>
        <w:t xml:space="preserve"> provides the </w:t>
      </w:r>
      <w:r w:rsidR="008000C9" w:rsidRPr="0064339E">
        <w:rPr>
          <w:bCs/>
          <w:sz w:val="22"/>
          <w:szCs w:val="22"/>
        </w:rPr>
        <w:t>IRI-POI functions for IMS LI</w:t>
      </w:r>
      <w:r w:rsidR="00FA1B8A">
        <w:rPr>
          <w:bCs/>
          <w:sz w:val="22"/>
          <w:szCs w:val="22"/>
        </w:rPr>
        <w:t xml:space="preserve"> </w:t>
      </w:r>
      <w:r w:rsidR="000C30D6">
        <w:rPr>
          <w:bCs/>
          <w:sz w:val="22"/>
          <w:szCs w:val="22"/>
        </w:rPr>
        <w:t xml:space="preserve">with Local Breakout </w:t>
      </w:r>
      <w:r w:rsidR="00D60C7D">
        <w:rPr>
          <w:bCs/>
          <w:sz w:val="22"/>
          <w:szCs w:val="22"/>
        </w:rPr>
        <w:t xml:space="preserve">(LBO) </w:t>
      </w:r>
      <w:r w:rsidR="000C30D6">
        <w:rPr>
          <w:bCs/>
          <w:sz w:val="22"/>
          <w:szCs w:val="22"/>
        </w:rPr>
        <w:t xml:space="preserve">and LMISF-IRI in the VPLMN </w:t>
      </w:r>
      <w:r w:rsidR="00FA1B8A">
        <w:rPr>
          <w:bCs/>
          <w:sz w:val="22"/>
          <w:szCs w:val="22"/>
        </w:rPr>
        <w:t xml:space="preserve">provides the IRI-POI functions with </w:t>
      </w:r>
      <w:r w:rsidR="000C30D6">
        <w:rPr>
          <w:bCs/>
          <w:sz w:val="22"/>
          <w:szCs w:val="22"/>
        </w:rPr>
        <w:t>home-routed roaming</w:t>
      </w:r>
      <w:r w:rsidR="00D60C7D">
        <w:rPr>
          <w:bCs/>
          <w:sz w:val="22"/>
          <w:szCs w:val="22"/>
        </w:rPr>
        <w:t xml:space="preserve"> (HR)</w:t>
      </w:r>
      <w:r w:rsidR="00FA1B8A">
        <w:rPr>
          <w:bCs/>
          <w:sz w:val="22"/>
          <w:szCs w:val="22"/>
        </w:rPr>
        <w:t xml:space="preserve">. </w:t>
      </w:r>
      <w:r w:rsidR="008000C9" w:rsidRPr="0064339E">
        <w:rPr>
          <w:bCs/>
          <w:sz w:val="22"/>
          <w:szCs w:val="22"/>
        </w:rPr>
        <w:t xml:space="preserve"> </w:t>
      </w:r>
      <w:r w:rsidR="00FA1B8A">
        <w:rPr>
          <w:bCs/>
          <w:sz w:val="22"/>
          <w:szCs w:val="22"/>
        </w:rPr>
        <w:t xml:space="preserve"> </w:t>
      </w:r>
    </w:p>
    <w:p w14:paraId="6A2401B4" w14:textId="3C07C708" w:rsidR="00D76B96" w:rsidRPr="0064339E" w:rsidRDefault="000C30D6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7172" w:dyaOrig="3270" w14:anchorId="148E0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91.8pt" o:ole="">
            <v:imagedata r:id="rId8" o:title=""/>
          </v:shape>
          <o:OLEObject Type="Embed" ProgID="Visio.Drawing.15" ShapeID="_x0000_i1025" DrawAspect="Content" ObjectID="_1767369346" r:id="rId9"/>
        </w:object>
      </w:r>
    </w:p>
    <w:p w14:paraId="7A837DDB" w14:textId="6EFF32F6" w:rsidR="008000C9" w:rsidRDefault="008000C9" w:rsidP="008000C9">
      <w:pPr>
        <w:pStyle w:val="Caption"/>
        <w:spacing w:before="120" w:after="120"/>
        <w:jc w:val="center"/>
      </w:pPr>
      <w:r>
        <w:t>Figure 4.10.3.</w:t>
      </w:r>
      <w:r w:rsidR="00FA1B8A">
        <w:t>9</w:t>
      </w:r>
      <w:r>
        <w:t xml:space="preserve">-1: </w:t>
      </w:r>
      <w:r w:rsidR="007C389B">
        <w:t>Scenario 1 –</w:t>
      </w:r>
      <w:r w:rsidR="00FA1B8A">
        <w:t>A calls B roaming in VPLMN.  B is target in VPLMN</w:t>
      </w:r>
    </w:p>
    <w:p w14:paraId="218036CB" w14:textId="77777777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4EC2C384" w14:textId="7268A1FD" w:rsidR="008000C9" w:rsidRDefault="00FA1B8A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of IMS LI also provides the STIR/SHAKEN related LI reporting with the Validation Result for the target in the VPLMN. That IMS NF happens to be </w:t>
      </w:r>
      <w:r w:rsidR="000C30D6">
        <w:rPr>
          <w:bCs/>
          <w:sz w:val="22"/>
          <w:szCs w:val="22"/>
        </w:rPr>
        <w:t xml:space="preserve">P-CSCF with the Local Breakout and LMISF-IRI with the Home-routed roaming. </w:t>
      </w:r>
      <w:r>
        <w:rPr>
          <w:bCs/>
          <w:sz w:val="22"/>
          <w:szCs w:val="22"/>
        </w:rPr>
        <w:t xml:space="preserve"> </w:t>
      </w:r>
      <w:r w:rsidR="000C30D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</w:t>
      </w:r>
    </w:p>
    <w:sectPr w:rsidR="008000C9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C30D6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1605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03B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0921"/>
    <w:rsid w:val="00191C6D"/>
    <w:rsid w:val="001922E3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D4893"/>
    <w:rsid w:val="001E0C88"/>
    <w:rsid w:val="001E3614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A5BDF"/>
    <w:rsid w:val="003B2322"/>
    <w:rsid w:val="003B318A"/>
    <w:rsid w:val="003C0345"/>
    <w:rsid w:val="003C18DF"/>
    <w:rsid w:val="003D0661"/>
    <w:rsid w:val="003D1AB3"/>
    <w:rsid w:val="003D3C85"/>
    <w:rsid w:val="003D3DE2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153E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7F7B92"/>
    <w:rsid w:val="008000C9"/>
    <w:rsid w:val="00800B64"/>
    <w:rsid w:val="00803CE9"/>
    <w:rsid w:val="0080554D"/>
    <w:rsid w:val="0080645E"/>
    <w:rsid w:val="0081158B"/>
    <w:rsid w:val="00812EE6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96F46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38D0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17DB6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55686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0C7D"/>
    <w:rsid w:val="00D64110"/>
    <w:rsid w:val="00D6422F"/>
    <w:rsid w:val="00D6623A"/>
    <w:rsid w:val="00D67A65"/>
    <w:rsid w:val="00D704DD"/>
    <w:rsid w:val="00D706B5"/>
    <w:rsid w:val="00D709AF"/>
    <w:rsid w:val="00D76B96"/>
    <w:rsid w:val="00D806CB"/>
    <w:rsid w:val="00D81610"/>
    <w:rsid w:val="00D82AF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1C0B"/>
    <w:rsid w:val="00E851B0"/>
    <w:rsid w:val="00E85264"/>
    <w:rsid w:val="00E85973"/>
    <w:rsid w:val="00E90CAA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9793C"/>
    <w:rsid w:val="00FA0C35"/>
    <w:rsid w:val="00FA11BB"/>
    <w:rsid w:val="00FA1772"/>
    <w:rsid w:val="00FA1B4F"/>
    <w:rsid w:val="00FA1B8A"/>
    <w:rsid w:val="00FA7355"/>
    <w:rsid w:val="00FB06D0"/>
    <w:rsid w:val="00FB434B"/>
    <w:rsid w:val="00FB64B6"/>
    <w:rsid w:val="00FB6D3F"/>
    <w:rsid w:val="00FB748D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2024-01-22T00:08:00Z</dcterms:created>
  <dcterms:modified xsi:type="dcterms:W3CDTF">2024-01-22T00:08:00Z</dcterms:modified>
</cp:coreProperties>
</file>