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194E2E0" w:rsidR="001E41F3" w:rsidRDefault="001E41F3">
      <w:pPr>
        <w:pStyle w:val="CRCoverPage"/>
        <w:tabs>
          <w:tab w:val="right" w:pos="9639"/>
        </w:tabs>
        <w:spacing w:after="0"/>
        <w:rPr>
          <w:b/>
          <w:i/>
          <w:noProof/>
          <w:sz w:val="28"/>
        </w:rPr>
      </w:pPr>
      <w:r>
        <w:rPr>
          <w:b/>
          <w:noProof/>
          <w:sz w:val="24"/>
        </w:rPr>
        <w:t>3GPP TSG</w:t>
      </w:r>
      <w:r w:rsidR="001E2375">
        <w:rPr>
          <w:b/>
          <w:noProof/>
          <w:sz w:val="24"/>
        </w:rPr>
        <w:t xml:space="preserve"> SA WG2</w:t>
      </w:r>
      <w:r w:rsidR="00C66BA2">
        <w:rPr>
          <w:b/>
          <w:noProof/>
          <w:sz w:val="24"/>
        </w:rPr>
        <w:t xml:space="preserve"> </w:t>
      </w:r>
      <w:r>
        <w:rPr>
          <w:b/>
          <w:noProof/>
          <w:sz w:val="24"/>
        </w:rPr>
        <w:t>Meeting #</w:t>
      </w:r>
      <w:r w:rsidR="00BD58E5">
        <w:rPr>
          <w:b/>
          <w:noProof/>
          <w:sz w:val="24"/>
        </w:rPr>
        <w:t>15</w:t>
      </w:r>
      <w:r w:rsidR="00044768">
        <w:rPr>
          <w:b/>
          <w:noProof/>
          <w:sz w:val="24"/>
        </w:rPr>
        <w:t>9</w:t>
      </w:r>
      <w:r w:rsidRPr="009E23B1">
        <w:rPr>
          <w:b/>
          <w:i/>
          <w:noProof/>
          <w:sz w:val="28"/>
          <w:lang w:val="en-US"/>
        </w:rPr>
        <w:tab/>
      </w:r>
      <w:r w:rsidR="001E2375">
        <w:rPr>
          <w:b/>
          <w:i/>
          <w:noProof/>
          <w:sz w:val="28"/>
        </w:rPr>
        <w:t>S2-2</w:t>
      </w:r>
      <w:r w:rsidR="00932D31">
        <w:rPr>
          <w:b/>
          <w:i/>
          <w:noProof/>
          <w:sz w:val="28"/>
        </w:rPr>
        <w:t>3</w:t>
      </w:r>
      <w:r w:rsidR="001805EB">
        <w:rPr>
          <w:b/>
          <w:i/>
          <w:noProof/>
          <w:sz w:val="28"/>
        </w:rPr>
        <w:t>1</w:t>
      </w:r>
      <w:r w:rsidR="00AD542F">
        <w:rPr>
          <w:b/>
          <w:i/>
          <w:noProof/>
          <w:sz w:val="28"/>
        </w:rPr>
        <w:t>1</w:t>
      </w:r>
      <w:r w:rsidR="001805EB">
        <w:rPr>
          <w:b/>
          <w:i/>
          <w:noProof/>
          <w:sz w:val="28"/>
        </w:rPr>
        <w:t>238</w:t>
      </w:r>
    </w:p>
    <w:p w14:paraId="7CB45193" w14:textId="3E0CFF50" w:rsidR="001E41F3" w:rsidRDefault="00044768" w:rsidP="005E2C44">
      <w:pPr>
        <w:pStyle w:val="CRCoverPage"/>
        <w:outlineLvl w:val="0"/>
        <w:rPr>
          <w:b/>
          <w:noProof/>
          <w:sz w:val="24"/>
        </w:rPr>
      </w:pPr>
      <w:r>
        <w:rPr>
          <w:b/>
          <w:noProof/>
          <w:sz w:val="24"/>
        </w:rPr>
        <w:t>Xiamen, China</w:t>
      </w:r>
      <w:r w:rsidR="00D5039E">
        <w:rPr>
          <w:b/>
          <w:noProof/>
          <w:sz w:val="24"/>
        </w:rPr>
        <w:t>,</w:t>
      </w:r>
      <w:r>
        <w:rPr>
          <w:b/>
          <w:noProof/>
          <w:sz w:val="24"/>
        </w:rPr>
        <w:t xml:space="preserve"> October 9 – 13</w:t>
      </w:r>
      <w:r w:rsidR="00163C51">
        <w:rPr>
          <w:b/>
          <w:noProof/>
          <w:sz w:val="24"/>
        </w:rPr>
        <w:t>,</w:t>
      </w:r>
      <w:r w:rsidR="004B6E41">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AB27C9" w:rsidR="001E41F3" w:rsidRPr="00410371" w:rsidRDefault="001C2EB7" w:rsidP="00E13F3D">
            <w:pPr>
              <w:pStyle w:val="CRCoverPage"/>
              <w:spacing w:after="0"/>
              <w:jc w:val="right"/>
              <w:rPr>
                <w:b/>
                <w:noProof/>
                <w:sz w:val="28"/>
              </w:rPr>
            </w:pPr>
            <w:r>
              <w:rPr>
                <w:b/>
                <w:noProof/>
                <w:sz w:val="28"/>
              </w:rPr>
              <w:t>23.</w:t>
            </w:r>
            <w:r w:rsidR="00153151">
              <w:rPr>
                <w:b/>
                <w:noProof/>
                <w:sz w:val="28"/>
              </w:rPr>
              <w:t>4</w:t>
            </w:r>
            <w:r w:rsidR="00151E32">
              <w:rPr>
                <w:b/>
                <w:noProof/>
                <w:sz w:val="28"/>
              </w:rPr>
              <w:t>0</w:t>
            </w:r>
            <w:r w:rsidR="007F294C">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5DD471F" w:rsidR="001E41F3" w:rsidRPr="00410371" w:rsidRDefault="0041166D" w:rsidP="00547111">
            <w:pPr>
              <w:pStyle w:val="CRCoverPage"/>
              <w:spacing w:after="0"/>
              <w:rPr>
                <w:noProof/>
              </w:rPr>
            </w:pPr>
            <w:r>
              <w:rPr>
                <w:b/>
                <w:noProof/>
                <w:sz w:val="28"/>
              </w:rPr>
              <w:t>3747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628D9ED" w:rsidR="001E41F3" w:rsidRPr="00410371" w:rsidRDefault="001805EB"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001A651" w:rsidR="001E41F3" w:rsidRPr="00410371" w:rsidRDefault="00D85CDD">
            <w:pPr>
              <w:pStyle w:val="CRCoverPage"/>
              <w:spacing w:after="0"/>
              <w:jc w:val="center"/>
              <w:rPr>
                <w:noProof/>
                <w:sz w:val="28"/>
              </w:rPr>
            </w:pPr>
            <w:r>
              <w:rPr>
                <w:b/>
                <w:noProof/>
                <w:sz w:val="28"/>
              </w:rPr>
              <w:t>18.</w:t>
            </w:r>
            <w:r w:rsidR="001805EB">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ADCEA4B" w:rsidR="00F25D98" w:rsidRDefault="00487A1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FEA4961" w:rsidR="00F25D98" w:rsidRDefault="001C2EB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931DED" w:rsidR="001E41F3" w:rsidRDefault="000D56F9">
            <w:pPr>
              <w:pStyle w:val="CRCoverPage"/>
              <w:spacing w:after="0"/>
              <w:ind w:left="100"/>
              <w:rPr>
                <w:noProof/>
              </w:rPr>
            </w:pPr>
            <w:r>
              <w:t xml:space="preserve">Handling of </w:t>
            </w:r>
            <w:proofErr w:type="spellStart"/>
            <w:r>
              <w:t>eDRX</w:t>
            </w:r>
            <w:proofErr w:type="spellEnd"/>
            <w:r>
              <w:t xml:space="preserve"> with </w:t>
            </w:r>
            <w:proofErr w:type="spellStart"/>
            <w:r>
              <w:t>discontinous</w:t>
            </w:r>
            <w:proofErr w:type="spellEnd"/>
            <w:r>
              <w:t xml:space="preserve"> coverage</w:t>
            </w:r>
            <w:r w:rsidR="007F294C">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506C93B" w:rsidR="001E41F3" w:rsidRDefault="001E2375">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34A5EB" w:rsidR="001E41F3" w:rsidRDefault="001E2375"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2C1F99C" w:rsidR="001E41F3" w:rsidRDefault="00E66A36">
            <w:pPr>
              <w:pStyle w:val="CRCoverPage"/>
              <w:spacing w:after="0"/>
              <w:ind w:left="100"/>
              <w:rPr>
                <w:noProof/>
              </w:rPr>
            </w:pPr>
            <w:r w:rsidRPr="00E66A36">
              <w:rPr>
                <w:noProof/>
              </w:rPr>
              <w:t>IoT_SAT_ARCH_EPS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952D7BF" w:rsidR="001E41F3" w:rsidRDefault="001E2375">
            <w:pPr>
              <w:pStyle w:val="CRCoverPage"/>
              <w:spacing w:after="0"/>
              <w:ind w:left="100"/>
              <w:rPr>
                <w:noProof/>
              </w:rPr>
            </w:pPr>
            <w:r>
              <w:t>202</w:t>
            </w:r>
            <w:r w:rsidR="00932D31">
              <w:t>3</w:t>
            </w:r>
            <w:r w:rsidR="000D56F9">
              <w:t>-</w:t>
            </w:r>
            <w:r w:rsidR="00AD542F">
              <w:t>09-29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B450FC1" w:rsidR="001E41F3" w:rsidRDefault="00AD542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1CFA895" w:rsidR="001E41F3" w:rsidRDefault="00477522">
            <w:pPr>
              <w:pStyle w:val="CRCoverPage"/>
              <w:spacing w:after="0"/>
              <w:ind w:left="100"/>
              <w:rPr>
                <w:noProof/>
              </w:rPr>
            </w:pPr>
            <w:r>
              <w:rPr>
                <w:noProof/>
              </w:rPr>
              <w:t>Rel-1</w:t>
            </w:r>
            <w:r w:rsidR="00932D31">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B5252" w14:paraId="1256F52C" w14:textId="77777777" w:rsidTr="00547111">
        <w:tc>
          <w:tcPr>
            <w:tcW w:w="2694" w:type="dxa"/>
            <w:gridSpan w:val="2"/>
            <w:tcBorders>
              <w:top w:val="single" w:sz="4" w:space="0" w:color="auto"/>
              <w:left w:val="single" w:sz="4" w:space="0" w:color="auto"/>
            </w:tcBorders>
          </w:tcPr>
          <w:p w14:paraId="52C87DB0" w14:textId="77777777" w:rsidR="002B5252" w:rsidRDefault="002B5252" w:rsidP="002B52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A7D8393" w:rsidR="002B5252" w:rsidRPr="00D85CDD" w:rsidRDefault="005A3917" w:rsidP="000D56F9">
            <w:pPr>
              <w:pStyle w:val="CRCoverPage"/>
              <w:ind w:left="99"/>
              <w:rPr>
                <w:rFonts w:cs="Arial"/>
                <w:noProof/>
              </w:rPr>
            </w:pPr>
            <w:r>
              <w:rPr>
                <w:rFonts w:cs="Arial"/>
                <w:noProof/>
              </w:rPr>
              <w:t>W</w:t>
            </w:r>
            <w:r w:rsidR="000D56F9">
              <w:rPr>
                <w:rFonts w:cs="Arial"/>
                <w:noProof/>
              </w:rPr>
              <w:t>hen eDRX is used together with discontinous coverage</w:t>
            </w:r>
            <w:r>
              <w:rPr>
                <w:rFonts w:cs="Arial"/>
                <w:noProof/>
              </w:rPr>
              <w:t xml:space="preserve"> t</w:t>
            </w:r>
            <w:r w:rsidR="000D56F9">
              <w:rPr>
                <w:rFonts w:cs="Arial"/>
                <w:noProof/>
              </w:rPr>
              <w:t>he</w:t>
            </w:r>
            <w:r>
              <w:rPr>
                <w:rFonts w:cs="Arial"/>
                <w:noProof/>
              </w:rPr>
              <w:t>re is a potential</w:t>
            </w:r>
            <w:r w:rsidR="000D56F9">
              <w:rPr>
                <w:rFonts w:cs="Arial"/>
                <w:noProof/>
              </w:rPr>
              <w:t xml:space="preserve"> issue that there may be a risk that the eDRX cycle is such that all paging occations happen to coinside </w:t>
            </w:r>
            <w:r w:rsidR="00D85CDD">
              <w:rPr>
                <w:rFonts w:cs="Arial"/>
                <w:noProof/>
              </w:rPr>
              <w:t xml:space="preserve"> </w:t>
            </w:r>
            <w:r w:rsidR="000D56F9">
              <w:rPr>
                <w:rFonts w:cs="Arial"/>
                <w:noProof/>
              </w:rPr>
              <w:t xml:space="preserve">with coverage gaps. In this case the UE may be unreachable for long periods of time. </w:t>
            </w:r>
          </w:p>
        </w:tc>
      </w:tr>
      <w:tr w:rsidR="002B5252" w14:paraId="4CA74D09" w14:textId="77777777" w:rsidTr="00547111">
        <w:tc>
          <w:tcPr>
            <w:tcW w:w="2694" w:type="dxa"/>
            <w:gridSpan w:val="2"/>
            <w:tcBorders>
              <w:left w:val="single" w:sz="4" w:space="0" w:color="auto"/>
            </w:tcBorders>
          </w:tcPr>
          <w:p w14:paraId="2D0866D6" w14:textId="77777777" w:rsidR="002B5252" w:rsidRDefault="002B5252" w:rsidP="002B5252">
            <w:pPr>
              <w:pStyle w:val="CRCoverPage"/>
              <w:spacing w:after="0"/>
              <w:rPr>
                <w:b/>
                <w:i/>
                <w:noProof/>
                <w:sz w:val="8"/>
                <w:szCs w:val="8"/>
              </w:rPr>
            </w:pPr>
          </w:p>
        </w:tc>
        <w:tc>
          <w:tcPr>
            <w:tcW w:w="6946" w:type="dxa"/>
            <w:gridSpan w:val="9"/>
            <w:tcBorders>
              <w:right w:val="single" w:sz="4" w:space="0" w:color="auto"/>
            </w:tcBorders>
          </w:tcPr>
          <w:p w14:paraId="365DEF04" w14:textId="77777777" w:rsidR="002B5252" w:rsidRDefault="002B5252" w:rsidP="000D56F9">
            <w:pPr>
              <w:pStyle w:val="CRCoverPage"/>
              <w:ind w:left="99"/>
              <w:rPr>
                <w:noProof/>
                <w:sz w:val="8"/>
                <w:szCs w:val="8"/>
              </w:rPr>
            </w:pPr>
          </w:p>
        </w:tc>
      </w:tr>
      <w:tr w:rsidR="002B5252" w14:paraId="21016551" w14:textId="77777777" w:rsidTr="00547111">
        <w:tc>
          <w:tcPr>
            <w:tcW w:w="2694" w:type="dxa"/>
            <w:gridSpan w:val="2"/>
            <w:tcBorders>
              <w:left w:val="single" w:sz="4" w:space="0" w:color="auto"/>
            </w:tcBorders>
          </w:tcPr>
          <w:p w14:paraId="49433147" w14:textId="77777777" w:rsidR="002B5252" w:rsidRDefault="002B5252" w:rsidP="002B52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0713E70" w:rsidR="002B5252" w:rsidRDefault="000D56F9" w:rsidP="000D56F9">
            <w:pPr>
              <w:pStyle w:val="CRCoverPage"/>
              <w:ind w:left="99"/>
              <w:rPr>
                <w:noProof/>
              </w:rPr>
            </w:pPr>
            <w:r>
              <w:rPr>
                <w:rFonts w:cs="Arial"/>
                <w:noProof/>
                <w:lang w:val="en-US" w:eastAsia="zh-CN"/>
              </w:rPr>
              <w:t>Clarify that implementations can handle this by ensuring that the eDRX parameters are taking into account the coverage periods. There is already text on the MME may take unavailability periods into account, but no text that the UE may do the same when providing eDRX paramaters</w:t>
            </w:r>
            <w:r w:rsidR="00D85CDD">
              <w:rPr>
                <w:rFonts w:cs="Arial"/>
                <w:noProof/>
                <w:lang w:val="en-US" w:eastAsia="zh-CN"/>
              </w:rPr>
              <w:t xml:space="preserve"> </w:t>
            </w:r>
            <w:r>
              <w:rPr>
                <w:rFonts w:cs="Arial"/>
                <w:noProof/>
                <w:lang w:val="en-US" w:eastAsia="zh-CN"/>
              </w:rPr>
              <w:t>to the network.</w:t>
            </w:r>
          </w:p>
        </w:tc>
      </w:tr>
      <w:tr w:rsidR="002B5252" w14:paraId="1F886379" w14:textId="77777777" w:rsidTr="00547111">
        <w:tc>
          <w:tcPr>
            <w:tcW w:w="2694" w:type="dxa"/>
            <w:gridSpan w:val="2"/>
            <w:tcBorders>
              <w:left w:val="single" w:sz="4" w:space="0" w:color="auto"/>
            </w:tcBorders>
          </w:tcPr>
          <w:p w14:paraId="4D989623" w14:textId="77777777" w:rsidR="002B5252" w:rsidRDefault="002B5252" w:rsidP="002B5252">
            <w:pPr>
              <w:pStyle w:val="CRCoverPage"/>
              <w:spacing w:after="0"/>
              <w:rPr>
                <w:b/>
                <w:i/>
                <w:noProof/>
                <w:sz w:val="8"/>
                <w:szCs w:val="8"/>
              </w:rPr>
            </w:pPr>
          </w:p>
        </w:tc>
        <w:tc>
          <w:tcPr>
            <w:tcW w:w="6946" w:type="dxa"/>
            <w:gridSpan w:val="9"/>
            <w:tcBorders>
              <w:right w:val="single" w:sz="4" w:space="0" w:color="auto"/>
            </w:tcBorders>
          </w:tcPr>
          <w:p w14:paraId="71C4A204" w14:textId="77777777" w:rsidR="002B5252" w:rsidRDefault="002B5252" w:rsidP="000D56F9">
            <w:pPr>
              <w:pStyle w:val="CRCoverPage"/>
              <w:ind w:left="99"/>
              <w:rPr>
                <w:noProof/>
                <w:sz w:val="8"/>
                <w:szCs w:val="8"/>
              </w:rPr>
            </w:pPr>
          </w:p>
        </w:tc>
      </w:tr>
      <w:tr w:rsidR="002B5252" w14:paraId="678D7BF9" w14:textId="77777777" w:rsidTr="00547111">
        <w:tc>
          <w:tcPr>
            <w:tcW w:w="2694" w:type="dxa"/>
            <w:gridSpan w:val="2"/>
            <w:tcBorders>
              <w:left w:val="single" w:sz="4" w:space="0" w:color="auto"/>
              <w:bottom w:val="single" w:sz="4" w:space="0" w:color="auto"/>
            </w:tcBorders>
          </w:tcPr>
          <w:p w14:paraId="4E5CE1B6" w14:textId="77777777" w:rsidR="002B5252" w:rsidRDefault="002B5252" w:rsidP="002B52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8D9C8F" w:rsidR="002B5252" w:rsidRDefault="000D56F9" w:rsidP="000D56F9">
            <w:pPr>
              <w:pStyle w:val="CRCoverPage"/>
              <w:ind w:left="99"/>
              <w:rPr>
                <w:noProof/>
              </w:rPr>
            </w:pPr>
            <w:r>
              <w:rPr>
                <w:noProof/>
              </w:rPr>
              <w:t>Risk that UE is unreachable during the cov</w:t>
            </w:r>
            <w:r w:rsidR="001A2402">
              <w:rPr>
                <w:noProof/>
              </w:rPr>
              <w:t>erage</w:t>
            </w:r>
            <w:r>
              <w:rPr>
                <w:noProof/>
              </w:rPr>
              <w:t xml:space="preserve"> periods. </w:t>
            </w:r>
          </w:p>
        </w:tc>
      </w:tr>
      <w:tr w:rsidR="002B5252" w14:paraId="034AF533" w14:textId="77777777" w:rsidTr="00547111">
        <w:tc>
          <w:tcPr>
            <w:tcW w:w="2694" w:type="dxa"/>
            <w:gridSpan w:val="2"/>
          </w:tcPr>
          <w:p w14:paraId="39D9EB5B" w14:textId="77777777" w:rsidR="002B5252" w:rsidRDefault="002B5252" w:rsidP="002B5252">
            <w:pPr>
              <w:pStyle w:val="CRCoverPage"/>
              <w:spacing w:after="0"/>
              <w:rPr>
                <w:b/>
                <w:i/>
                <w:noProof/>
                <w:sz w:val="8"/>
                <w:szCs w:val="8"/>
              </w:rPr>
            </w:pPr>
          </w:p>
        </w:tc>
        <w:tc>
          <w:tcPr>
            <w:tcW w:w="6946" w:type="dxa"/>
            <w:gridSpan w:val="9"/>
          </w:tcPr>
          <w:p w14:paraId="7826CB1C" w14:textId="77777777" w:rsidR="002B5252" w:rsidRDefault="002B5252" w:rsidP="002B5252">
            <w:pPr>
              <w:pStyle w:val="CRCoverPage"/>
              <w:spacing w:after="0"/>
              <w:rPr>
                <w:noProof/>
                <w:sz w:val="8"/>
                <w:szCs w:val="8"/>
              </w:rPr>
            </w:pPr>
          </w:p>
        </w:tc>
      </w:tr>
      <w:tr w:rsidR="002B5252" w14:paraId="6A17D7AC" w14:textId="77777777" w:rsidTr="00547111">
        <w:tc>
          <w:tcPr>
            <w:tcW w:w="2694" w:type="dxa"/>
            <w:gridSpan w:val="2"/>
            <w:tcBorders>
              <w:top w:val="single" w:sz="4" w:space="0" w:color="auto"/>
              <w:left w:val="single" w:sz="4" w:space="0" w:color="auto"/>
            </w:tcBorders>
          </w:tcPr>
          <w:p w14:paraId="6DAD5B19" w14:textId="77777777" w:rsidR="002B5252" w:rsidRDefault="002B5252" w:rsidP="002B52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50E0E7" w:rsidR="002B5252" w:rsidRDefault="00353DCB" w:rsidP="002B5252">
            <w:pPr>
              <w:pStyle w:val="CRCoverPage"/>
              <w:spacing w:after="0"/>
              <w:ind w:left="100"/>
              <w:rPr>
                <w:noProof/>
              </w:rPr>
            </w:pPr>
            <w:r>
              <w:rPr>
                <w:noProof/>
              </w:rPr>
              <w:t>4.1</w:t>
            </w:r>
            <w:r w:rsidR="000D56F9">
              <w:rPr>
                <w:noProof/>
              </w:rPr>
              <w:t>3.8.2</w:t>
            </w:r>
          </w:p>
        </w:tc>
      </w:tr>
      <w:tr w:rsidR="002B5252" w14:paraId="56E1E6C3" w14:textId="77777777" w:rsidTr="00547111">
        <w:tc>
          <w:tcPr>
            <w:tcW w:w="2694" w:type="dxa"/>
            <w:gridSpan w:val="2"/>
            <w:tcBorders>
              <w:left w:val="single" w:sz="4" w:space="0" w:color="auto"/>
            </w:tcBorders>
          </w:tcPr>
          <w:p w14:paraId="2FB9DE77" w14:textId="77777777" w:rsidR="002B5252" w:rsidRDefault="002B5252" w:rsidP="002B5252">
            <w:pPr>
              <w:pStyle w:val="CRCoverPage"/>
              <w:spacing w:after="0"/>
              <w:rPr>
                <w:b/>
                <w:i/>
                <w:noProof/>
                <w:sz w:val="8"/>
                <w:szCs w:val="8"/>
              </w:rPr>
            </w:pPr>
          </w:p>
        </w:tc>
        <w:tc>
          <w:tcPr>
            <w:tcW w:w="6946" w:type="dxa"/>
            <w:gridSpan w:val="9"/>
            <w:tcBorders>
              <w:right w:val="single" w:sz="4" w:space="0" w:color="auto"/>
            </w:tcBorders>
          </w:tcPr>
          <w:p w14:paraId="0898542D" w14:textId="77777777" w:rsidR="002B5252" w:rsidRDefault="002B5252" w:rsidP="002B5252">
            <w:pPr>
              <w:pStyle w:val="CRCoverPage"/>
              <w:spacing w:after="0"/>
              <w:rPr>
                <w:noProof/>
                <w:sz w:val="8"/>
                <w:szCs w:val="8"/>
              </w:rPr>
            </w:pPr>
          </w:p>
        </w:tc>
      </w:tr>
      <w:tr w:rsidR="002B5252" w14:paraId="76F95A8B" w14:textId="77777777" w:rsidTr="00547111">
        <w:tc>
          <w:tcPr>
            <w:tcW w:w="2694" w:type="dxa"/>
            <w:gridSpan w:val="2"/>
            <w:tcBorders>
              <w:left w:val="single" w:sz="4" w:space="0" w:color="auto"/>
            </w:tcBorders>
          </w:tcPr>
          <w:p w14:paraId="335EAB52" w14:textId="77777777" w:rsidR="002B5252" w:rsidRDefault="002B5252" w:rsidP="002B52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B5252" w:rsidRDefault="002B5252" w:rsidP="002B52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B5252" w:rsidRDefault="002B5252" w:rsidP="002B5252">
            <w:pPr>
              <w:pStyle w:val="CRCoverPage"/>
              <w:spacing w:after="0"/>
              <w:jc w:val="center"/>
              <w:rPr>
                <w:b/>
                <w:caps/>
                <w:noProof/>
              </w:rPr>
            </w:pPr>
            <w:r>
              <w:rPr>
                <w:b/>
                <w:caps/>
                <w:noProof/>
              </w:rPr>
              <w:t>N</w:t>
            </w:r>
          </w:p>
        </w:tc>
        <w:tc>
          <w:tcPr>
            <w:tcW w:w="2977" w:type="dxa"/>
            <w:gridSpan w:val="4"/>
          </w:tcPr>
          <w:p w14:paraId="304CCBCB" w14:textId="77777777" w:rsidR="002B5252" w:rsidRDefault="002B5252" w:rsidP="002B52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B5252" w:rsidRDefault="002B5252" w:rsidP="002B5252">
            <w:pPr>
              <w:pStyle w:val="CRCoverPage"/>
              <w:spacing w:after="0"/>
              <w:ind w:left="99"/>
              <w:rPr>
                <w:noProof/>
              </w:rPr>
            </w:pPr>
          </w:p>
        </w:tc>
      </w:tr>
      <w:tr w:rsidR="002B5252" w14:paraId="34ACE2EB" w14:textId="77777777" w:rsidTr="00547111">
        <w:tc>
          <w:tcPr>
            <w:tcW w:w="2694" w:type="dxa"/>
            <w:gridSpan w:val="2"/>
            <w:tcBorders>
              <w:left w:val="single" w:sz="4" w:space="0" w:color="auto"/>
            </w:tcBorders>
          </w:tcPr>
          <w:p w14:paraId="571382F3" w14:textId="77777777" w:rsidR="002B5252" w:rsidRDefault="002B5252" w:rsidP="002B52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B5252" w:rsidRDefault="002B5252" w:rsidP="002B52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3AB43B" w:rsidR="002B5252" w:rsidRDefault="00353DCB" w:rsidP="002B5252">
            <w:pPr>
              <w:pStyle w:val="CRCoverPage"/>
              <w:spacing w:after="0"/>
              <w:jc w:val="center"/>
              <w:rPr>
                <w:b/>
                <w:caps/>
                <w:noProof/>
              </w:rPr>
            </w:pPr>
            <w:r>
              <w:rPr>
                <w:b/>
                <w:caps/>
                <w:noProof/>
              </w:rPr>
              <w:t>X</w:t>
            </w:r>
          </w:p>
        </w:tc>
        <w:tc>
          <w:tcPr>
            <w:tcW w:w="2977" w:type="dxa"/>
            <w:gridSpan w:val="4"/>
          </w:tcPr>
          <w:p w14:paraId="7DB274D8" w14:textId="77777777" w:rsidR="002B5252" w:rsidRDefault="002B5252" w:rsidP="002B52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B5252" w:rsidRDefault="002B5252" w:rsidP="002B5252">
            <w:pPr>
              <w:pStyle w:val="CRCoverPage"/>
              <w:spacing w:after="0"/>
              <w:ind w:left="99"/>
              <w:rPr>
                <w:noProof/>
              </w:rPr>
            </w:pPr>
            <w:r>
              <w:rPr>
                <w:noProof/>
              </w:rPr>
              <w:t xml:space="preserve">TS/TR ... CR ... </w:t>
            </w:r>
          </w:p>
        </w:tc>
      </w:tr>
      <w:tr w:rsidR="002B5252" w14:paraId="446DDBAC" w14:textId="77777777" w:rsidTr="00547111">
        <w:tc>
          <w:tcPr>
            <w:tcW w:w="2694" w:type="dxa"/>
            <w:gridSpan w:val="2"/>
            <w:tcBorders>
              <w:left w:val="single" w:sz="4" w:space="0" w:color="auto"/>
            </w:tcBorders>
          </w:tcPr>
          <w:p w14:paraId="678A1AA6" w14:textId="77777777" w:rsidR="002B5252" w:rsidRDefault="002B5252" w:rsidP="002B52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B5252" w:rsidRDefault="002B5252" w:rsidP="002B52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212D66" w:rsidR="002B5252" w:rsidRDefault="00353DCB" w:rsidP="002B5252">
            <w:pPr>
              <w:pStyle w:val="CRCoverPage"/>
              <w:spacing w:after="0"/>
              <w:jc w:val="center"/>
              <w:rPr>
                <w:b/>
                <w:caps/>
                <w:noProof/>
              </w:rPr>
            </w:pPr>
            <w:r>
              <w:rPr>
                <w:b/>
                <w:caps/>
                <w:noProof/>
              </w:rPr>
              <w:t>X</w:t>
            </w:r>
          </w:p>
        </w:tc>
        <w:tc>
          <w:tcPr>
            <w:tcW w:w="2977" w:type="dxa"/>
            <w:gridSpan w:val="4"/>
          </w:tcPr>
          <w:p w14:paraId="1A4306D9" w14:textId="77777777" w:rsidR="002B5252" w:rsidRDefault="002B5252" w:rsidP="002B52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B5252" w:rsidRDefault="002B5252" w:rsidP="002B5252">
            <w:pPr>
              <w:pStyle w:val="CRCoverPage"/>
              <w:spacing w:after="0"/>
              <w:ind w:left="99"/>
              <w:rPr>
                <w:noProof/>
              </w:rPr>
            </w:pPr>
            <w:r>
              <w:rPr>
                <w:noProof/>
              </w:rPr>
              <w:t xml:space="preserve">TS/TR ... CR ... </w:t>
            </w:r>
          </w:p>
        </w:tc>
      </w:tr>
      <w:tr w:rsidR="002B5252" w14:paraId="55C714D2" w14:textId="77777777" w:rsidTr="00547111">
        <w:tc>
          <w:tcPr>
            <w:tcW w:w="2694" w:type="dxa"/>
            <w:gridSpan w:val="2"/>
            <w:tcBorders>
              <w:left w:val="single" w:sz="4" w:space="0" w:color="auto"/>
            </w:tcBorders>
          </w:tcPr>
          <w:p w14:paraId="45913E62" w14:textId="77777777" w:rsidR="002B5252" w:rsidRDefault="002B5252" w:rsidP="002B52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B5252" w:rsidRDefault="002B5252" w:rsidP="002B52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5D78676" w:rsidR="002B5252" w:rsidRDefault="00353DCB" w:rsidP="002B5252">
            <w:pPr>
              <w:pStyle w:val="CRCoverPage"/>
              <w:spacing w:after="0"/>
              <w:jc w:val="center"/>
              <w:rPr>
                <w:b/>
                <w:caps/>
                <w:noProof/>
              </w:rPr>
            </w:pPr>
            <w:r>
              <w:rPr>
                <w:b/>
                <w:caps/>
                <w:noProof/>
              </w:rPr>
              <w:t>X</w:t>
            </w:r>
          </w:p>
        </w:tc>
        <w:tc>
          <w:tcPr>
            <w:tcW w:w="2977" w:type="dxa"/>
            <w:gridSpan w:val="4"/>
          </w:tcPr>
          <w:p w14:paraId="1B4FF921" w14:textId="77777777" w:rsidR="002B5252" w:rsidRDefault="002B5252" w:rsidP="002B52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B5252" w:rsidRDefault="002B5252" w:rsidP="002B5252">
            <w:pPr>
              <w:pStyle w:val="CRCoverPage"/>
              <w:spacing w:after="0"/>
              <w:ind w:left="99"/>
              <w:rPr>
                <w:noProof/>
              </w:rPr>
            </w:pPr>
            <w:r>
              <w:rPr>
                <w:noProof/>
              </w:rPr>
              <w:t xml:space="preserve">TS/TR ... CR ... </w:t>
            </w:r>
          </w:p>
        </w:tc>
      </w:tr>
      <w:tr w:rsidR="002B5252" w14:paraId="60DF82CC" w14:textId="77777777" w:rsidTr="008863B9">
        <w:tc>
          <w:tcPr>
            <w:tcW w:w="2694" w:type="dxa"/>
            <w:gridSpan w:val="2"/>
            <w:tcBorders>
              <w:left w:val="single" w:sz="4" w:space="0" w:color="auto"/>
            </w:tcBorders>
          </w:tcPr>
          <w:p w14:paraId="517696CD" w14:textId="77777777" w:rsidR="002B5252" w:rsidRDefault="002B5252" w:rsidP="002B5252">
            <w:pPr>
              <w:pStyle w:val="CRCoverPage"/>
              <w:spacing w:after="0"/>
              <w:rPr>
                <w:b/>
                <w:i/>
                <w:noProof/>
              </w:rPr>
            </w:pPr>
          </w:p>
        </w:tc>
        <w:tc>
          <w:tcPr>
            <w:tcW w:w="6946" w:type="dxa"/>
            <w:gridSpan w:val="9"/>
            <w:tcBorders>
              <w:right w:val="single" w:sz="4" w:space="0" w:color="auto"/>
            </w:tcBorders>
          </w:tcPr>
          <w:p w14:paraId="4D84207F" w14:textId="77777777" w:rsidR="002B5252" w:rsidRDefault="002B5252" w:rsidP="002B5252">
            <w:pPr>
              <w:pStyle w:val="CRCoverPage"/>
              <w:spacing w:after="0"/>
              <w:rPr>
                <w:noProof/>
              </w:rPr>
            </w:pPr>
          </w:p>
        </w:tc>
      </w:tr>
      <w:tr w:rsidR="002B5252" w14:paraId="556B87B6" w14:textId="77777777" w:rsidTr="008863B9">
        <w:tc>
          <w:tcPr>
            <w:tcW w:w="2694" w:type="dxa"/>
            <w:gridSpan w:val="2"/>
            <w:tcBorders>
              <w:left w:val="single" w:sz="4" w:space="0" w:color="auto"/>
              <w:bottom w:val="single" w:sz="4" w:space="0" w:color="auto"/>
            </w:tcBorders>
          </w:tcPr>
          <w:p w14:paraId="79A9C411" w14:textId="77777777" w:rsidR="002B5252" w:rsidRDefault="002B5252" w:rsidP="002B52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B5252" w:rsidRDefault="002B5252" w:rsidP="002B5252">
            <w:pPr>
              <w:pStyle w:val="CRCoverPage"/>
              <w:spacing w:after="0"/>
              <w:ind w:left="100"/>
              <w:rPr>
                <w:noProof/>
              </w:rPr>
            </w:pPr>
          </w:p>
        </w:tc>
      </w:tr>
      <w:tr w:rsidR="002B5252" w:rsidRPr="008863B9" w14:paraId="45BFE792" w14:textId="77777777" w:rsidTr="008863B9">
        <w:tc>
          <w:tcPr>
            <w:tcW w:w="2694" w:type="dxa"/>
            <w:gridSpan w:val="2"/>
            <w:tcBorders>
              <w:top w:val="single" w:sz="4" w:space="0" w:color="auto"/>
              <w:bottom w:val="single" w:sz="4" w:space="0" w:color="auto"/>
            </w:tcBorders>
          </w:tcPr>
          <w:p w14:paraId="194242DD" w14:textId="77777777" w:rsidR="002B5252" w:rsidRPr="008863B9" w:rsidRDefault="002B5252" w:rsidP="002B52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B5252" w:rsidRPr="008863B9" w:rsidRDefault="002B5252" w:rsidP="002B5252">
            <w:pPr>
              <w:pStyle w:val="CRCoverPage"/>
              <w:spacing w:after="0"/>
              <w:ind w:left="100"/>
              <w:rPr>
                <w:noProof/>
                <w:sz w:val="8"/>
                <w:szCs w:val="8"/>
              </w:rPr>
            </w:pPr>
          </w:p>
        </w:tc>
      </w:tr>
      <w:tr w:rsidR="002B525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B5252" w:rsidRDefault="002B5252" w:rsidP="002B52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B5252" w:rsidRDefault="002B5252" w:rsidP="002B525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265ED845" w:rsidR="001E41F3" w:rsidRDefault="001E41F3">
      <w:pPr>
        <w:rPr>
          <w:noProof/>
        </w:rPr>
      </w:pPr>
    </w:p>
    <w:p w14:paraId="1F9B8757" w14:textId="72F6C186" w:rsidR="00C51E4A" w:rsidRDefault="00C51E4A" w:rsidP="00C51E4A">
      <w:pPr>
        <w:jc w:val="center"/>
        <w:rPr>
          <w:noProof/>
          <w:color w:val="FF0000"/>
          <w:sz w:val="32"/>
          <w:szCs w:val="32"/>
        </w:rPr>
      </w:pPr>
      <w:r w:rsidRPr="00C51E4A">
        <w:rPr>
          <w:noProof/>
          <w:color w:val="FF0000"/>
          <w:sz w:val="32"/>
          <w:szCs w:val="32"/>
        </w:rPr>
        <w:t>**** First Change ****</w:t>
      </w:r>
    </w:p>
    <w:p w14:paraId="66774C0A" w14:textId="77777777" w:rsidR="00153151" w:rsidRDefault="00153151" w:rsidP="00153151">
      <w:pPr>
        <w:pStyle w:val="Heading4"/>
      </w:pPr>
      <w:bookmarkStart w:id="1" w:name="_Toc138258672"/>
      <w:r>
        <w:t>4.13.8.2</w:t>
      </w:r>
      <w:r>
        <w:tab/>
        <w:t>Mobility Management and UE Power Saving Optimization</w:t>
      </w:r>
      <w:bookmarkEnd w:id="1"/>
    </w:p>
    <w:p w14:paraId="09ACFCD2" w14:textId="77777777" w:rsidR="00153151" w:rsidRDefault="00153151" w:rsidP="00153151">
      <w:r>
        <w:t>For satellite access that provides discontinuous network coverage, and in case both the UE and the network support Enhanced Discontinuous Coverage, then the Mobility Management and UE Power Saving Optimization functionality may be used.</w:t>
      </w:r>
    </w:p>
    <w:p w14:paraId="4C6BA7F4" w14:textId="77777777" w:rsidR="00153151" w:rsidRDefault="00153151" w:rsidP="00153151">
      <w:r>
        <w:t>If both the UE and the network indicate support for "Enhanced Discontinuous Coverage Support" and if the UE determines it will lose coverage and will become unavailable, and decides to remain in no service during that time, then:</w:t>
      </w:r>
    </w:p>
    <w:p w14:paraId="59172729" w14:textId="77777777" w:rsidR="00153151" w:rsidRDefault="00153151" w:rsidP="00153151">
      <w:pPr>
        <w:pStyle w:val="B1"/>
      </w:pPr>
      <w:r>
        <w:t>-</w:t>
      </w:r>
      <w:r>
        <w:tab/>
        <w:t>The UE may be able to determine, including considering current and expected future locations of the UE, a Start of Unavailability Period and/or Unavailability Period Duration for when it expects to be out of coverage.</w:t>
      </w:r>
    </w:p>
    <w:p w14:paraId="684642D5" w14:textId="77777777" w:rsidR="00153151" w:rsidRDefault="00153151" w:rsidP="00153151">
      <w:pPr>
        <w:pStyle w:val="NO"/>
      </w:pPr>
      <w:r>
        <w:t>NOTE 1:</w:t>
      </w:r>
      <w:r>
        <w:tab/>
        <w:t>A UE, based on implementation, can combine successive periods of no satellite coverage into a single continuous period that is notified to the network if the UE does not require network access during this period.</w:t>
      </w:r>
    </w:p>
    <w:p w14:paraId="6A7ED7A4" w14:textId="77777777" w:rsidR="00153151" w:rsidRDefault="00153151" w:rsidP="00153151">
      <w:pPr>
        <w:pStyle w:val="NO"/>
      </w:pPr>
      <w:r>
        <w:t>NOTE 2:</w:t>
      </w:r>
      <w:r>
        <w:tab/>
        <w:t>UE informing the network of coverage gaps would increase signalling and UE power consumption if coverage gaps are more frequent than UE's communication period.</w:t>
      </w:r>
    </w:p>
    <w:p w14:paraId="1F23AEDC" w14:textId="77777777" w:rsidR="00153151" w:rsidRDefault="00153151" w:rsidP="00153151">
      <w:pPr>
        <w:pStyle w:val="B1"/>
      </w:pPr>
      <w:r>
        <w:t>-</w:t>
      </w:r>
      <w:r>
        <w:tab/>
        <w:t xml:space="preserve">The UE triggers a TAU procedure and includes an indication of upcoming loss of coverage in the TAU Request message to the MME. If the UE is able to determine a Start of Unavailability Period and/or Unavailability Period </w:t>
      </w:r>
      <w:proofErr w:type="gramStart"/>
      <w:r>
        <w:t>Duration</w:t>
      </w:r>
      <w:proofErr w:type="gramEnd"/>
      <w:r>
        <w:t xml:space="preserve"> it also includes them in the TAU Request message.</w:t>
      </w:r>
    </w:p>
    <w:p w14:paraId="36F7E033" w14:textId="77777777" w:rsidR="00153151" w:rsidRDefault="00153151" w:rsidP="00153151">
      <w:pPr>
        <w:pStyle w:val="B1"/>
      </w:pPr>
      <w:r>
        <w:t>-</w:t>
      </w:r>
      <w:r>
        <w:tab/>
        <w:t>The UE should trigger the TAU procedure early enough such that the procedure, under normal conditions, is able to complete before the start of the unavailability period.</w:t>
      </w:r>
    </w:p>
    <w:p w14:paraId="5E60D9CB" w14:textId="77777777" w:rsidR="00153151" w:rsidRDefault="00153151" w:rsidP="00153151">
      <w:pPr>
        <w:pStyle w:val="B1"/>
      </w:pPr>
      <w:r>
        <w:t>-</w:t>
      </w:r>
      <w:r>
        <w:tab/>
        <w:t>The UE and the MME re-negotiate unavailability at every TAU procedure, if it is required. If Start of Unavailability Period and/or Unavailability Period Duration is not included in a TAU Request message any pending loss of coverage configuration stored in the UE context at MME is discarded.</w:t>
      </w:r>
    </w:p>
    <w:p w14:paraId="449035B6" w14:textId="77777777" w:rsidR="00153151" w:rsidRDefault="00153151" w:rsidP="00153151">
      <w:pPr>
        <w:pStyle w:val="B1"/>
      </w:pPr>
      <w:r>
        <w:t>-</w:t>
      </w:r>
      <w:r>
        <w:tab/>
        <w:t>If the UE determines an upcoming loss of coverage to the network no longer applies or determines a new Start of Unavailability Period or Unavailability Period Duration related to the upcoming loss of coverage, the UE sends a new TAU Request.</w:t>
      </w:r>
    </w:p>
    <w:p w14:paraId="6B694F59" w14:textId="77777777" w:rsidR="00153151" w:rsidRDefault="00153151" w:rsidP="00153151">
      <w:r>
        <w:t>Upon receiving a TAU Request message from the UE including an indication of upcoming loss of coverage:</w:t>
      </w:r>
    </w:p>
    <w:p w14:paraId="4215E711" w14:textId="77777777" w:rsidR="00153151" w:rsidRDefault="00153151" w:rsidP="00153151">
      <w:pPr>
        <w:pStyle w:val="B1"/>
      </w:pPr>
      <w:r>
        <w:t>-</w:t>
      </w:r>
      <w:r>
        <w:tab/>
        <w:t xml:space="preserve">If the UE did not include a Start of Unavailability Period, the MME considers implicitly the Start of Unavailability Period to be the time at which it has received the TAU Request message from the UE. If the UE included a Start of Unavailability Period, the Start of Unavailability Period indicates the time at which the UE determines it expects to lose coverage, </w:t>
      </w:r>
      <w:proofErr w:type="gramStart"/>
      <w:r>
        <w:t>i.e.</w:t>
      </w:r>
      <w:proofErr w:type="gramEnd"/>
      <w:r>
        <w:t xml:space="preserve"> time until which the UE determines it is available.</w:t>
      </w:r>
    </w:p>
    <w:p w14:paraId="5D4E5A01" w14:textId="77777777" w:rsidR="00153151" w:rsidRDefault="00153151" w:rsidP="00153151">
      <w:pPr>
        <w:pStyle w:val="B1"/>
      </w:pPr>
      <w:r>
        <w:t>Editor's note:</w:t>
      </w:r>
      <w:r>
        <w:tab/>
        <w:t>The encoding of the Start of Unavailability Period will be determined by CT WG1.</w:t>
      </w:r>
    </w:p>
    <w:p w14:paraId="21DFC89C" w14:textId="77777777" w:rsidR="00153151" w:rsidRDefault="00153151" w:rsidP="00153151">
      <w:pPr>
        <w:pStyle w:val="B1"/>
      </w:pPr>
      <w:r>
        <w:t>-</w:t>
      </w:r>
      <w:r>
        <w:tab/>
        <w:t>The MME may determine, if not provided by the UE, or update the Unavailability Period Duration.</w:t>
      </w:r>
    </w:p>
    <w:p w14:paraId="211FBFE5" w14:textId="77777777" w:rsidR="00153151" w:rsidRDefault="00153151" w:rsidP="00153151">
      <w:pPr>
        <w:pStyle w:val="B1"/>
      </w:pPr>
      <w:r>
        <w:tab/>
        <w:t xml:space="preserve">If the MME knows an Unavailability Period Duration (e.g. based on information available to the MME as described in clause 4.13.8.4) for the UE, and the UE not include an Unavailability Period Duration or included an Unavailability Period Duration different to the Unavailability Period Duration known to the MME, the MME may use either the Unavailability Period Duration known to the MME or the Unavailability Period Duration from the UE as the Unavailability Period Duration. The MME should include the Unavailability Period Duration known to the MME in the TAU Accept. How the UE treats the MME provided Unavailability Period Duration is up to UE implementation e.g. to help to determine when to return to coverage after a discontinuous coverage period, whether to listen to paging in </w:t>
      </w:r>
      <w:proofErr w:type="spellStart"/>
      <w:r>
        <w:t>eDRX</w:t>
      </w:r>
      <w:proofErr w:type="spellEnd"/>
      <w:r>
        <w:t>, not to initiate any NAS signalling (including Service Request for MO data) within the discontinuous coverage period in case of any UL signalling/data request or the UE may deactivate its Access Stratum functions for satellite access in order to optimise power consumption until coverage returns, etc.</w:t>
      </w:r>
    </w:p>
    <w:p w14:paraId="5A118902" w14:textId="77777777" w:rsidR="00153151" w:rsidRDefault="00153151" w:rsidP="00153151">
      <w:pPr>
        <w:pStyle w:val="B1"/>
      </w:pPr>
      <w:r>
        <w:tab/>
        <w:t xml:space="preserve">The MME indicates to the UE in the TAU Accept whether the UE is not required to perform a TAU procedure when the unavailability period has ended, is </w:t>
      </w:r>
      <w:proofErr w:type="gramStart"/>
      <w:r>
        <w:t>delayed</w:t>
      </w:r>
      <w:proofErr w:type="gramEnd"/>
      <w:r>
        <w:t xml:space="preserve"> or is cancelled.</w:t>
      </w:r>
    </w:p>
    <w:p w14:paraId="6DC2033E" w14:textId="77777777" w:rsidR="00153151" w:rsidRDefault="00153151" w:rsidP="00153151">
      <w:pPr>
        <w:pStyle w:val="B1"/>
      </w:pPr>
      <w:r>
        <w:lastRenderedPageBreak/>
        <w:t>-</w:t>
      </w:r>
      <w:r>
        <w:tab/>
        <w:t>The MME stores the information that the UE is unavailable at the Start of Unavailability Period in the UE context, and considers the UE is unreachable from then until the UE enters ECM_CONNECTED state.</w:t>
      </w:r>
    </w:p>
    <w:p w14:paraId="4703427B" w14:textId="47BF6A0B" w:rsidR="00153151" w:rsidRPr="00946377" w:rsidRDefault="00153151" w:rsidP="00153151">
      <w:pPr>
        <w:rPr>
          <w:lang w:val="en-US"/>
        </w:rPr>
      </w:pPr>
      <w:r w:rsidRPr="00E66A36">
        <w:t>If the UE requests power saving features the MME uses procedures defined in other clauses to provide the UE with timers (</w:t>
      </w:r>
      <w:proofErr w:type="gramStart"/>
      <w:r w:rsidRPr="00E66A36">
        <w:t>e.g.</w:t>
      </w:r>
      <w:proofErr w:type="gramEnd"/>
      <w:r w:rsidRPr="00E66A36">
        <w:t xml:space="preserve"> periodic TAU timer, extended idle mode DRX (see clause 5.13a), and PSM mode configuration (see clause 4.3.22)), and may also consider the Unavailability Period Duration (if available) and Start of Unavailability Period (if available).</w:t>
      </w:r>
      <w:r w:rsidR="00946377">
        <w:t xml:space="preserve"> </w:t>
      </w:r>
    </w:p>
    <w:p w14:paraId="631A4452" w14:textId="4F94144A" w:rsidR="00153151" w:rsidRDefault="00153151" w:rsidP="00153151">
      <w:pPr>
        <w:rPr>
          <w:ins w:id="2" w:author="Ericsson User2" w:date="2023-09-13T12:40:00Z"/>
        </w:rPr>
      </w:pPr>
      <w:r>
        <w:t xml:space="preserve">Unless the MME indicated that the UE is not required to perform a TAU procedure when the unavailability period has ended, is </w:t>
      </w:r>
      <w:proofErr w:type="gramStart"/>
      <w:r>
        <w:t>delayed</w:t>
      </w:r>
      <w:proofErr w:type="gramEnd"/>
      <w:r>
        <w:t xml:space="preserve"> or is cancelled, then once the event which makes the UE unavailable is completed in the UE or the event is delayed to a future time or cancelled in the UE, the UE triggers a TAU procedure.</w:t>
      </w:r>
      <w:ins w:id="3" w:author="Ericsson User2" w:date="2023-09-13T12:32:00Z">
        <w:r w:rsidR="00946377" w:rsidRPr="00946377">
          <w:t xml:space="preserve"> When returning to coverage, </w:t>
        </w:r>
      </w:ins>
      <w:ins w:id="4" w:author="Ericsson User2" w:date="2023-09-13T12:35:00Z">
        <w:r w:rsidR="00685754">
          <w:t>i</w:t>
        </w:r>
      </w:ins>
      <w:ins w:id="5" w:author="Ericsson User2" w:date="2023-09-13T12:34:00Z">
        <w:r w:rsidR="00685754" w:rsidRPr="00990165">
          <w:t xml:space="preserve">f the UE decides to request for </w:t>
        </w:r>
      </w:ins>
      <w:proofErr w:type="spellStart"/>
      <w:ins w:id="6" w:author="Ericsson User2" w:date="2023-09-13T12:35:00Z">
        <w:r w:rsidR="00685754">
          <w:t>e</w:t>
        </w:r>
      </w:ins>
      <w:ins w:id="7" w:author="Ericsson User2" w:date="2023-09-13T12:34:00Z">
        <w:r w:rsidR="00685754" w:rsidRPr="00990165">
          <w:t>DRX</w:t>
        </w:r>
        <w:proofErr w:type="spellEnd"/>
        <w:r w:rsidR="00685754">
          <w:t xml:space="preserve">, </w:t>
        </w:r>
      </w:ins>
      <w:ins w:id="8" w:author="Ericsson User2" w:date="2023-09-13T12:32:00Z">
        <w:r w:rsidR="00946377" w:rsidRPr="00946377">
          <w:t xml:space="preserve">the UE </w:t>
        </w:r>
      </w:ins>
      <w:ins w:id="9" w:author="Ericsson User2" w:date="2023-09-13T12:33:00Z">
        <w:r w:rsidR="00C9599D">
          <w:t>may</w:t>
        </w:r>
      </w:ins>
      <w:ins w:id="10" w:author="Ericsson User2" w:date="2023-09-13T12:32:00Z">
        <w:r w:rsidR="00946377" w:rsidRPr="00946377">
          <w:t xml:space="preserve"> request </w:t>
        </w:r>
        <w:proofErr w:type="spellStart"/>
        <w:r w:rsidR="00946377" w:rsidRPr="00946377">
          <w:t>eDRX</w:t>
        </w:r>
        <w:proofErr w:type="spellEnd"/>
        <w:r w:rsidR="00946377" w:rsidRPr="00946377">
          <w:t xml:space="preserve"> parameters </w:t>
        </w:r>
      </w:ins>
      <w:ins w:id="11" w:author="Ericsson User2" w:date="2023-09-13T12:33:00Z">
        <w:r w:rsidR="00C9599D">
          <w:t xml:space="preserve">taking into account its knowledge about future coverage gaps, </w:t>
        </w:r>
        <w:proofErr w:type="gramStart"/>
        <w:r w:rsidR="00C9599D">
          <w:t>e.g.</w:t>
        </w:r>
        <w:proofErr w:type="gramEnd"/>
        <w:r w:rsidR="00C9599D">
          <w:t xml:space="preserve"> </w:t>
        </w:r>
      </w:ins>
      <w:ins w:id="12" w:author="Ericsson User2" w:date="2023-09-13T12:32:00Z">
        <w:r w:rsidR="00946377" w:rsidRPr="00946377">
          <w:t xml:space="preserve">to ensure that there </w:t>
        </w:r>
      </w:ins>
      <w:ins w:id="13" w:author="Ericsson User2" w:date="2023-09-13T12:35:00Z">
        <w:r w:rsidR="000D56F9">
          <w:t xml:space="preserve">is at least one </w:t>
        </w:r>
        <w:r w:rsidR="000D56F9" w:rsidRPr="00E66A36">
          <w:t>paging oc</w:t>
        </w:r>
      </w:ins>
      <w:ins w:id="14" w:author="Ericsson User2" w:date="2023-09-27T16:08:00Z">
        <w:r w:rsidR="00AA7147" w:rsidRPr="00E66A36">
          <w:t>c</w:t>
        </w:r>
      </w:ins>
      <w:ins w:id="15" w:author="Ericsson User2" w:date="2023-09-13T12:35:00Z">
        <w:r w:rsidR="000D56F9" w:rsidRPr="00E66A36">
          <w:t>a</w:t>
        </w:r>
      </w:ins>
      <w:ins w:id="16" w:author="Ericsson User2" w:date="2023-09-27T16:08:00Z">
        <w:r w:rsidR="00AA7147" w:rsidRPr="00E66A36">
          <w:t>s</w:t>
        </w:r>
      </w:ins>
      <w:ins w:id="17" w:author="Ericsson User2" w:date="2023-09-13T12:35:00Z">
        <w:r w:rsidR="000D56F9" w:rsidRPr="00E66A36">
          <w:t>ion</w:t>
        </w:r>
      </w:ins>
      <w:ins w:id="18" w:author="Ericsson User2" w:date="2023-09-13T12:32:00Z">
        <w:r w:rsidR="00946377" w:rsidRPr="00E66A36">
          <w:t xml:space="preserve"> within</w:t>
        </w:r>
        <w:r w:rsidR="00946377" w:rsidRPr="00946377">
          <w:t xml:space="preserve"> the coverage period.</w:t>
        </w:r>
      </w:ins>
    </w:p>
    <w:p w14:paraId="01BBDD40" w14:textId="77777777" w:rsidR="00153151" w:rsidRDefault="00153151" w:rsidP="00153151">
      <w:r>
        <w:t>The MME should adjust the mobile reachable timer or Implicit Detach timer or both such that the MME does not implicitly detach the UE while the UE is out of coverage, see clause 3,4.2. Features described for High latency communication in clause 4.3.14.7 may be used to handle mobile terminated (MT) communication with UEs being unreachable due to discontinuous coverage.</w:t>
      </w:r>
    </w:p>
    <w:p w14:paraId="2475A617" w14:textId="20C1FDB3" w:rsidR="00C51E4A" w:rsidRPr="00C51E4A" w:rsidRDefault="00C51E4A" w:rsidP="00C51E4A">
      <w:pPr>
        <w:jc w:val="center"/>
        <w:rPr>
          <w:noProof/>
          <w:color w:val="FF0000"/>
          <w:sz w:val="32"/>
          <w:szCs w:val="32"/>
        </w:rPr>
      </w:pPr>
      <w:r w:rsidRPr="00C51E4A">
        <w:rPr>
          <w:noProof/>
          <w:color w:val="FF0000"/>
          <w:sz w:val="32"/>
          <w:szCs w:val="32"/>
        </w:rPr>
        <w:t>**** End of Changes ****</w:t>
      </w:r>
    </w:p>
    <w:sectPr w:rsidR="00C51E4A" w:rsidRPr="00C51E4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45D310" w14:textId="77777777" w:rsidR="006D7F9E" w:rsidRDefault="006D7F9E">
      <w:r>
        <w:separator/>
      </w:r>
    </w:p>
  </w:endnote>
  <w:endnote w:type="continuationSeparator" w:id="0">
    <w:p w14:paraId="6EE5AEDF" w14:textId="77777777" w:rsidR="006D7F9E" w:rsidRDefault="006D7F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8065A1" w14:textId="77777777" w:rsidR="006D7F9E" w:rsidRDefault="006D7F9E">
      <w:r>
        <w:separator/>
      </w:r>
    </w:p>
  </w:footnote>
  <w:footnote w:type="continuationSeparator" w:id="0">
    <w:p w14:paraId="782D1C65" w14:textId="77777777" w:rsidR="006D7F9E" w:rsidRDefault="006D7F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DA3C0C"/>
    <w:multiLevelType w:val="hybridMultilevel"/>
    <w:tmpl w:val="B3DA622C"/>
    <w:lvl w:ilvl="0" w:tplc="7A301BC4">
      <w:numFmt w:val="bullet"/>
      <w:lvlText w:val="-"/>
      <w:lvlJc w:val="left"/>
      <w:pPr>
        <w:ind w:left="414"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582B3D78"/>
    <w:multiLevelType w:val="hybridMultilevel"/>
    <w:tmpl w:val="4F062424"/>
    <w:lvl w:ilvl="0" w:tplc="7A301BC4">
      <w:numFmt w:val="bullet"/>
      <w:lvlText w:val="-"/>
      <w:lvlJc w:val="left"/>
      <w:pPr>
        <w:ind w:left="414" w:hanging="360"/>
      </w:pPr>
      <w:rPr>
        <w:rFonts w:ascii="Arial" w:eastAsia="Times New Roman" w:hAnsi="Arial" w:cs="Arial" w:hint="default"/>
      </w:rPr>
    </w:lvl>
    <w:lvl w:ilvl="1" w:tplc="20000003">
      <w:start w:val="1"/>
      <w:numFmt w:val="bullet"/>
      <w:lvlText w:val="o"/>
      <w:lvlJc w:val="left"/>
      <w:pPr>
        <w:ind w:left="1134" w:hanging="360"/>
      </w:pPr>
      <w:rPr>
        <w:rFonts w:ascii="Courier New" w:hAnsi="Courier New" w:cs="Courier New" w:hint="default"/>
      </w:rPr>
    </w:lvl>
    <w:lvl w:ilvl="2" w:tplc="20000005" w:tentative="1">
      <w:start w:val="1"/>
      <w:numFmt w:val="bullet"/>
      <w:lvlText w:val=""/>
      <w:lvlJc w:val="left"/>
      <w:pPr>
        <w:ind w:left="1854" w:hanging="360"/>
      </w:pPr>
      <w:rPr>
        <w:rFonts w:ascii="Wingdings" w:hAnsi="Wingdings" w:hint="default"/>
      </w:rPr>
    </w:lvl>
    <w:lvl w:ilvl="3" w:tplc="20000001" w:tentative="1">
      <w:start w:val="1"/>
      <w:numFmt w:val="bullet"/>
      <w:lvlText w:val=""/>
      <w:lvlJc w:val="left"/>
      <w:pPr>
        <w:ind w:left="2574" w:hanging="360"/>
      </w:pPr>
      <w:rPr>
        <w:rFonts w:ascii="Symbol" w:hAnsi="Symbol" w:hint="default"/>
      </w:rPr>
    </w:lvl>
    <w:lvl w:ilvl="4" w:tplc="20000003" w:tentative="1">
      <w:start w:val="1"/>
      <w:numFmt w:val="bullet"/>
      <w:lvlText w:val="o"/>
      <w:lvlJc w:val="left"/>
      <w:pPr>
        <w:ind w:left="3294" w:hanging="360"/>
      </w:pPr>
      <w:rPr>
        <w:rFonts w:ascii="Courier New" w:hAnsi="Courier New" w:cs="Courier New" w:hint="default"/>
      </w:rPr>
    </w:lvl>
    <w:lvl w:ilvl="5" w:tplc="20000005" w:tentative="1">
      <w:start w:val="1"/>
      <w:numFmt w:val="bullet"/>
      <w:lvlText w:val=""/>
      <w:lvlJc w:val="left"/>
      <w:pPr>
        <w:ind w:left="4014" w:hanging="360"/>
      </w:pPr>
      <w:rPr>
        <w:rFonts w:ascii="Wingdings" w:hAnsi="Wingdings" w:hint="default"/>
      </w:rPr>
    </w:lvl>
    <w:lvl w:ilvl="6" w:tplc="20000001" w:tentative="1">
      <w:start w:val="1"/>
      <w:numFmt w:val="bullet"/>
      <w:lvlText w:val=""/>
      <w:lvlJc w:val="left"/>
      <w:pPr>
        <w:ind w:left="4734" w:hanging="360"/>
      </w:pPr>
      <w:rPr>
        <w:rFonts w:ascii="Symbol" w:hAnsi="Symbol" w:hint="default"/>
      </w:rPr>
    </w:lvl>
    <w:lvl w:ilvl="7" w:tplc="20000003" w:tentative="1">
      <w:start w:val="1"/>
      <w:numFmt w:val="bullet"/>
      <w:lvlText w:val="o"/>
      <w:lvlJc w:val="left"/>
      <w:pPr>
        <w:ind w:left="5454" w:hanging="360"/>
      </w:pPr>
      <w:rPr>
        <w:rFonts w:ascii="Courier New" w:hAnsi="Courier New" w:cs="Courier New" w:hint="default"/>
      </w:rPr>
    </w:lvl>
    <w:lvl w:ilvl="8" w:tplc="20000005" w:tentative="1">
      <w:start w:val="1"/>
      <w:numFmt w:val="bullet"/>
      <w:lvlText w:val=""/>
      <w:lvlJc w:val="left"/>
      <w:pPr>
        <w:ind w:left="6174" w:hanging="360"/>
      </w:pPr>
      <w:rPr>
        <w:rFonts w:ascii="Wingdings" w:hAnsi="Wingdings" w:hint="default"/>
      </w:rPr>
    </w:lvl>
  </w:abstractNum>
  <w:num w:numId="1" w16cid:durableId="97023446">
    <w:abstractNumId w:val="1"/>
  </w:num>
  <w:num w:numId="2" w16cid:durableId="208675789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2">
    <w15:presenceInfo w15:providerId="None" w15:userId="Ericsson 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6EF"/>
    <w:rsid w:val="00022E4A"/>
    <w:rsid w:val="00022EFE"/>
    <w:rsid w:val="000403DE"/>
    <w:rsid w:val="00044768"/>
    <w:rsid w:val="000931D7"/>
    <w:rsid w:val="000A6394"/>
    <w:rsid w:val="000A68E7"/>
    <w:rsid w:val="000B7FED"/>
    <w:rsid w:val="000C038A"/>
    <w:rsid w:val="000C6598"/>
    <w:rsid w:val="000D44B3"/>
    <w:rsid w:val="000D56F9"/>
    <w:rsid w:val="000F4728"/>
    <w:rsid w:val="00145D43"/>
    <w:rsid w:val="00151E32"/>
    <w:rsid w:val="00153151"/>
    <w:rsid w:val="001541F2"/>
    <w:rsid w:val="00163C51"/>
    <w:rsid w:val="001805EB"/>
    <w:rsid w:val="00186E53"/>
    <w:rsid w:val="00192C46"/>
    <w:rsid w:val="001A08B3"/>
    <w:rsid w:val="001A2402"/>
    <w:rsid w:val="001A7B60"/>
    <w:rsid w:val="001B52F0"/>
    <w:rsid w:val="001B7A65"/>
    <w:rsid w:val="001C2EB7"/>
    <w:rsid w:val="001C42E0"/>
    <w:rsid w:val="001D1F7F"/>
    <w:rsid w:val="001E2375"/>
    <w:rsid w:val="001E41F3"/>
    <w:rsid w:val="002151E3"/>
    <w:rsid w:val="0026004D"/>
    <w:rsid w:val="002640DD"/>
    <w:rsid w:val="00275D12"/>
    <w:rsid w:val="00284FEB"/>
    <w:rsid w:val="002860C4"/>
    <w:rsid w:val="002B5252"/>
    <w:rsid w:val="002B5741"/>
    <w:rsid w:val="002B5C62"/>
    <w:rsid w:val="002C1ED3"/>
    <w:rsid w:val="002E472E"/>
    <w:rsid w:val="00305409"/>
    <w:rsid w:val="00317C82"/>
    <w:rsid w:val="00327E7D"/>
    <w:rsid w:val="00353DCB"/>
    <w:rsid w:val="00354855"/>
    <w:rsid w:val="003609EF"/>
    <w:rsid w:val="0036231A"/>
    <w:rsid w:val="00367495"/>
    <w:rsid w:val="00374DD4"/>
    <w:rsid w:val="00392ADE"/>
    <w:rsid w:val="003E1A36"/>
    <w:rsid w:val="003E6C03"/>
    <w:rsid w:val="00410371"/>
    <w:rsid w:val="0041166D"/>
    <w:rsid w:val="004242F1"/>
    <w:rsid w:val="00444C18"/>
    <w:rsid w:val="00454210"/>
    <w:rsid w:val="00477522"/>
    <w:rsid w:val="00487A1A"/>
    <w:rsid w:val="004940BD"/>
    <w:rsid w:val="00496C44"/>
    <w:rsid w:val="004B5B40"/>
    <w:rsid w:val="004B6E41"/>
    <w:rsid w:val="004B75B7"/>
    <w:rsid w:val="004D12CB"/>
    <w:rsid w:val="00505625"/>
    <w:rsid w:val="005141D9"/>
    <w:rsid w:val="0051580D"/>
    <w:rsid w:val="005431E0"/>
    <w:rsid w:val="00547111"/>
    <w:rsid w:val="00550C3D"/>
    <w:rsid w:val="005622B4"/>
    <w:rsid w:val="00592D74"/>
    <w:rsid w:val="005A3917"/>
    <w:rsid w:val="005B5438"/>
    <w:rsid w:val="005D5ED1"/>
    <w:rsid w:val="005E2C44"/>
    <w:rsid w:val="005F7EB9"/>
    <w:rsid w:val="00621188"/>
    <w:rsid w:val="006257ED"/>
    <w:rsid w:val="00653DE4"/>
    <w:rsid w:val="006569E8"/>
    <w:rsid w:val="006602D1"/>
    <w:rsid w:val="00664BA2"/>
    <w:rsid w:val="00665C47"/>
    <w:rsid w:val="00681F95"/>
    <w:rsid w:val="00685754"/>
    <w:rsid w:val="00692F32"/>
    <w:rsid w:val="0069542A"/>
    <w:rsid w:val="00695808"/>
    <w:rsid w:val="006959F4"/>
    <w:rsid w:val="006B46FB"/>
    <w:rsid w:val="006D7A6A"/>
    <w:rsid w:val="006D7F9E"/>
    <w:rsid w:val="006E21FB"/>
    <w:rsid w:val="006F2CCF"/>
    <w:rsid w:val="006F3EC2"/>
    <w:rsid w:val="00700FF4"/>
    <w:rsid w:val="0073178C"/>
    <w:rsid w:val="00772C3D"/>
    <w:rsid w:val="00790488"/>
    <w:rsid w:val="00792342"/>
    <w:rsid w:val="007977A8"/>
    <w:rsid w:val="007B512A"/>
    <w:rsid w:val="007C2097"/>
    <w:rsid w:val="007C5877"/>
    <w:rsid w:val="007D4393"/>
    <w:rsid w:val="007D6A07"/>
    <w:rsid w:val="007E3371"/>
    <w:rsid w:val="007F294C"/>
    <w:rsid w:val="007F7259"/>
    <w:rsid w:val="008040A8"/>
    <w:rsid w:val="00820C31"/>
    <w:rsid w:val="008279FA"/>
    <w:rsid w:val="0083147B"/>
    <w:rsid w:val="008626E7"/>
    <w:rsid w:val="00870EE7"/>
    <w:rsid w:val="008863B9"/>
    <w:rsid w:val="00891289"/>
    <w:rsid w:val="008A45A6"/>
    <w:rsid w:val="008C1F2B"/>
    <w:rsid w:val="008D3CCC"/>
    <w:rsid w:val="008D6D03"/>
    <w:rsid w:val="008F3789"/>
    <w:rsid w:val="008F686C"/>
    <w:rsid w:val="00913C82"/>
    <w:rsid w:val="009148DE"/>
    <w:rsid w:val="0092247D"/>
    <w:rsid w:val="00932D31"/>
    <w:rsid w:val="00941E30"/>
    <w:rsid w:val="00946377"/>
    <w:rsid w:val="009777D9"/>
    <w:rsid w:val="00984063"/>
    <w:rsid w:val="00991B88"/>
    <w:rsid w:val="009A5753"/>
    <w:rsid w:val="009A579D"/>
    <w:rsid w:val="009E23B1"/>
    <w:rsid w:val="009E3297"/>
    <w:rsid w:val="009F0E02"/>
    <w:rsid w:val="009F4637"/>
    <w:rsid w:val="009F734F"/>
    <w:rsid w:val="00A03C8E"/>
    <w:rsid w:val="00A05B54"/>
    <w:rsid w:val="00A22202"/>
    <w:rsid w:val="00A246B6"/>
    <w:rsid w:val="00A47E70"/>
    <w:rsid w:val="00A50CF0"/>
    <w:rsid w:val="00A67C2C"/>
    <w:rsid w:val="00A7671C"/>
    <w:rsid w:val="00AA2CBC"/>
    <w:rsid w:val="00AA7147"/>
    <w:rsid w:val="00AB32BF"/>
    <w:rsid w:val="00AC15D0"/>
    <w:rsid w:val="00AC5820"/>
    <w:rsid w:val="00AD1CD8"/>
    <w:rsid w:val="00AD542F"/>
    <w:rsid w:val="00AF2F59"/>
    <w:rsid w:val="00AF7761"/>
    <w:rsid w:val="00B258BB"/>
    <w:rsid w:val="00B406D3"/>
    <w:rsid w:val="00B455F6"/>
    <w:rsid w:val="00B67B97"/>
    <w:rsid w:val="00B81C5B"/>
    <w:rsid w:val="00B8476F"/>
    <w:rsid w:val="00B968C8"/>
    <w:rsid w:val="00BA31A0"/>
    <w:rsid w:val="00BA3EC5"/>
    <w:rsid w:val="00BA51D9"/>
    <w:rsid w:val="00BB5DFC"/>
    <w:rsid w:val="00BD279D"/>
    <w:rsid w:val="00BD58E5"/>
    <w:rsid w:val="00BD6BB8"/>
    <w:rsid w:val="00C51C41"/>
    <w:rsid w:val="00C51E4A"/>
    <w:rsid w:val="00C54ACA"/>
    <w:rsid w:val="00C66BA2"/>
    <w:rsid w:val="00C870F6"/>
    <w:rsid w:val="00C92A9E"/>
    <w:rsid w:val="00C95985"/>
    <w:rsid w:val="00C9599D"/>
    <w:rsid w:val="00CC420D"/>
    <w:rsid w:val="00CC5026"/>
    <w:rsid w:val="00CC68D0"/>
    <w:rsid w:val="00CE5F4B"/>
    <w:rsid w:val="00CF314F"/>
    <w:rsid w:val="00D03F9A"/>
    <w:rsid w:val="00D06D51"/>
    <w:rsid w:val="00D23312"/>
    <w:rsid w:val="00D24991"/>
    <w:rsid w:val="00D50255"/>
    <w:rsid w:val="00D5039E"/>
    <w:rsid w:val="00D61D2E"/>
    <w:rsid w:val="00D66520"/>
    <w:rsid w:val="00D70AD3"/>
    <w:rsid w:val="00D7166A"/>
    <w:rsid w:val="00D743A1"/>
    <w:rsid w:val="00D84AE9"/>
    <w:rsid w:val="00D85CDD"/>
    <w:rsid w:val="00DA7030"/>
    <w:rsid w:val="00DC6826"/>
    <w:rsid w:val="00DD2104"/>
    <w:rsid w:val="00DE34CF"/>
    <w:rsid w:val="00DE3F6C"/>
    <w:rsid w:val="00E02559"/>
    <w:rsid w:val="00E13F3D"/>
    <w:rsid w:val="00E1545D"/>
    <w:rsid w:val="00E214AF"/>
    <w:rsid w:val="00E34898"/>
    <w:rsid w:val="00E56EF5"/>
    <w:rsid w:val="00E66A36"/>
    <w:rsid w:val="00E93EA6"/>
    <w:rsid w:val="00EB09B7"/>
    <w:rsid w:val="00EB32E6"/>
    <w:rsid w:val="00EE13D6"/>
    <w:rsid w:val="00EE7D7C"/>
    <w:rsid w:val="00F24984"/>
    <w:rsid w:val="00F25D98"/>
    <w:rsid w:val="00F300FB"/>
    <w:rsid w:val="00F30676"/>
    <w:rsid w:val="00F40CE2"/>
    <w:rsid w:val="00F93AF1"/>
    <w:rsid w:val="00FB6386"/>
    <w:rsid w:val="00FC1F8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CC420D"/>
    <w:rPr>
      <w:rFonts w:ascii="Times New Roman" w:hAnsi="Times New Roman"/>
      <w:lang w:val="en-GB" w:eastAsia="en-US"/>
    </w:rPr>
  </w:style>
  <w:style w:type="character" w:customStyle="1" w:styleId="B1Char">
    <w:name w:val="B1 Char"/>
    <w:link w:val="B1"/>
    <w:qFormat/>
    <w:locked/>
    <w:rsid w:val="00A03C8E"/>
    <w:rPr>
      <w:rFonts w:ascii="Times New Roman" w:hAnsi="Times New Roman"/>
      <w:lang w:val="en-GB" w:eastAsia="en-US"/>
    </w:rPr>
  </w:style>
  <w:style w:type="character" w:customStyle="1" w:styleId="BalloonTextChar">
    <w:name w:val="Balloon Text Char"/>
    <w:link w:val="BalloonText"/>
    <w:rsid w:val="002B5252"/>
    <w:rPr>
      <w:rFonts w:ascii="Tahoma" w:hAnsi="Tahoma" w:cs="Tahoma"/>
      <w:sz w:val="16"/>
      <w:szCs w:val="16"/>
      <w:lang w:val="en-GB" w:eastAsia="en-US"/>
    </w:rPr>
  </w:style>
  <w:style w:type="paragraph" w:styleId="ListParagraph">
    <w:name w:val="List Paragraph"/>
    <w:basedOn w:val="Normal"/>
    <w:uiPriority w:val="34"/>
    <w:qFormat/>
    <w:rsid w:val="00353DCB"/>
    <w:pPr>
      <w:ind w:left="720"/>
      <w:contextualSpacing/>
    </w:pPr>
  </w:style>
  <w:style w:type="paragraph" w:styleId="Revision">
    <w:name w:val="Revision"/>
    <w:hidden/>
    <w:uiPriority w:val="99"/>
    <w:semiHidden/>
    <w:rsid w:val="00913C82"/>
    <w:rPr>
      <w:rFonts w:ascii="Times New Roman" w:hAnsi="Times New Roman"/>
      <w:lang w:val="en-GB" w:eastAsia="en-US"/>
    </w:rPr>
  </w:style>
  <w:style w:type="character" w:customStyle="1" w:styleId="NOZchn">
    <w:name w:val="NO Zchn"/>
    <w:rsid w:val="00C54ACA"/>
  </w:style>
  <w:style w:type="character" w:customStyle="1" w:styleId="THChar">
    <w:name w:val="TH Char"/>
    <w:link w:val="TH"/>
    <w:qFormat/>
    <w:rsid w:val="00C54ACA"/>
    <w:rPr>
      <w:rFonts w:ascii="Arial" w:hAnsi="Arial"/>
      <w:b/>
      <w:lang w:val="en-GB" w:eastAsia="en-US"/>
    </w:rPr>
  </w:style>
  <w:style w:type="character" w:customStyle="1" w:styleId="TFChar">
    <w:name w:val="TF Char"/>
    <w:link w:val="TF"/>
    <w:rsid w:val="00C54ACA"/>
    <w:rPr>
      <w:rFonts w:ascii="Arial" w:hAnsi="Arial"/>
      <w:b/>
      <w:lang w:val="en-GB" w:eastAsia="en-US"/>
    </w:rPr>
  </w:style>
  <w:style w:type="character" w:customStyle="1" w:styleId="EditorsNoteChar">
    <w:name w:val="Editor's Note Char"/>
    <w:link w:val="EditorsNote"/>
    <w:rsid w:val="00F24984"/>
    <w:rPr>
      <w:rFonts w:ascii="Times New Roman" w:hAnsi="Times New Roman"/>
      <w:color w:val="FF0000"/>
      <w:lang w:val="en-GB" w:eastAsia="en-US"/>
    </w:rPr>
  </w:style>
  <w:style w:type="character" w:customStyle="1" w:styleId="TALChar">
    <w:name w:val="TAL Char"/>
    <w:link w:val="TAL"/>
    <w:rsid w:val="00E1545D"/>
    <w:rPr>
      <w:rFonts w:ascii="Arial" w:hAnsi="Arial"/>
      <w:sz w:val="18"/>
      <w:lang w:val="en-GB" w:eastAsia="en-US"/>
    </w:rPr>
  </w:style>
  <w:style w:type="character" w:customStyle="1" w:styleId="TAHCar">
    <w:name w:val="TAH Car"/>
    <w:link w:val="TAH"/>
    <w:rsid w:val="00E1545D"/>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6290738">
      <w:bodyDiv w:val="1"/>
      <w:marLeft w:val="0"/>
      <w:marRight w:val="0"/>
      <w:marTop w:val="0"/>
      <w:marBottom w:val="0"/>
      <w:divBdr>
        <w:top w:val="none" w:sz="0" w:space="0" w:color="auto"/>
        <w:left w:val="none" w:sz="0" w:space="0" w:color="auto"/>
        <w:bottom w:val="none" w:sz="0" w:space="0" w:color="auto"/>
        <w:right w:val="none" w:sz="0" w:space="0" w:color="auto"/>
      </w:divBdr>
    </w:div>
    <w:div w:id="1539395109">
      <w:bodyDiv w:val="1"/>
      <w:marLeft w:val="0"/>
      <w:marRight w:val="0"/>
      <w:marTop w:val="0"/>
      <w:marBottom w:val="0"/>
      <w:divBdr>
        <w:top w:val="none" w:sz="0" w:space="0" w:color="auto"/>
        <w:left w:val="none" w:sz="0" w:space="0" w:color="auto"/>
        <w:bottom w:val="none" w:sz="0" w:space="0" w:color="auto"/>
        <w:right w:val="none" w:sz="0" w:space="0" w:color="auto"/>
      </w:divBdr>
    </w:div>
    <w:div w:id="1742100119">
      <w:bodyDiv w:val="1"/>
      <w:marLeft w:val="0"/>
      <w:marRight w:val="0"/>
      <w:marTop w:val="0"/>
      <w:marBottom w:val="0"/>
      <w:divBdr>
        <w:top w:val="none" w:sz="0" w:space="0" w:color="auto"/>
        <w:left w:val="none" w:sz="0" w:space="0" w:color="auto"/>
        <w:bottom w:val="none" w:sz="0" w:space="0" w:color="auto"/>
        <w:right w:val="none" w:sz="0" w:space="0" w:color="auto"/>
      </w:divBdr>
    </w:div>
    <w:div w:id="19057235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3</Pages>
  <Words>1174</Words>
  <Characters>6696</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EricssonSS0925</cp:lastModifiedBy>
  <cp:revision>2</cp:revision>
  <cp:lastPrinted>1900-01-01T05:00:00Z</cp:lastPrinted>
  <dcterms:created xsi:type="dcterms:W3CDTF">2023-09-29T20:43:00Z</dcterms:created>
  <dcterms:modified xsi:type="dcterms:W3CDTF">2023-09-29T20:43:00Z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