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C23B" w14:textId="77777777" w:rsidR="00A833FE" w:rsidRDefault="00000000">
      <w:pPr>
        <w:tabs>
          <w:tab w:val="right" w:pos="9638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 WG2 Meeting ##154</w:t>
      </w:r>
      <w:r>
        <w:rPr>
          <w:rFonts w:ascii="Arial" w:eastAsia="Arial" w:hAnsi="Arial" w:cs="Arial"/>
          <w:b/>
          <w:sz w:val="24"/>
          <w:szCs w:val="24"/>
        </w:rPr>
        <w:tab/>
        <w:t>S2-xxx</w:t>
      </w:r>
    </w:p>
    <w:p w14:paraId="3BF10F06" w14:textId="77777777" w:rsidR="00A833FE" w:rsidRDefault="00000000">
      <w:pPr>
        <w:tabs>
          <w:tab w:val="right" w:pos="9638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14-18 November 2022, Toulouse, France</w:t>
      </w:r>
    </w:p>
    <w:p w14:paraId="29DA3EDC" w14:textId="77777777" w:rsidR="00A833FE" w:rsidRDefault="00A833FE">
      <w:pPr>
        <w:pBdr>
          <w:bottom w:val="single" w:sz="4" w:space="1" w:color="000000"/>
        </w:pBdr>
        <w:tabs>
          <w:tab w:val="right" w:pos="9638"/>
        </w:tabs>
        <w:rPr>
          <w:rFonts w:ascii="Arial" w:eastAsia="Arial" w:hAnsi="Arial" w:cs="Arial"/>
          <w:b/>
          <w:sz w:val="24"/>
          <w:szCs w:val="24"/>
        </w:rPr>
      </w:pPr>
    </w:p>
    <w:p w14:paraId="34AA440E" w14:textId="77777777" w:rsidR="00A833FE" w:rsidRDefault="00000000">
      <w:pPr>
        <w:ind w:left="2127" w:hanging="2127"/>
        <w:rPr>
          <w:b/>
        </w:rPr>
      </w:pPr>
      <w:r>
        <w:rPr>
          <w:b/>
        </w:rPr>
        <w:t xml:space="preserve">Source: </w:t>
      </w:r>
      <w:r>
        <w:rPr>
          <w:b/>
        </w:rPr>
        <w:tab/>
        <w:t>Meta USA</w:t>
      </w:r>
    </w:p>
    <w:p w14:paraId="0301A787" w14:textId="77777777" w:rsidR="00A833FE" w:rsidRDefault="00000000">
      <w:pPr>
        <w:ind w:left="2127" w:hanging="2127"/>
        <w:rPr>
          <w:b/>
        </w:rPr>
      </w:pPr>
      <w:r>
        <w:rPr>
          <w:b/>
        </w:rPr>
        <w:t>Title:</w:t>
      </w:r>
      <w:r>
        <w:rPr>
          <w:b/>
        </w:rPr>
        <w:tab/>
        <w:t xml:space="preserve">New 5QI for </w:t>
      </w:r>
      <w:proofErr w:type="spellStart"/>
      <w:r>
        <w:rPr>
          <w:b/>
        </w:rPr>
        <w:t>xR</w:t>
      </w:r>
      <w:proofErr w:type="spellEnd"/>
      <w:r>
        <w:rPr>
          <w:b/>
        </w:rPr>
        <w:t xml:space="preserve"> media </w:t>
      </w:r>
    </w:p>
    <w:p w14:paraId="7184A2BB" w14:textId="77777777" w:rsidR="00A833FE" w:rsidRDefault="00000000">
      <w:pPr>
        <w:ind w:left="2127" w:hanging="2127"/>
        <w:rPr>
          <w:b/>
        </w:rPr>
      </w:pPr>
      <w:r>
        <w:rPr>
          <w:b/>
        </w:rPr>
        <w:t>Document for:</w:t>
      </w:r>
      <w:r>
        <w:rPr>
          <w:b/>
        </w:rPr>
        <w:tab/>
        <w:t>Discussion and Decision</w:t>
      </w:r>
    </w:p>
    <w:p w14:paraId="0863E516" w14:textId="77777777" w:rsidR="00A833FE" w:rsidRDefault="00000000">
      <w:pPr>
        <w:ind w:left="2127" w:hanging="2127"/>
        <w:rPr>
          <w:b/>
        </w:rPr>
      </w:pPr>
      <w:r>
        <w:rPr>
          <w:b/>
        </w:rPr>
        <w:t>Agenda Item:</w:t>
      </w:r>
      <w:r>
        <w:rPr>
          <w:b/>
        </w:rPr>
        <w:tab/>
        <w:t>10.3</w:t>
      </w:r>
    </w:p>
    <w:p w14:paraId="7B583EDA" w14:textId="77777777" w:rsidR="00A833FE" w:rsidRDefault="00000000">
      <w:pPr>
        <w:ind w:left="2127" w:hanging="2127"/>
        <w:rPr>
          <w:b/>
        </w:rPr>
      </w:pPr>
      <w:r>
        <w:rPr>
          <w:b/>
        </w:rPr>
        <w:t>Work Item / Release:</w:t>
      </w:r>
      <w:r>
        <w:rPr>
          <w:b/>
        </w:rPr>
        <w:tab/>
        <w:t>XRM</w:t>
      </w:r>
      <w:r>
        <w:rPr>
          <w:b/>
        </w:rPr>
        <w:tab/>
      </w:r>
    </w:p>
    <w:p w14:paraId="03702470" w14:textId="77777777" w:rsidR="00A833FE" w:rsidRDefault="00000000">
      <w:pPr>
        <w:pStyle w:val="Heading1"/>
      </w:pPr>
      <w:r>
        <w:t>1. Introduction</w:t>
      </w:r>
      <w:bookmarkStart w:id="0" w:name="bookmark=id.2s8eyo1" w:colFirst="0" w:colLast="0"/>
      <w:bookmarkStart w:id="1" w:name="bookmark=id.30j0zll" w:colFirst="0" w:colLast="0"/>
      <w:bookmarkStart w:id="2" w:name="bookmark=id.3dy6vkm" w:colFirst="0" w:colLast="0"/>
      <w:bookmarkStart w:id="3" w:name="bookmark=id.17dp8vu" w:colFirst="0" w:colLast="0"/>
      <w:bookmarkStart w:id="4" w:name="bookmark=id.1fob9te" w:colFirst="0" w:colLast="0"/>
      <w:bookmarkStart w:id="5" w:name="bookmark=id.2et92p0" w:colFirst="0" w:colLast="0"/>
      <w:bookmarkStart w:id="6" w:name="bookmark=id.3znysh7" w:colFirst="0" w:colLast="0"/>
      <w:bookmarkStart w:id="7" w:name="bookmark=id.gjdgxs" w:colFirst="0" w:colLast="0"/>
      <w:bookmarkStart w:id="8" w:name="bookmark=id.tyjcwt" w:colFirst="0" w:colLast="0"/>
      <w:bookmarkStart w:id="9" w:name="bookmark=id.4d34og8" w:colFirst="0" w:colLast="0"/>
      <w:bookmarkStart w:id="10" w:name="bookmark=id.1t3h5sf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0329E41" w14:textId="77777777" w:rsidR="00A833FE" w:rsidRDefault="00000000">
      <w:r>
        <w:t>Both SID/WID for “Architecture Enhancements for XR (Extended Reality) and media service” include the following NOTE:</w:t>
      </w:r>
    </w:p>
    <w:p w14:paraId="30EDD49E" w14:textId="77777777" w:rsidR="00A833FE" w:rsidRDefault="00000000">
      <w:pPr>
        <w:ind w:left="720"/>
      </w:pPr>
      <w:r>
        <w:t>NOTE: Whether to define a network slice type supporting media services can be determined during the normative phase.</w:t>
      </w:r>
    </w:p>
    <w:p w14:paraId="2F02834C" w14:textId="77777777" w:rsidR="00A833FE" w:rsidRDefault="00000000">
      <w:r>
        <w:t>Beside the potential new network slide type definition, it is proposed to also discuss the potential new 5QI during the normative phase by adding the following NOTE to the WID:</w:t>
      </w:r>
    </w:p>
    <w:p w14:paraId="0E73D0EE" w14:textId="77777777" w:rsidR="00A833FE" w:rsidRDefault="00000000">
      <w:pPr>
        <w:ind w:left="720"/>
      </w:pPr>
      <w:r>
        <w:t>NOTE 2: Whether to define a new 5QI for supporting media services can be determined during the normative phase.</w:t>
      </w:r>
    </w:p>
    <w:p w14:paraId="0C22F788" w14:textId="77777777" w:rsidR="00A833FE" w:rsidRDefault="00000000">
      <w:pPr>
        <w:pStyle w:val="Heading1"/>
      </w:pPr>
      <w:r>
        <w:t>2. Discussion</w:t>
      </w:r>
    </w:p>
    <w:p w14:paraId="347ED14F" w14:textId="77777777" w:rsidR="00A833FE" w:rsidRDefault="00000000">
      <w:r>
        <w:t xml:space="preserve">In the current 5QI definition in TS 23.501, 5QI=80 is cited with “Augmented Reality” as application examples.  However, we believe that its current definition (for 5QI=80) is not sufficient. Let’s use 5QI of 2/6/8 that are typically used for Live_Video/Premimun_internet_traffic/Best_effort_internet_traffic </w:t>
      </w:r>
      <w:proofErr w:type="spellStart"/>
      <w:r>
        <w:t>for</w:t>
      </w:r>
      <w:proofErr w:type="spellEnd"/>
      <w:r>
        <w:t xml:space="preserve"> comparison purposes below.</w:t>
      </w:r>
    </w:p>
    <w:tbl>
      <w:tblPr>
        <w:tblStyle w:val="a0"/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56"/>
        <w:gridCol w:w="903"/>
        <w:gridCol w:w="1138"/>
        <w:gridCol w:w="851"/>
        <w:gridCol w:w="1164"/>
        <w:gridCol w:w="1554"/>
        <w:gridCol w:w="2034"/>
      </w:tblGrid>
      <w:tr w:rsidR="00A833FE" w14:paraId="564018A3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0805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5QI</w:t>
            </w:r>
          </w:p>
          <w:p w14:paraId="5FB77B3D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FCEDF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Resource Type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FFE9B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Default Priority Level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73FA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Packet Delay Budget</w:t>
            </w:r>
          </w:p>
          <w:p w14:paraId="44E0A34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(NOTE 3)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3F569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Packet Error</w:t>
            </w:r>
          </w:p>
          <w:p w14:paraId="5C4AC69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Rate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0613F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Default Maximum Data Burst Volume</w:t>
            </w:r>
          </w:p>
          <w:p w14:paraId="788F8D0B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(NOTE 2)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2D31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Default</w:t>
            </w:r>
          </w:p>
          <w:p w14:paraId="7107CE39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Averaging Window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508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Example Services</w:t>
            </w:r>
          </w:p>
        </w:tc>
      </w:tr>
      <w:tr w:rsidR="00A833FE" w14:paraId="6C762A4A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E12C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228BBE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GBR</w:t>
            </w:r>
          </w:p>
          <w:p w14:paraId="4957EE2F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1)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96C25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6B6EE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</w:p>
          <w:p w14:paraId="02F4D375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11,</w:t>
            </w:r>
          </w:p>
          <w:p w14:paraId="0560E0E3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13)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0A00C7A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B9501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01943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2000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5E745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Conversational Video (Live Streaming)</w:t>
            </w:r>
          </w:p>
        </w:tc>
      </w:tr>
      <w:tr w:rsidR="00A833FE" w14:paraId="085229D4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0C414C20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40122930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13C2EDCF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3829C9BC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362CF93B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76620E4B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2ACB467D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535BEAF9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833FE" w14:paraId="62FFD6D1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B558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ADCA27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Non-GBR</w:t>
            </w:r>
          </w:p>
          <w:p w14:paraId="5831226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1)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70014991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FFF2CC"/>
              </w:rPr>
              <w:t>60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02773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300 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</w:p>
          <w:p w14:paraId="75A656A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10,</w:t>
            </w:r>
          </w:p>
          <w:p w14:paraId="0956D921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13)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46ABA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10-6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F540F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8B24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BCD59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Video (Buffered Streaming)</w:t>
            </w:r>
          </w:p>
          <w:p w14:paraId="60817F5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TCP-based 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www, e-mail, chat, ftp, p2p file sharing, progressive video, etc.)</w:t>
            </w:r>
          </w:p>
        </w:tc>
      </w:tr>
      <w:tr w:rsidR="00A833FE" w14:paraId="05A1B74E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10D6F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CD1851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AAFB7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80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40CF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300 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</w:p>
          <w:p w14:paraId="1E91775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13)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CB6E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10-6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265E9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N/A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C5DE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N/A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A707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Video (Buffered Streaming)</w:t>
            </w:r>
          </w:p>
          <w:p w14:paraId="34D90BAD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TCP-based 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www, e-mail, chat, ftp, p2p file sharing, progressive</w:t>
            </w:r>
          </w:p>
        </w:tc>
      </w:tr>
      <w:tr w:rsidR="00A833FE" w14:paraId="11A6E2C4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1DB71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4C490D" w14:textId="77777777" w:rsidR="00A833FE" w:rsidRDefault="00A833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B711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14:paraId="654EFC89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10 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ms</w:t>
            </w:r>
            <w:proofErr w:type="spellEnd"/>
          </w:p>
          <w:p w14:paraId="223B0AE8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5,</w:t>
            </w:r>
          </w:p>
          <w:p w14:paraId="4E1E38C7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10)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5039B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10-6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83EEE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3006A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38EB8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Low Latency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eMBB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applications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Augmented Reality</w:t>
            </w:r>
          </w:p>
        </w:tc>
      </w:tr>
      <w:tr w:rsidR="00A833FE" w14:paraId="1FB3B98A" w14:textId="77777777">
        <w:trPr>
          <w:cantSplit/>
          <w:jc w:val="center"/>
        </w:trPr>
        <w:tc>
          <w:tcPr>
            <w:tcW w:w="97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63C57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 w:hanging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 packet which is delayed more than PDB is not counted as lost, thus not included in the PER.</w:t>
            </w:r>
          </w:p>
          <w:p w14:paraId="6955A5DA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 w:hanging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5: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A static value for the CN PDB of 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 the delay between a UPF terminating N6 and a 5G-AN should be subtracted from a given PDB to derive the packet delay budget that applies to the radio interface. When a dynamic CN PDB is used, see clause 5.7.3.4.</w:t>
            </w:r>
          </w:p>
          <w:p w14:paraId="15C88AA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 w:hanging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10: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In both RRC Idle and RRC Connected mode, the PDB requirement for these 5QIs can be relaxed for the first packet(s) in a downlink data or signalling burst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order to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permit battery saving (DRX) techniques.</w:t>
            </w:r>
          </w:p>
          <w:p w14:paraId="497B856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 w:hanging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11: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In RRC Idle mode, the PDB requirement for these 5QIs can be relaxed for the first packet(s) in a downlink data or signalling burst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order to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permit battery saving (DRX) techniques.</w:t>
            </w:r>
          </w:p>
          <w:p w14:paraId="22B89EE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51" w:hanging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13: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 static value for the CN PDB of 20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 the delay between a UPF terminating N6 and a 5G-AN should be subtracted from a given PDB to derive the packet delay budget that applies to the radio interface.</w:t>
            </w:r>
          </w:p>
        </w:tc>
      </w:tr>
    </w:tbl>
    <w:p w14:paraId="4CE1A585" w14:textId="77777777" w:rsidR="00A833FE" w:rsidRDefault="00A833FE"/>
    <w:p w14:paraId="0797B69D" w14:textId="77777777" w:rsidR="00A833FE" w:rsidRDefault="00000000">
      <w:r>
        <w:t xml:space="preserve">We believe a new 5QI definition for </w:t>
      </w:r>
      <w:proofErr w:type="spellStart"/>
      <w:r>
        <w:t>xR</w:t>
      </w:r>
      <w:proofErr w:type="spellEnd"/>
      <w:r>
        <w:t xml:space="preserve"> should be more aligned with PER=</w:t>
      </w:r>
      <w:r>
        <w:rPr>
          <w:b/>
        </w:rPr>
        <w:t>10</w:t>
      </w:r>
      <w:r>
        <w:rPr>
          <w:b/>
          <w:sz w:val="22"/>
          <w:szCs w:val="22"/>
          <w:vertAlign w:val="superscript"/>
        </w:rPr>
        <w:t>-3</w:t>
      </w:r>
      <w:r>
        <w:t xml:space="preserve"> and priority level &lt;= 60 which is </w:t>
      </w:r>
      <w:proofErr w:type="gramStart"/>
      <w:r>
        <w:t>similar to</w:t>
      </w:r>
      <w:proofErr w:type="gramEnd"/>
      <w:r>
        <w:t xml:space="preserve"> premium internet service with 5QI=6. This is because </w:t>
      </w:r>
      <w:proofErr w:type="spellStart"/>
      <w:r>
        <w:t>xR</w:t>
      </w:r>
      <w:proofErr w:type="spellEnd"/>
      <w:r>
        <w:t xml:space="preserve"> with good </w:t>
      </w:r>
      <w:proofErr w:type="spellStart"/>
      <w:r>
        <w:t>QoE</w:t>
      </w:r>
      <w:proofErr w:type="spellEnd"/>
      <w:r>
        <w:t xml:space="preserve"> needs to have at least the same scheduling resource priority at the RAN level with </w:t>
      </w:r>
      <w:proofErr w:type="gramStart"/>
      <w:r>
        <w:t>other</w:t>
      </w:r>
      <w:proofErr w:type="gramEnd"/>
      <w:r>
        <w:t xml:space="preserve"> premium internet traffics but the PER should be performed similarly as with live video stream. The other important factor is PDB which should be kept as 10ms as with 5QI=80.</w:t>
      </w:r>
    </w:p>
    <w:p w14:paraId="62454999" w14:textId="77777777" w:rsidR="00A833FE" w:rsidRDefault="00000000">
      <w:r>
        <w:t xml:space="preserve">In other words, we believe the following new 5QI needs to be introduced for </w:t>
      </w:r>
      <w:proofErr w:type="spellStart"/>
      <w:r>
        <w:t>xR</w:t>
      </w:r>
      <w:proofErr w:type="spellEnd"/>
      <w:r>
        <w:t xml:space="preserve"> media service during the normative phase.</w:t>
      </w:r>
    </w:p>
    <w:tbl>
      <w:tblPr>
        <w:tblStyle w:val="a1"/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56"/>
        <w:gridCol w:w="903"/>
        <w:gridCol w:w="1138"/>
        <w:gridCol w:w="851"/>
        <w:gridCol w:w="1164"/>
        <w:gridCol w:w="1554"/>
        <w:gridCol w:w="2034"/>
      </w:tblGrid>
      <w:tr w:rsidR="00A833FE" w14:paraId="64D4C8FE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5650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5QI</w:t>
            </w:r>
          </w:p>
          <w:p w14:paraId="10A0727E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4F5CE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Resource Type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6DC38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Default Priority Level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B17E6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Packet Delay Budget</w:t>
            </w:r>
          </w:p>
          <w:p w14:paraId="4F70BE4D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(NOTE 3)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17175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Packet Error</w:t>
            </w:r>
          </w:p>
          <w:p w14:paraId="70AA550A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Rate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D6209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Default Maximum Data Burst Volume</w:t>
            </w:r>
          </w:p>
          <w:p w14:paraId="37F6C16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(NOTE 2)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71106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Default</w:t>
            </w:r>
          </w:p>
          <w:p w14:paraId="5D04BCEA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Averaging Window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03D85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Example Services</w:t>
            </w:r>
          </w:p>
        </w:tc>
      </w:tr>
      <w:tr w:rsidR="00A833FE" w14:paraId="06C69907" w14:textId="77777777">
        <w:trPr>
          <w:cantSplit/>
          <w:jc w:val="center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FA285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7AB7E3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Non-GBR</w:t>
            </w:r>
          </w:p>
          <w:p w14:paraId="66ED44B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 1)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15A93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90AAA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60 or better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C8130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</w:t>
            </w:r>
            <w:proofErr w:type="spellEnd"/>
          </w:p>
          <w:p w14:paraId="7EE4C25C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(NOTE 5,</w:t>
            </w:r>
          </w:p>
          <w:p w14:paraId="29013EE8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NOTE 10)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70AF2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10-3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BB663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0D0F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CE414" w14:textId="77777777" w:rsidR="00A833F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Low Latency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applications</w:t>
            </w:r>
          </w:p>
        </w:tc>
      </w:tr>
    </w:tbl>
    <w:p w14:paraId="0BE95925" w14:textId="77777777" w:rsidR="00A833FE" w:rsidRDefault="00A833FE"/>
    <w:p w14:paraId="120D8B61" w14:textId="77777777" w:rsidR="00A833FE" w:rsidRDefault="00000000">
      <w:pPr>
        <w:pStyle w:val="Heading1"/>
      </w:pPr>
      <w:r>
        <w:t>Proposal</w:t>
      </w:r>
    </w:p>
    <w:p w14:paraId="2CA8BECA" w14:textId="77777777" w:rsidR="00A833FE" w:rsidRDefault="00000000">
      <w:pPr>
        <w:spacing w:after="120"/>
        <w:ind w:left="1985" w:hanging="19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 the following to the XRM WID:</w:t>
      </w:r>
    </w:p>
    <w:p w14:paraId="60AC07D9" w14:textId="77777777" w:rsidR="00A833FE" w:rsidRDefault="00000000">
      <w:r>
        <w:t>NOTE 2: Whether to define a new 5QI for supporting media services can be determined during the normative phase.</w:t>
      </w:r>
    </w:p>
    <w:p w14:paraId="42B60013" w14:textId="77777777" w:rsidR="00A833FE" w:rsidRDefault="00000000">
      <w:pPr>
        <w:spacing w:after="120"/>
        <w:ind w:left="1985" w:hanging="1985"/>
      </w:pPr>
      <w:r>
        <w:rPr>
          <w:rFonts w:ascii="Arial" w:eastAsia="Arial" w:hAnsi="Arial" w:cs="Arial"/>
          <w:b/>
        </w:rPr>
        <w:t>See S2-xxxxxx.</w:t>
      </w:r>
    </w:p>
    <w:p w14:paraId="5B2DB67D" w14:textId="77777777" w:rsidR="00A833FE" w:rsidRDefault="00A833FE"/>
    <w:sectPr w:rsidR="00A833FE">
      <w:pgSz w:w="11907" w:h="16840"/>
      <w:pgMar w:top="1021" w:right="1021" w:bottom="1021" w:left="1021" w:header="720" w:footer="57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14F2A"/>
    <w:multiLevelType w:val="multilevel"/>
    <w:tmpl w:val="AC2ECE58"/>
    <w:lvl w:ilvl="0">
      <w:start w:val="1"/>
      <w:numFmt w:val="decimal"/>
      <w:pStyle w:val="DECIS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9721168">
    <w:abstractNumId w:val="0"/>
  </w:num>
  <w:num w:numId="2" w16cid:durableId="867451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427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942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FE"/>
    <w:rsid w:val="007F6C3C"/>
    <w:rsid w:val="00A833FE"/>
    <w:rsid w:val="00D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ED896"/>
  <w15:docId w15:val="{75ECA084-4CCE-2143-9BEF-818053F9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4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next w:val="Normal"/>
    <w:uiPriority w:val="9"/>
    <w:qFormat/>
    <w:rsid w:val="008C6E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8C6E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rsid w:val="008C6E4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8C6E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8C6E4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8C6E40"/>
    <w:pPr>
      <w:outlineLvl w:val="5"/>
    </w:pPr>
  </w:style>
  <w:style w:type="paragraph" w:styleId="Heading7">
    <w:name w:val="heading 7"/>
    <w:basedOn w:val="H6"/>
    <w:next w:val="Normal"/>
    <w:qFormat/>
    <w:rsid w:val="008C6E40"/>
    <w:pPr>
      <w:outlineLvl w:val="6"/>
    </w:pPr>
  </w:style>
  <w:style w:type="paragraph" w:styleId="Heading8">
    <w:name w:val="heading 8"/>
    <w:basedOn w:val="Heading1"/>
    <w:next w:val="Normal"/>
    <w:qFormat/>
    <w:rsid w:val="008C6E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C6E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6">
    <w:name w:val="H6"/>
    <w:basedOn w:val="Heading5"/>
    <w:next w:val="Normal"/>
    <w:rsid w:val="008C6E40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rsid w:val="008C6E40"/>
    <w:pPr>
      <w:ind w:left="1135"/>
    </w:pPr>
  </w:style>
  <w:style w:type="paragraph" w:styleId="List2">
    <w:name w:val="List 2"/>
    <w:basedOn w:val="List"/>
    <w:semiHidden/>
    <w:rsid w:val="008C6E40"/>
    <w:pPr>
      <w:ind w:left="851"/>
    </w:pPr>
  </w:style>
  <w:style w:type="paragraph" w:styleId="List">
    <w:name w:val="List"/>
    <w:basedOn w:val="Normal"/>
    <w:semiHidden/>
    <w:rsid w:val="008C6E40"/>
    <w:pPr>
      <w:ind w:left="568" w:hanging="284"/>
    </w:pPr>
  </w:style>
  <w:style w:type="paragraph" w:styleId="TOC7">
    <w:name w:val="toc 7"/>
    <w:basedOn w:val="TOC6"/>
    <w:next w:val="Normal"/>
    <w:semiHidden/>
    <w:rsid w:val="008C6E40"/>
    <w:pPr>
      <w:ind w:left="2268" w:hanging="2268"/>
    </w:pPr>
  </w:style>
  <w:style w:type="paragraph" w:styleId="TOC6">
    <w:name w:val="toc 6"/>
    <w:basedOn w:val="TOC5"/>
    <w:next w:val="Normal"/>
    <w:semiHidden/>
    <w:rsid w:val="008C6E40"/>
    <w:pPr>
      <w:ind w:left="1985" w:hanging="1985"/>
    </w:pPr>
  </w:style>
  <w:style w:type="paragraph" w:styleId="TOC5">
    <w:name w:val="toc 5"/>
    <w:basedOn w:val="TOC4"/>
    <w:semiHidden/>
    <w:rsid w:val="008C6E40"/>
    <w:pPr>
      <w:ind w:left="1701" w:hanging="1701"/>
    </w:pPr>
  </w:style>
  <w:style w:type="paragraph" w:styleId="TOC4">
    <w:name w:val="toc 4"/>
    <w:basedOn w:val="TOC3"/>
    <w:semiHidden/>
    <w:rsid w:val="008C6E40"/>
    <w:pPr>
      <w:ind w:left="1418" w:hanging="1418"/>
    </w:pPr>
  </w:style>
  <w:style w:type="paragraph" w:styleId="TOC3">
    <w:name w:val="toc 3"/>
    <w:basedOn w:val="TOC2"/>
    <w:semiHidden/>
    <w:rsid w:val="008C6E40"/>
    <w:pPr>
      <w:ind w:left="1134" w:hanging="1134"/>
    </w:pPr>
  </w:style>
  <w:style w:type="paragraph" w:styleId="TOC2">
    <w:name w:val="toc 2"/>
    <w:basedOn w:val="TOC1"/>
    <w:semiHidden/>
    <w:rsid w:val="008C6E40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8C6E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/>
      <w:ind w:left="567" w:right="425" w:hanging="567"/>
      <w:textAlignment w:val="baseline"/>
    </w:pPr>
    <w:rPr>
      <w:noProof/>
      <w:sz w:val="22"/>
      <w:lang w:eastAsia="en-GB"/>
    </w:rPr>
  </w:style>
  <w:style w:type="paragraph" w:styleId="ListNumber2">
    <w:name w:val="List Number 2"/>
    <w:basedOn w:val="ListNumber"/>
    <w:semiHidden/>
    <w:rsid w:val="008C6E40"/>
    <w:pPr>
      <w:ind w:left="851"/>
    </w:pPr>
  </w:style>
  <w:style w:type="paragraph" w:styleId="ListNumber">
    <w:name w:val="List Number"/>
    <w:basedOn w:val="List"/>
    <w:semiHidden/>
    <w:rsid w:val="008C6E40"/>
  </w:style>
  <w:style w:type="paragraph" w:styleId="ListBullet4">
    <w:name w:val="List Bullet 4"/>
    <w:basedOn w:val="ListBullet3"/>
    <w:semiHidden/>
    <w:rsid w:val="008C6E40"/>
    <w:pPr>
      <w:ind w:left="1418"/>
    </w:pPr>
  </w:style>
  <w:style w:type="paragraph" w:styleId="ListBullet3">
    <w:name w:val="List Bullet 3"/>
    <w:basedOn w:val="ListBullet2"/>
    <w:semiHidden/>
    <w:rsid w:val="008C6E40"/>
    <w:pPr>
      <w:ind w:left="1135"/>
    </w:pPr>
  </w:style>
  <w:style w:type="paragraph" w:styleId="ListBullet2">
    <w:name w:val="List Bullet 2"/>
    <w:basedOn w:val="ListBullet"/>
    <w:semiHidden/>
    <w:rsid w:val="008C6E40"/>
    <w:pPr>
      <w:ind w:left="851"/>
    </w:pPr>
  </w:style>
  <w:style w:type="paragraph" w:styleId="ListBullet">
    <w:name w:val="List Bullet"/>
    <w:basedOn w:val="List"/>
    <w:semiHidden/>
    <w:rsid w:val="008C6E40"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rsid w:val="008C6E40"/>
    <w:pPr>
      <w:ind w:left="1702"/>
    </w:pPr>
  </w:style>
  <w:style w:type="paragraph" w:styleId="TOC8">
    <w:name w:val="toc 8"/>
    <w:basedOn w:val="TOC1"/>
    <w:semiHidden/>
    <w:rsid w:val="008C6E40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rsid w:val="008C6E40"/>
    <w:pPr>
      <w:jc w:val="center"/>
    </w:pPr>
    <w:rPr>
      <w:i/>
    </w:rPr>
  </w:style>
  <w:style w:type="paragraph" w:styleId="Header">
    <w:name w:val="header"/>
    <w:link w:val="HeaderChar"/>
    <w:rsid w:val="008C6E40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b/>
      <w:noProof/>
      <w:sz w:val="18"/>
      <w:lang w:eastAsia="en-GB"/>
    </w:rPr>
  </w:style>
  <w:style w:type="paragraph" w:styleId="FootnoteText">
    <w:name w:val="footnote text"/>
    <w:basedOn w:val="Normal"/>
    <w:link w:val="FootnoteTextChar"/>
    <w:semiHidden/>
    <w:rsid w:val="008C6E40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rsid w:val="008C6E40"/>
    <w:pPr>
      <w:ind w:left="1702"/>
    </w:pPr>
  </w:style>
  <w:style w:type="paragraph" w:styleId="List4">
    <w:name w:val="List 4"/>
    <w:basedOn w:val="List3"/>
    <w:semiHidden/>
    <w:rsid w:val="008C6E40"/>
    <w:pPr>
      <w:ind w:left="1418"/>
    </w:pPr>
  </w:style>
  <w:style w:type="paragraph" w:styleId="TOC9">
    <w:name w:val="toc 9"/>
    <w:basedOn w:val="TOC8"/>
    <w:semiHidden/>
    <w:rsid w:val="008C6E40"/>
    <w:pPr>
      <w:ind w:left="1418" w:hanging="1418"/>
    </w:pPr>
  </w:style>
  <w:style w:type="paragraph" w:styleId="Index1">
    <w:name w:val="index 1"/>
    <w:basedOn w:val="Normal"/>
    <w:semiHidden/>
    <w:rsid w:val="008C6E40"/>
    <w:pPr>
      <w:keepLines/>
      <w:spacing w:after="0"/>
    </w:pPr>
  </w:style>
  <w:style w:type="paragraph" w:styleId="Index2">
    <w:name w:val="index 2"/>
    <w:basedOn w:val="Index1"/>
    <w:semiHidden/>
    <w:rsid w:val="008C6E40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character" w:styleId="FootnoteReference">
    <w:name w:val="footnote reference"/>
    <w:basedOn w:val="DefaultParagraphFont"/>
    <w:semiHidden/>
    <w:rsid w:val="008C6E40"/>
    <w:rPr>
      <w:b/>
      <w:position w:val="6"/>
      <w:sz w:val="16"/>
    </w:rPr>
  </w:style>
  <w:style w:type="paragraph" w:customStyle="1" w:styleId="B1">
    <w:name w:val="B1"/>
    <w:basedOn w:val="List"/>
    <w:link w:val="B1Char"/>
    <w:rsid w:val="008C6E40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num" w:pos="72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ind w:left="720" w:hanging="720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ZT">
    <w:name w:val="ZT"/>
    <w:rsid w:val="008C6E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customStyle="1" w:styleId="ZH">
    <w:name w:val="ZH"/>
    <w:rsid w:val="008C6E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Heading1"/>
    <w:next w:val="Normal"/>
    <w:rsid w:val="008C6E40"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rsid w:val="008C6E40"/>
    <w:rPr>
      <w:b/>
    </w:rPr>
  </w:style>
  <w:style w:type="paragraph" w:customStyle="1" w:styleId="TAC">
    <w:name w:val="TAC"/>
    <w:basedOn w:val="TAL"/>
    <w:rsid w:val="008C6E40"/>
    <w:pPr>
      <w:jc w:val="center"/>
    </w:pPr>
  </w:style>
  <w:style w:type="paragraph" w:customStyle="1" w:styleId="TAL">
    <w:name w:val="TAL"/>
    <w:basedOn w:val="Normal"/>
    <w:link w:val="TALChar"/>
    <w:rsid w:val="008C6E40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8C6E40"/>
    <w:pPr>
      <w:keepNext w:val="0"/>
      <w:spacing w:before="0" w:after="240"/>
    </w:pPr>
  </w:style>
  <w:style w:type="paragraph" w:customStyle="1" w:styleId="TH">
    <w:name w:val="TH"/>
    <w:basedOn w:val="Normal"/>
    <w:rsid w:val="008C6E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8C6E40"/>
    <w:pPr>
      <w:keepLines/>
      <w:ind w:left="1135" w:hanging="851"/>
    </w:pPr>
  </w:style>
  <w:style w:type="paragraph" w:customStyle="1" w:styleId="EX">
    <w:name w:val="EX"/>
    <w:basedOn w:val="Normal"/>
    <w:rsid w:val="008C6E40"/>
    <w:pPr>
      <w:keepLines/>
      <w:ind w:left="1702" w:hanging="1418"/>
    </w:pPr>
  </w:style>
  <w:style w:type="paragraph" w:customStyle="1" w:styleId="FP">
    <w:name w:val="FP"/>
    <w:basedOn w:val="Normal"/>
    <w:rsid w:val="008C6E40"/>
    <w:pPr>
      <w:spacing w:after="0"/>
    </w:pPr>
  </w:style>
  <w:style w:type="paragraph" w:customStyle="1" w:styleId="LD">
    <w:name w:val="LD"/>
    <w:rsid w:val="008C6E40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8C6E40"/>
    <w:pPr>
      <w:spacing w:after="0"/>
    </w:pPr>
  </w:style>
  <w:style w:type="paragraph" w:customStyle="1" w:styleId="EW">
    <w:name w:val="EW"/>
    <w:basedOn w:val="EX"/>
    <w:rsid w:val="008C6E40"/>
    <w:pPr>
      <w:spacing w:after="0"/>
    </w:pPr>
  </w:style>
  <w:style w:type="paragraph" w:customStyle="1" w:styleId="EQ">
    <w:name w:val="EQ"/>
    <w:basedOn w:val="Normal"/>
    <w:next w:val="Normal"/>
    <w:rsid w:val="008C6E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8C6E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C6E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8C6E40"/>
    <w:pPr>
      <w:jc w:val="right"/>
    </w:pPr>
  </w:style>
  <w:style w:type="paragraph" w:customStyle="1" w:styleId="TAN">
    <w:name w:val="TAN"/>
    <w:basedOn w:val="TAL"/>
    <w:rsid w:val="008C6E40"/>
    <w:pPr>
      <w:ind w:left="851" w:hanging="851"/>
    </w:pPr>
  </w:style>
  <w:style w:type="paragraph" w:customStyle="1" w:styleId="ZA">
    <w:name w:val="ZA"/>
    <w:rsid w:val="008C6E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8C6E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8C6E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8C6E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8C6E40"/>
    <w:pPr>
      <w:framePr w:wrap="notBeside" w:y="16161"/>
    </w:pPr>
  </w:style>
  <w:style w:type="character" w:customStyle="1" w:styleId="ZGSM">
    <w:name w:val="ZGSM"/>
    <w:rsid w:val="008C6E40"/>
  </w:style>
  <w:style w:type="paragraph" w:customStyle="1" w:styleId="ZG">
    <w:name w:val="ZG"/>
    <w:rsid w:val="008C6E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EditorsNote">
    <w:name w:val="Editor's Note"/>
    <w:basedOn w:val="NO"/>
    <w:rsid w:val="008C6E40"/>
    <w:rPr>
      <w:color w:val="FF0000"/>
    </w:rPr>
  </w:style>
  <w:style w:type="paragraph" w:customStyle="1" w:styleId="B2">
    <w:name w:val="B2"/>
    <w:basedOn w:val="List2"/>
    <w:rsid w:val="008C6E40"/>
  </w:style>
  <w:style w:type="paragraph" w:customStyle="1" w:styleId="B3">
    <w:name w:val="B3"/>
    <w:basedOn w:val="List3"/>
    <w:rsid w:val="008C6E40"/>
  </w:style>
  <w:style w:type="paragraph" w:customStyle="1" w:styleId="B4">
    <w:name w:val="B4"/>
    <w:basedOn w:val="List4"/>
    <w:rsid w:val="008C6E40"/>
  </w:style>
  <w:style w:type="paragraph" w:customStyle="1" w:styleId="B5">
    <w:name w:val="B5"/>
    <w:basedOn w:val="List5"/>
    <w:rsid w:val="008C6E40"/>
  </w:style>
  <w:style w:type="paragraph" w:customStyle="1" w:styleId="ZTD">
    <w:name w:val="ZTD"/>
    <w:basedOn w:val="ZB"/>
    <w:rsid w:val="008C6E40"/>
    <w:pPr>
      <w:framePr w:hRule="auto" w:wrap="notBeside" w:y="852"/>
    </w:pPr>
    <w:rPr>
      <w:i w:val="0"/>
      <w:sz w:val="40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paragraph" w:customStyle="1" w:styleId="Revision1">
    <w:name w:val="Revision1"/>
    <w:hidden/>
    <w:uiPriority w:val="99"/>
    <w:semiHidden/>
    <w:qFormat/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overflowPunct/>
      <w:autoSpaceDE/>
      <w:autoSpaceDN/>
      <w:adjustRightInd/>
      <w:textAlignment w:val="auto"/>
    </w:pPr>
    <w:rPr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  <w:style w:type="character" w:customStyle="1" w:styleId="B1Char">
    <w:name w:val="B1 Char"/>
    <w:link w:val="B1"/>
    <w:qFormat/>
    <w:locked/>
    <w:rPr>
      <w:rFonts w:eastAsia="Times New Roman"/>
      <w:lang w:val="en-GB" w:eastAsia="en-GB"/>
    </w:rPr>
  </w:style>
  <w:style w:type="character" w:customStyle="1" w:styleId="TAHCar">
    <w:name w:val="TAH Car"/>
    <w:link w:val="TAH"/>
    <w:rsid w:val="009B201C"/>
    <w:rPr>
      <w:rFonts w:ascii="Arial" w:eastAsia="Times New Roman" w:hAnsi="Arial"/>
      <w:b/>
      <w:sz w:val="18"/>
      <w:lang w:val="en-GB" w:eastAsia="en-GB"/>
    </w:rPr>
  </w:style>
  <w:style w:type="character" w:customStyle="1" w:styleId="TALChar">
    <w:name w:val="TAL Char"/>
    <w:link w:val="TAL"/>
    <w:rsid w:val="009B201C"/>
    <w:rPr>
      <w:rFonts w:ascii="Arial" w:eastAsia="Times New Roman" w:hAnsi="Arial"/>
      <w:sz w:val="18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UX6vOFamiemT417ITXDAT05nnA==">AMUW2mU7enbIjNucQGqVU8cM5Cyfo7Jopfqr2fAg+T+/GbF5cAu6naG3SEuHd7A3+X2DAdt1YbqXvcfzK6O7Vx+AAwc2thyBiqY8y6AEySpvh0MyM7JysaE22NnQp/kVrV01ZuHL/BzfcfcWLcMGVSdhyMHWH+Gr58Iq72oQqQaqZMDtD5UT9pKTTiGx7JnU4sAZmpdC5jb5Xaa4rvzlS9ghuQeI6Kjh0LgWJM3Gg//KzqcI2Cpiki9RMiKmfAzeQlm/BVRDSWN2bTQmzNjhkFZ126eR+bTjXZPx7iqAVRTQvN98e1ZLmVS3+vl1mgAJKfYxmI/EKgLggSFkxK3cllpkiV1S5FQ1D1gvRTaFUZQMYj+6yf00XiAufhDzBJ8jsujDwJ8/5HsvRfmC6w6QR6bRJvcpwl6uRsToaMcfZbhOckLWVFCyskd9RFXVq8L/cFMCDc7srTIW230RHRVl1dm72sAvZH17iQgIvwGRf0UztxKqHvg3/VJVyuI7CdY7NnwNwsfX8YHtTwMM4+ZNXtoKu1Lh3KPdVmi51Dfnr/soiUgwf5piAmYIhPAK1AjsxZZ9NDtqIhE7QjbRr6QUZW7kztrTZYsx2RkRqz5QTVAj51r/yGFBSQvuiFvBirzoQ8Dfsv5EK67mfgV3Ae1MC5gycmWnlCDB2JI0I7TzEPK7ruGJEK9A5vnOlu/PRy9YMa6OrX0dEV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Boswarthick</dc:creator>
  <cp:lastModifiedBy>Curt Wong</cp:lastModifiedBy>
  <cp:revision>2</cp:revision>
  <dcterms:created xsi:type="dcterms:W3CDTF">2022-11-01T12:39:00Z</dcterms:created>
  <dcterms:modified xsi:type="dcterms:W3CDTF">2022-11-01T12:39:00Z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2021-04-13T17:26:09Z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5452bc42-06f7-4822-a563-0000ba8a97fb</vt:lpwstr>
  </property>
  <property fmtid="{D5CDD505-2E9C-101B-9397-08002B2CF9AE}" pid="8" name="MSIP_Label_0359f705-2ba0-454b-9cfc-6ce5bcaac040_ContentBits">
    <vt:lpwstr>2</vt:lpwstr>
  </property>
  <property fmtid="{D5CDD505-2E9C-101B-9397-08002B2CF9AE}" pid="9" name="ContentTypeId">
    <vt:lpwstr>0x010100563291C30C465443A43FFAF0D869B11A</vt:lpwstr>
  </property>
  <property fmtid="{D5CDD505-2E9C-101B-9397-08002B2CF9AE}" pid="10" name="_2015_ms_pID_725343">
    <vt:lpwstr>(3)jasuw7xZ/wYn774g3in6/O2yzoyKduo4Uoznp36R2liBL8cBWZUNMOAT1XmhvfohiUcfL7dG
KIFc0Re6rN2G41l29uvODcxk7U9yWOD/lbkwYP+DlMMNvW6OnXlhof9ijMhuNEryFoIk7YRD
v8J2OOmB62YekwSG1SuXN12eDM886frQBJAI3vYv5QCxbErR6xuEDHiUPzbU+pcxd3OdX09t
5Pu0Vl5oN80TD2+WZi</vt:lpwstr>
  </property>
  <property fmtid="{D5CDD505-2E9C-101B-9397-08002B2CF9AE}" pid="11" name="_2015_ms_pID_7253431">
    <vt:lpwstr>IFQJoh+pUTqj7It8aYKV1MtMnSagRVdzsjcg6g2fZYIunYkeugrIw5
HC5L2B2bBdHrxV2rC9pgu2i8uUWwAZCAHeB1BfHaAHb+QXC2jHC+SZLA8b1dPh/JQzF/uaob
bwoU87N7zKq0S1FrgYJF4m0kSouFX9fn1Pb75V92KwHyUxhs9aBE8cMIUHIRD2qJcvq4OioE
G4p8vkMxQp9AIOLYRR5xO9103brzqt/rDTSr</vt:lpwstr>
  </property>
  <property fmtid="{D5CDD505-2E9C-101B-9397-08002B2CF9AE}" pid="12" name="_2015_ms_pID_7253432">
    <vt:lpwstr>ng==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1665365744</vt:lpwstr>
  </property>
</Properties>
</file>