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20D2B9F1"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867E5A">
        <w:rPr>
          <w:rFonts w:cs="Arial"/>
          <w:b/>
          <w:sz w:val="24"/>
        </w:rPr>
        <w:t>4</w:t>
      </w:r>
      <w:r w:rsidRPr="00156331">
        <w:rPr>
          <w:rFonts w:cs="Arial"/>
          <w:b/>
          <w:sz w:val="24"/>
        </w:rPr>
        <w:tab/>
      </w:r>
      <w:r w:rsidR="00867E5A" w:rsidRPr="00867E5A">
        <w:rPr>
          <w:rFonts w:cs="Arial"/>
          <w:b/>
          <w:sz w:val="24"/>
        </w:rPr>
        <w:t>S2-2210733</w:t>
      </w:r>
    </w:p>
    <w:p w14:paraId="731F67F3" w14:textId="6BB93A65" w:rsidR="007A6C0C" w:rsidRPr="00156331" w:rsidRDefault="00867E5A" w:rsidP="007A6C0C">
      <w:pPr>
        <w:pStyle w:val="CRCoverPage"/>
        <w:pBdr>
          <w:bottom w:val="single" w:sz="6" w:space="0" w:color="auto"/>
        </w:pBdr>
        <w:tabs>
          <w:tab w:val="right" w:pos="9638"/>
        </w:tabs>
        <w:spacing w:after="0"/>
        <w:rPr>
          <w:rFonts w:cs="Arial"/>
          <w:b/>
          <w:sz w:val="24"/>
        </w:rPr>
      </w:pPr>
      <w:r w:rsidRPr="00896E8B">
        <w:rPr>
          <w:rFonts w:cs="Arial"/>
          <w:b/>
          <w:noProof/>
          <w:sz w:val="24"/>
        </w:rPr>
        <w:t>14-18 November 2022, Toulouse, France</w:t>
      </w:r>
    </w:p>
    <w:p w14:paraId="697CA546" w14:textId="77777777" w:rsidR="00B97703" w:rsidRPr="00156331" w:rsidRDefault="00B97703">
      <w:pPr>
        <w:rPr>
          <w:rFonts w:ascii="Arial" w:hAnsi="Arial" w:cs="Arial"/>
        </w:rPr>
      </w:pPr>
    </w:p>
    <w:p w14:paraId="6DDD6291" w14:textId="5DF82D66"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D833E5" w:rsidRPr="00D833E5">
        <w:rPr>
          <w:rFonts w:ascii="Arial" w:hAnsi="Arial" w:cs="Arial"/>
          <w:bCs/>
          <w:sz w:val="22"/>
          <w:szCs w:val="22"/>
        </w:rPr>
        <w:t>[</w:t>
      </w:r>
      <w:r w:rsidR="00D833E5">
        <w:rPr>
          <w:rFonts w:ascii="Arial" w:hAnsi="Arial" w:cs="Arial"/>
          <w:bCs/>
          <w:sz w:val="22"/>
          <w:szCs w:val="22"/>
        </w:rPr>
        <w:t>D</w:t>
      </w:r>
      <w:r w:rsidR="00F86B4F">
        <w:rPr>
          <w:rFonts w:ascii="Arial" w:hAnsi="Arial" w:cs="Arial"/>
          <w:bCs/>
          <w:sz w:val="22"/>
          <w:szCs w:val="22"/>
        </w:rPr>
        <w:t>RAFT</w:t>
      </w:r>
      <w:r w:rsidR="00D833E5" w:rsidRPr="00D833E5">
        <w:rPr>
          <w:rFonts w:ascii="Arial" w:hAnsi="Arial" w:cs="Arial"/>
          <w:bCs/>
          <w:sz w:val="22"/>
          <w:szCs w:val="22"/>
        </w:rPr>
        <w:t>]</w:t>
      </w:r>
      <w:r w:rsidR="00D833E5">
        <w:rPr>
          <w:rFonts w:ascii="Arial" w:hAnsi="Arial" w:cs="Arial"/>
          <w:bCs/>
          <w:sz w:val="22"/>
          <w:szCs w:val="22"/>
        </w:rPr>
        <w:t xml:space="preserve"> </w:t>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2B213AEF"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5C111E" w:rsidRPr="00156331">
        <w:rPr>
          <w:rFonts w:ascii="Arial" w:hAnsi="Arial" w:cs="Arial"/>
          <w:sz w:val="22"/>
          <w:szCs w:val="22"/>
        </w:rPr>
        <w:t>SA1</w:t>
      </w:r>
      <w:r w:rsidR="00B13B78" w:rsidRPr="00156331">
        <w:rPr>
          <w:rFonts w:ascii="Arial" w:hAnsi="Arial" w:cs="Arial"/>
          <w:bCs/>
          <w:sz w:val="22"/>
          <w:szCs w:val="22"/>
        </w:rPr>
        <w:t xml:space="preserve">, </w:t>
      </w:r>
      <w:r w:rsidR="00763BF3">
        <w:rPr>
          <w:rFonts w:ascii="Arial" w:hAnsi="Arial" w:cs="Arial"/>
          <w:bCs/>
          <w:sz w:val="22"/>
          <w:szCs w:val="22"/>
        </w:rPr>
        <w:t xml:space="preserve">SA3, </w:t>
      </w:r>
      <w:r w:rsidR="00B13B78" w:rsidRPr="00156331">
        <w:rPr>
          <w:rFonts w:ascii="Arial" w:hAnsi="Arial" w:cs="Arial"/>
          <w:bCs/>
          <w:sz w:val="22"/>
          <w:szCs w:val="22"/>
        </w:rPr>
        <w:t>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10F45F26"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B409BA">
        <w:rPr>
          <w:rFonts w:ascii="Arial" w:hAnsi="Arial" w:cs="Arial"/>
          <w:sz w:val="22"/>
          <w:szCs w:val="22"/>
        </w:rPr>
        <w:t>Malla Reddy Sama</w:t>
      </w:r>
    </w:p>
    <w:p w14:paraId="4009E3A9" w14:textId="1FA073E6" w:rsidR="00B97703" w:rsidRPr="00156331" w:rsidRDefault="00B409BA" w:rsidP="00F80954">
      <w:pPr>
        <w:spacing w:after="60"/>
        <w:ind w:left="1985"/>
        <w:rPr>
          <w:rFonts w:ascii="Arial" w:hAnsi="Arial" w:cs="Arial"/>
          <w:sz w:val="22"/>
          <w:szCs w:val="22"/>
        </w:rPr>
      </w:pPr>
      <w:r>
        <w:rPr>
          <w:rFonts w:ascii="Arial" w:hAnsi="Arial" w:cs="Arial"/>
          <w:sz w:val="22"/>
          <w:szCs w:val="22"/>
        </w:rPr>
        <w:t>sama</w:t>
      </w:r>
      <w:r w:rsidR="00192A68" w:rsidRPr="00156331">
        <w:rPr>
          <w:rFonts w:ascii="Arial" w:hAnsi="Arial" w:cs="Arial"/>
          <w:sz w:val="22"/>
          <w:szCs w:val="22"/>
        </w:rPr>
        <w:t>@</w:t>
      </w:r>
      <w:r w:rsidR="005C111E" w:rsidRPr="00156331">
        <w:rPr>
          <w:rFonts w:ascii="Arial" w:hAnsi="Arial" w:cs="Arial"/>
          <w:sz w:val="22"/>
          <w:szCs w:val="22"/>
        </w:rPr>
        <w:t>docomolab-euro</w:t>
      </w:r>
      <w:r w:rsidR="00192A68"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7850F025"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r w:rsidR="00F8373A" w:rsidRPr="00F8373A">
        <w:rPr>
          <w:rFonts w:ascii="Arial" w:hAnsi="Arial" w:cs="Arial"/>
          <w:bCs/>
          <w:highlight w:val="yellow"/>
        </w:rPr>
        <w:t>S2-2210684</w:t>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4694FBB" w14:textId="771E39E1" w:rsidR="00F86B79" w:rsidRPr="00156331" w:rsidRDefault="00F86B79" w:rsidP="000E4A36">
      <w:pPr>
        <w:rPr>
          <w:rFonts w:ascii="Arial" w:hAnsi="Arial" w:cs="Arial"/>
          <w:color w:val="000000" w:themeColor="text1"/>
          <w:lang w:bidi="bn-IN"/>
        </w:rPr>
      </w:pPr>
      <w:r w:rsidRPr="00F86B79">
        <w:rPr>
          <w:rFonts w:ascii="Arial" w:hAnsi="Arial" w:cs="Arial"/>
          <w:color w:val="000000" w:themeColor="text1"/>
          <w:lang w:bidi="bn-IN"/>
        </w:rPr>
        <w:t>As described in clause</w:t>
      </w:r>
      <w:r>
        <w:rPr>
          <w:rFonts w:ascii="Arial" w:hAnsi="Arial" w:cs="Arial"/>
          <w:color w:val="000000" w:themeColor="text1"/>
          <w:lang w:bidi="bn-IN"/>
        </w:rPr>
        <w:t xml:space="preserve"> </w:t>
      </w:r>
      <w:r w:rsidRPr="00F86B79">
        <w:rPr>
          <w:rFonts w:ascii="Arial" w:hAnsi="Arial" w:cs="Arial"/>
          <w:color w:val="000000" w:themeColor="text1"/>
          <w:lang w:bidi="bn-IN"/>
        </w:rPr>
        <w:t>8.2, TR 23.700-41, it is concluded that there is no normative impact of the SA2 specification</w:t>
      </w:r>
      <w:r>
        <w:rPr>
          <w:rFonts w:ascii="Arial" w:hAnsi="Arial" w:cs="Arial"/>
          <w:color w:val="000000" w:themeColor="text1"/>
          <w:lang w:bidi="bn-IN"/>
        </w:rPr>
        <w:t>s</w:t>
      </w:r>
      <w:r w:rsidRPr="00F86B79">
        <w:rPr>
          <w:rFonts w:ascii="Arial" w:hAnsi="Arial" w:cs="Arial"/>
          <w:color w:val="000000" w:themeColor="text1"/>
          <w:lang w:bidi="bn-IN"/>
        </w:rPr>
        <w:t xml:space="preserve"> on this KI and only an alignment to the CT1 specification </w:t>
      </w:r>
      <w:r>
        <w:rPr>
          <w:rFonts w:ascii="Arial" w:hAnsi="Arial" w:cs="Arial"/>
          <w:color w:val="000000" w:themeColor="text1"/>
          <w:lang w:bidi="bn-IN"/>
        </w:rPr>
        <w:t xml:space="preserve">(e.g., referring to </w:t>
      </w:r>
      <w:r w:rsidRPr="00F86B79">
        <w:rPr>
          <w:rFonts w:ascii="Arial" w:hAnsi="Arial" w:cs="Arial"/>
          <w:color w:val="000000" w:themeColor="text1"/>
          <w:lang w:bidi="bn-IN"/>
        </w:rPr>
        <w:t>TS 23.122</w:t>
      </w:r>
      <w:r>
        <w:rPr>
          <w:rFonts w:ascii="Arial" w:hAnsi="Arial" w:cs="Arial"/>
          <w:color w:val="000000" w:themeColor="text1"/>
          <w:lang w:bidi="bn-IN"/>
        </w:rPr>
        <w:t>)</w:t>
      </w:r>
      <w:r w:rsidRPr="00F86B79">
        <w:rPr>
          <w:rFonts w:ascii="Arial" w:hAnsi="Arial" w:cs="Arial"/>
          <w:color w:val="000000" w:themeColor="text1"/>
          <w:lang w:bidi="bn-IN"/>
        </w:rPr>
        <w:t xml:space="preserve"> is required. </w:t>
      </w:r>
      <w:r w:rsidR="00234F5B" w:rsidRPr="00234F5B">
        <w:rPr>
          <w:rFonts w:ascii="Arial" w:hAnsi="Arial" w:cs="Arial"/>
          <w:color w:val="000000" w:themeColor="text1"/>
          <w:lang w:bidi="bn-IN"/>
        </w:rPr>
        <w:t>Along this line</w:t>
      </w:r>
      <w:r w:rsidRPr="00F86B79">
        <w:rPr>
          <w:rFonts w:ascii="Arial" w:hAnsi="Arial" w:cs="Arial"/>
          <w:color w:val="000000" w:themeColor="text1"/>
          <w:lang w:bidi="bn-IN"/>
        </w:rPr>
        <w:t xml:space="preserve">, SA2 agreed to the attached </w:t>
      </w:r>
      <w:r w:rsidR="00F8373A" w:rsidRPr="00F8373A">
        <w:rPr>
          <w:rFonts w:ascii="Arial" w:hAnsi="Arial" w:cs="Arial"/>
          <w:color w:val="000000" w:themeColor="text1"/>
          <w:lang w:bidi="bn-IN"/>
        </w:rPr>
        <w:t xml:space="preserve">eNS_Ph3 </w:t>
      </w:r>
      <w:r w:rsidRPr="00F86B79">
        <w:rPr>
          <w:rFonts w:ascii="Arial" w:hAnsi="Arial" w:cs="Arial"/>
          <w:color w:val="000000" w:themeColor="text1"/>
          <w:lang w:bidi="bn-IN"/>
        </w:rPr>
        <w:t>WID.</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23678E31"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1D2220" w:rsidRPr="001D2220">
        <w:rPr>
          <w:rFonts w:ascii="Arial" w:hAnsi="Arial" w:cs="Arial"/>
        </w:rPr>
        <w:t xml:space="preserve">SA2 kindly asks </w:t>
      </w:r>
      <w:r w:rsidR="001D2220">
        <w:rPr>
          <w:rFonts w:ascii="Arial" w:hAnsi="Arial" w:cs="Arial"/>
        </w:rPr>
        <w:t>CT1</w:t>
      </w:r>
      <w:r w:rsidR="001D2220" w:rsidRPr="001D2220">
        <w:rPr>
          <w:rFonts w:ascii="Arial" w:hAnsi="Arial" w:cs="Arial"/>
        </w:rPr>
        <w:t xml:space="preserve"> to take </w:t>
      </w:r>
      <w:r w:rsidR="001D2220">
        <w:rPr>
          <w:rFonts w:ascii="Arial" w:hAnsi="Arial" w:cs="Arial"/>
        </w:rPr>
        <w:t>above information</w:t>
      </w:r>
      <w:r w:rsidR="001D2220" w:rsidRPr="001D2220">
        <w:rPr>
          <w:rFonts w:ascii="Arial" w:hAnsi="Arial" w:cs="Arial"/>
        </w:rPr>
        <w:t xml:space="preserve"> into account</w:t>
      </w:r>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39042809" w14:textId="51B51053"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16 – 20 January,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r>
      <w:r w:rsidR="001D2220">
        <w:rPr>
          <w:rFonts w:ascii="Arial" w:hAnsi="Arial" w:cs="Arial"/>
          <w:bCs/>
        </w:rPr>
        <w:t>Online</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207C2" w14:textId="77777777" w:rsidR="00FA4BE4" w:rsidRDefault="00FA4BE4">
      <w:pPr>
        <w:spacing w:after="0"/>
      </w:pPr>
      <w:r>
        <w:separator/>
      </w:r>
    </w:p>
  </w:endnote>
  <w:endnote w:type="continuationSeparator" w:id="0">
    <w:p w14:paraId="3AF7E993" w14:textId="77777777" w:rsidR="00FA4BE4" w:rsidRDefault="00FA4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F616" w14:textId="77777777" w:rsidR="00FA4BE4" w:rsidRDefault="00FA4BE4">
      <w:pPr>
        <w:spacing w:after="0"/>
      </w:pPr>
      <w:r>
        <w:separator/>
      </w:r>
    </w:p>
  </w:footnote>
  <w:footnote w:type="continuationSeparator" w:id="0">
    <w:p w14:paraId="764C467C" w14:textId="77777777" w:rsidR="00FA4BE4" w:rsidRDefault="00FA4B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597631">
    <w:abstractNumId w:val="4"/>
  </w:num>
  <w:num w:numId="2" w16cid:durableId="680353593">
    <w:abstractNumId w:val="2"/>
  </w:num>
  <w:num w:numId="3" w16cid:durableId="403602305">
    <w:abstractNumId w:val="1"/>
  </w:num>
  <w:num w:numId="4" w16cid:durableId="917715739">
    <w:abstractNumId w:val="0"/>
  </w:num>
  <w:num w:numId="5" w16cid:durableId="346180281">
    <w:abstractNumId w:val="3"/>
  </w:num>
  <w:num w:numId="6" w16cid:durableId="1650226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D2220"/>
    <w:rsid w:val="001F2884"/>
    <w:rsid w:val="002201E4"/>
    <w:rsid w:val="002246EF"/>
    <w:rsid w:val="00234EFB"/>
    <w:rsid w:val="00234F5B"/>
    <w:rsid w:val="00235AEE"/>
    <w:rsid w:val="00237300"/>
    <w:rsid w:val="0024726A"/>
    <w:rsid w:val="00247DC7"/>
    <w:rsid w:val="002611C7"/>
    <w:rsid w:val="002731D7"/>
    <w:rsid w:val="0029258B"/>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63BF3"/>
    <w:rsid w:val="0077699A"/>
    <w:rsid w:val="007931A6"/>
    <w:rsid w:val="007A6C0C"/>
    <w:rsid w:val="007C05DF"/>
    <w:rsid w:val="007F0462"/>
    <w:rsid w:val="007F4F92"/>
    <w:rsid w:val="007F6F25"/>
    <w:rsid w:val="0080697E"/>
    <w:rsid w:val="0080721A"/>
    <w:rsid w:val="0081487C"/>
    <w:rsid w:val="00821811"/>
    <w:rsid w:val="00843533"/>
    <w:rsid w:val="00852362"/>
    <w:rsid w:val="00866F8D"/>
    <w:rsid w:val="00867E5A"/>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7B98"/>
    <w:rsid w:val="00A80CED"/>
    <w:rsid w:val="00AC09B6"/>
    <w:rsid w:val="00B13B78"/>
    <w:rsid w:val="00B33F3C"/>
    <w:rsid w:val="00B409BA"/>
    <w:rsid w:val="00B66CC6"/>
    <w:rsid w:val="00B831AA"/>
    <w:rsid w:val="00B863DA"/>
    <w:rsid w:val="00B949C9"/>
    <w:rsid w:val="00B97703"/>
    <w:rsid w:val="00BE1F63"/>
    <w:rsid w:val="00C026A3"/>
    <w:rsid w:val="00C04BAC"/>
    <w:rsid w:val="00C17B7B"/>
    <w:rsid w:val="00C23C20"/>
    <w:rsid w:val="00C30CBE"/>
    <w:rsid w:val="00C33564"/>
    <w:rsid w:val="00C41D34"/>
    <w:rsid w:val="00C769FA"/>
    <w:rsid w:val="00C86500"/>
    <w:rsid w:val="00C87C03"/>
    <w:rsid w:val="00CA0290"/>
    <w:rsid w:val="00CA3AB2"/>
    <w:rsid w:val="00CB0EA6"/>
    <w:rsid w:val="00CC4CEB"/>
    <w:rsid w:val="00CC626F"/>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373A"/>
    <w:rsid w:val="00F86B4F"/>
    <w:rsid w:val="00F86B79"/>
    <w:rsid w:val="00F96FB8"/>
    <w:rsid w:val="00FA4B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7</cp:revision>
  <cp:lastPrinted>2002-04-23T07:10:00Z</cp:lastPrinted>
  <dcterms:created xsi:type="dcterms:W3CDTF">2022-11-04T13:32:00Z</dcterms:created>
  <dcterms:modified xsi:type="dcterms:W3CDTF">2022-11-04T13:50:00Z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