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95DF" w14:textId="77777777" w:rsidR="00E87C47" w:rsidRDefault="00E87C47" w:rsidP="00E87C47">
      <w:r>
        <w:t xml:space="preserve">Attendees: </w:t>
      </w:r>
    </w:p>
    <w:p w14:paraId="21AE5E5C" w14:textId="77777777" w:rsidR="00E87C47" w:rsidRDefault="00E87C47" w:rsidP="00E87C47">
      <w:proofErr w:type="spellStart"/>
      <w:r>
        <w:t>LiMeng</w:t>
      </w:r>
      <w:proofErr w:type="spellEnd"/>
      <w:r>
        <w:t xml:space="preserve"> (Huawei); Hong Cheng; </w:t>
      </w:r>
      <w:proofErr w:type="gramStart"/>
      <w:r>
        <w:t>Jason  Graham</w:t>
      </w:r>
      <w:proofErr w:type="gramEnd"/>
      <w:r>
        <w:t xml:space="preserve">; Nord, Lars; Shi, Xiaoyan; Steven Wenham (Huawei); LGE - </w:t>
      </w:r>
      <w:proofErr w:type="spellStart"/>
      <w:r>
        <w:t>Hongsuk</w:t>
      </w:r>
      <w:proofErr w:type="spellEnd"/>
      <w:r>
        <w:t xml:space="preserve"> Kim ; Huawei – </w:t>
      </w:r>
      <w:proofErr w:type="spellStart"/>
      <w:r>
        <w:t>Wanqiang</w:t>
      </w:r>
      <w:proofErr w:type="spellEnd"/>
      <w:r>
        <w:t>; Yasuo Sugawara [SHARP]; Xiaomi - Sherry Shen ; SHIEH, HUGH H; Pierre (</w:t>
      </w:r>
      <w:proofErr w:type="spellStart"/>
      <w:r>
        <w:t>Invité</w:t>
      </w:r>
      <w:proofErr w:type="spellEnd"/>
      <w:r>
        <w:t xml:space="preserve">); Saad Ahmad; Xie, Zhenhua; </w:t>
      </w:r>
      <w:proofErr w:type="spellStart"/>
      <w:r>
        <w:t>Toumi</w:t>
      </w:r>
      <w:proofErr w:type="spellEnd"/>
      <w:r>
        <w:t>, N. (</w:t>
      </w:r>
      <w:proofErr w:type="spellStart"/>
      <w:r>
        <w:t>Nassima</w:t>
      </w:r>
      <w:proofErr w:type="spellEnd"/>
      <w:r>
        <w:t xml:space="preserve">); Rita Mittal; Tyler </w:t>
      </w:r>
      <w:proofErr w:type="spellStart"/>
      <w:r>
        <w:t>Hawbaker</w:t>
      </w:r>
      <w:proofErr w:type="spellEnd"/>
      <w:r>
        <w:t>; Ihab Guirguis; Casati, Alessio (Nokia - GB)</w:t>
      </w:r>
    </w:p>
    <w:p w14:paraId="3966BACD" w14:textId="77777777" w:rsidR="00E87C47" w:rsidRDefault="00E87C47" w:rsidP="00E87C47">
      <w:pPr>
        <w:rPr>
          <w:rFonts w:asciiTheme="minorHAnsi" w:hAnsiTheme="minorHAnsi" w:cstheme="minorBidi"/>
        </w:rPr>
      </w:pPr>
    </w:p>
    <w:p w14:paraId="351919F9" w14:textId="77777777" w:rsidR="00E87C47" w:rsidRDefault="00E87C47" w:rsidP="00E87C47">
      <w:pPr>
        <w:rPr>
          <w:rFonts w:asciiTheme="minorHAnsi" w:hAnsiTheme="minorHAnsi" w:cstheme="minorBidi"/>
        </w:rPr>
      </w:pPr>
      <w:r>
        <w:rPr>
          <w:rFonts w:asciiTheme="minorHAnsi" w:hAnsiTheme="minorHAnsi" w:cstheme="minorBidi"/>
        </w:rPr>
        <w:t>Notes:</w:t>
      </w:r>
    </w:p>
    <w:p w14:paraId="1F063495" w14:textId="77777777" w:rsidR="00E87C47" w:rsidRDefault="00E87C47" w:rsidP="00E87C47">
      <w:pPr>
        <w:pStyle w:val="ListParagraph"/>
        <w:numPr>
          <w:ilvl w:val="0"/>
          <w:numId w:val="1"/>
        </w:numPr>
        <w:rPr>
          <w:rFonts w:eastAsia="Times New Roman"/>
        </w:rPr>
      </w:pPr>
      <w:r>
        <w:rPr>
          <w:rFonts w:eastAsia="Times New Roman"/>
        </w:rPr>
        <w:t>Conclusions for KI#2, 3, and 7</w:t>
      </w:r>
    </w:p>
    <w:p w14:paraId="4C1C0AC6" w14:textId="77777777" w:rsidR="00E87C47" w:rsidRDefault="00E87C47" w:rsidP="00E87C47">
      <w:pPr>
        <w:pStyle w:val="ListParagraph"/>
        <w:numPr>
          <w:ilvl w:val="1"/>
          <w:numId w:val="1"/>
        </w:numPr>
        <w:rPr>
          <w:rFonts w:eastAsia="Times New Roman"/>
        </w:rPr>
      </w:pPr>
      <w:hyperlink r:id="rId5" w:history="1">
        <w:r>
          <w:rPr>
            <w:rStyle w:val="Hyperlink"/>
            <w:rFonts w:eastAsia="Times New Roman"/>
          </w:rPr>
          <w:t>(Huawei) KI#2, and KI#3 Evaluation and Conclusion</w:t>
        </w:r>
      </w:hyperlink>
    </w:p>
    <w:p w14:paraId="6AD6352E"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The question on the service time support will also need answers from RAN WG. Participating companies are encouraged to bring this up in RAN WG discussion, instead of sending another LS to </w:t>
      </w:r>
      <w:proofErr w:type="gramStart"/>
      <w:r>
        <w:rPr>
          <w:rFonts w:asciiTheme="minorHAnsi" w:hAnsiTheme="minorHAnsi" w:cstheme="minorBidi"/>
        </w:rPr>
        <w:t>RAN</w:t>
      </w:r>
      <w:proofErr w:type="gramEnd"/>
      <w:r>
        <w:rPr>
          <w:rFonts w:asciiTheme="minorHAnsi" w:hAnsiTheme="minorHAnsi" w:cstheme="minorBidi"/>
        </w:rPr>
        <w:t xml:space="preserve"> WGs.</w:t>
      </w:r>
    </w:p>
    <w:p w14:paraId="36C30B17"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When the MBSR becomes out of service, how to handle that also needs to be covered (addressed in Sony document).</w:t>
      </w:r>
    </w:p>
    <w:p w14:paraId="738D420D"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w:t>
      </w:r>
      <w:proofErr w:type="gramStart"/>
      <w:r>
        <w:rPr>
          <w:rFonts w:asciiTheme="minorHAnsi" w:hAnsiTheme="minorHAnsi" w:cstheme="minorBidi"/>
        </w:rPr>
        <w:t>surrounding</w:t>
      </w:r>
      <w:proofErr w:type="gramEnd"/>
      <w:r>
        <w:rPr>
          <w:rFonts w:asciiTheme="minorHAnsi" w:hAnsiTheme="minorHAnsi" w:cstheme="minorBidi"/>
        </w:rPr>
        <w:t xml:space="preserve"> UE” is not defined. This is only about the IDLE mode UE. But, for CONNECTED mode, it needs to be covered as well.</w:t>
      </w:r>
    </w:p>
    <w:p w14:paraId="0D2BDE9E"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Bullet 3 of conclusion is evaluation instead of conclusion. </w:t>
      </w:r>
    </w:p>
    <w:p w14:paraId="67080A78"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The conclusions could be open, and not limiting to one option. The use of dynamic TAC or static TAC option may be useful for some cases. The choice can be left to operator policies, and MBSR can be configured to use which one based on operator preferences.</w:t>
      </w:r>
    </w:p>
    <w:p w14:paraId="3A868AD7" w14:textId="77777777" w:rsidR="00E87C47" w:rsidRDefault="00E87C47" w:rsidP="00E87C47">
      <w:pPr>
        <w:rPr>
          <w:rFonts w:asciiTheme="minorHAnsi" w:hAnsiTheme="minorHAnsi" w:cstheme="minorBidi"/>
        </w:rPr>
      </w:pPr>
    </w:p>
    <w:p w14:paraId="56892D80" w14:textId="77777777" w:rsidR="00E87C47" w:rsidRDefault="00E87C47" w:rsidP="00E87C47">
      <w:pPr>
        <w:pStyle w:val="ListParagraph"/>
        <w:numPr>
          <w:ilvl w:val="1"/>
          <w:numId w:val="1"/>
        </w:numPr>
        <w:rPr>
          <w:rFonts w:eastAsia="Times New Roman"/>
        </w:rPr>
      </w:pPr>
      <w:hyperlink r:id="rId6" w:history="1">
        <w:r>
          <w:rPr>
            <w:rStyle w:val="Hyperlink"/>
            <w:rFonts w:eastAsia="Times New Roman"/>
          </w:rPr>
          <w:t>(Sony) KI#2 conclusions</w:t>
        </w:r>
      </w:hyperlink>
    </w:p>
    <w:p w14:paraId="67A367B5" w14:textId="77777777" w:rsidR="00E87C47" w:rsidRDefault="00E87C47" w:rsidP="00E87C47">
      <w:pPr>
        <w:pStyle w:val="ListParagraph"/>
        <w:numPr>
          <w:ilvl w:val="2"/>
          <w:numId w:val="1"/>
        </w:numPr>
        <w:rPr>
          <w:rFonts w:eastAsia="Times New Roman"/>
        </w:rPr>
      </w:pPr>
      <w:r>
        <w:rPr>
          <w:rFonts w:eastAsia="Times New Roman"/>
        </w:rPr>
        <w:t xml:space="preserve">When MBSR lost the connection to donor </w:t>
      </w:r>
      <w:proofErr w:type="spellStart"/>
      <w:r>
        <w:rPr>
          <w:rFonts w:eastAsia="Times New Roman"/>
        </w:rPr>
        <w:t>gNB</w:t>
      </w:r>
      <w:proofErr w:type="spellEnd"/>
      <w:r>
        <w:rPr>
          <w:rFonts w:eastAsia="Times New Roman"/>
        </w:rPr>
        <w:t>, no signaling can be done at RRC layer.</w:t>
      </w:r>
    </w:p>
    <w:p w14:paraId="02CE6D4A" w14:textId="77777777" w:rsidR="00E87C47" w:rsidRDefault="00E87C47" w:rsidP="00E87C47">
      <w:pPr>
        <w:pStyle w:val="ListParagraph"/>
        <w:numPr>
          <w:ilvl w:val="2"/>
          <w:numId w:val="1"/>
        </w:numPr>
        <w:rPr>
          <w:rFonts w:eastAsia="Times New Roman"/>
        </w:rPr>
      </w:pPr>
      <w:r>
        <w:rPr>
          <w:rFonts w:eastAsia="Times New Roman"/>
        </w:rPr>
        <w:t xml:space="preserve">For the planned shutdown, it may be </w:t>
      </w:r>
      <w:proofErr w:type="gramStart"/>
      <w:r>
        <w:rPr>
          <w:rFonts w:eastAsia="Times New Roman"/>
        </w:rPr>
        <w:t>similar to</w:t>
      </w:r>
      <w:proofErr w:type="gramEnd"/>
      <w:r>
        <w:rPr>
          <w:rFonts w:eastAsia="Times New Roman"/>
        </w:rPr>
        <w:t xml:space="preserve"> the EPS related cell management mechanism. </w:t>
      </w:r>
    </w:p>
    <w:p w14:paraId="44435DE4" w14:textId="77777777" w:rsidR="00E87C47" w:rsidRDefault="00E87C47" w:rsidP="00E87C47">
      <w:pPr>
        <w:pStyle w:val="ListParagraph"/>
        <w:numPr>
          <w:ilvl w:val="2"/>
          <w:numId w:val="1"/>
        </w:numPr>
        <w:rPr>
          <w:rFonts w:eastAsia="Times New Roman"/>
        </w:rPr>
      </w:pPr>
      <w:r>
        <w:rPr>
          <w:rFonts w:eastAsia="Times New Roman"/>
        </w:rPr>
        <w:t>It is considered that this may be more of RAN scope, and SA2 may just need some clarifications.</w:t>
      </w:r>
    </w:p>
    <w:p w14:paraId="6775BB89" w14:textId="77777777" w:rsidR="00E87C47" w:rsidRDefault="00E87C47" w:rsidP="00E87C47">
      <w:pPr>
        <w:pStyle w:val="ListParagraph"/>
        <w:numPr>
          <w:ilvl w:val="2"/>
          <w:numId w:val="1"/>
        </w:numPr>
        <w:rPr>
          <w:rFonts w:eastAsia="Times New Roman"/>
        </w:rPr>
      </w:pPr>
      <w:r>
        <w:rPr>
          <w:rFonts w:eastAsia="Times New Roman"/>
        </w:rPr>
        <w:t xml:space="preserve">Lars will work with </w:t>
      </w:r>
      <w:proofErr w:type="spellStart"/>
      <w:r>
        <w:rPr>
          <w:rFonts w:eastAsia="Times New Roman"/>
        </w:rPr>
        <w:t>LiMeng</w:t>
      </w:r>
      <w:proofErr w:type="spellEnd"/>
      <w:r>
        <w:rPr>
          <w:rFonts w:eastAsia="Times New Roman"/>
        </w:rPr>
        <w:t xml:space="preserve"> on how to merge the two papers on KI#2. </w:t>
      </w:r>
    </w:p>
    <w:p w14:paraId="2AA86118" w14:textId="77777777" w:rsidR="00E87C47" w:rsidRDefault="00E87C47" w:rsidP="00E87C47">
      <w:pPr>
        <w:rPr>
          <w:rFonts w:eastAsia="Times New Roman"/>
        </w:rPr>
      </w:pPr>
    </w:p>
    <w:p w14:paraId="18A1A5E5" w14:textId="77777777" w:rsidR="00E87C47" w:rsidRDefault="00E87C47" w:rsidP="00E87C47">
      <w:pPr>
        <w:rPr>
          <w:rFonts w:eastAsia="Times New Roman"/>
        </w:rPr>
      </w:pP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p>
    <w:p w14:paraId="0C66034F" w14:textId="77777777" w:rsidR="00E87C47" w:rsidRDefault="00E87C47" w:rsidP="00E87C47">
      <w:pPr>
        <w:pStyle w:val="ListParagraph"/>
        <w:numPr>
          <w:ilvl w:val="1"/>
          <w:numId w:val="1"/>
        </w:numPr>
        <w:rPr>
          <w:rFonts w:eastAsia="Times New Roman"/>
        </w:rPr>
      </w:pPr>
      <w:hyperlink r:id="rId7" w:history="1">
        <w:r>
          <w:rPr>
            <w:rStyle w:val="Hyperlink"/>
            <w:rFonts w:eastAsia="Times New Roman"/>
          </w:rPr>
          <w:t>(Qualcomm) KI#7 evaluation and conclusion</w:t>
        </w:r>
      </w:hyperlink>
    </w:p>
    <w:p w14:paraId="40999B42"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The conclusion should also state that CAG ID can be used as is. </w:t>
      </w:r>
    </w:p>
    <w:p w14:paraId="5FE5F73C"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Current use of CAG is closed linked with NPN. It can be considered whether we can relax those dependencies, </w:t>
      </w:r>
      <w:proofErr w:type="gramStart"/>
      <w:r>
        <w:rPr>
          <w:rFonts w:asciiTheme="minorHAnsi" w:hAnsiTheme="minorHAnsi" w:cstheme="minorBidi"/>
        </w:rPr>
        <w:t>e.g.</w:t>
      </w:r>
      <w:proofErr w:type="gramEnd"/>
      <w:r>
        <w:rPr>
          <w:rFonts w:asciiTheme="minorHAnsi" w:hAnsiTheme="minorHAnsi" w:cstheme="minorBidi"/>
        </w:rPr>
        <w:t xml:space="preserve"> support both public and private access like that of the CSG concept. </w:t>
      </w:r>
    </w:p>
    <w:p w14:paraId="144AA4D9"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There may be also potential enhancement of the CAG ID management for VPLMN. For example, if there is a way to indicate that a common CAG ID is for MBSR. </w:t>
      </w:r>
    </w:p>
    <w:p w14:paraId="0EA2C977"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There is also </w:t>
      </w:r>
      <w:proofErr w:type="gramStart"/>
      <w:r>
        <w:rPr>
          <w:rFonts w:asciiTheme="minorHAnsi" w:hAnsiTheme="minorHAnsi" w:cstheme="minorBidi"/>
        </w:rPr>
        <w:t>need</w:t>
      </w:r>
      <w:proofErr w:type="gramEnd"/>
      <w:r>
        <w:rPr>
          <w:rFonts w:asciiTheme="minorHAnsi" w:hAnsiTheme="minorHAnsi" w:cstheme="minorBidi"/>
        </w:rPr>
        <w:t xml:space="preserve"> to explicitly state that the legacy UE can be supported to access the MBSR.</w:t>
      </w:r>
    </w:p>
    <w:p w14:paraId="1617894A" w14:textId="77777777" w:rsidR="00E87C47" w:rsidRDefault="00E87C47" w:rsidP="00E87C47">
      <w:pPr>
        <w:rPr>
          <w:rFonts w:asciiTheme="minorHAnsi" w:hAnsiTheme="minorHAnsi" w:cstheme="minorBidi"/>
        </w:rPr>
      </w:pPr>
    </w:p>
    <w:p w14:paraId="1FFA920F" w14:textId="77777777" w:rsidR="00E87C47" w:rsidRDefault="00E87C47" w:rsidP="00E87C47">
      <w:pPr>
        <w:pStyle w:val="ListParagraph"/>
        <w:numPr>
          <w:ilvl w:val="0"/>
          <w:numId w:val="1"/>
        </w:numPr>
        <w:rPr>
          <w:rFonts w:eastAsia="Times New Roman"/>
        </w:rPr>
      </w:pPr>
      <w:r>
        <w:rPr>
          <w:rFonts w:eastAsia="Times New Roman"/>
        </w:rPr>
        <w:t>Additional conclusions for KI#1, 4, 5, 6.  </w:t>
      </w:r>
    </w:p>
    <w:p w14:paraId="6AC20970" w14:textId="77777777" w:rsidR="00E87C47" w:rsidRDefault="00E87C47" w:rsidP="00E87C47">
      <w:pPr>
        <w:pStyle w:val="ListParagraph"/>
        <w:numPr>
          <w:ilvl w:val="1"/>
          <w:numId w:val="1"/>
        </w:numPr>
        <w:rPr>
          <w:rFonts w:eastAsia="Times New Roman"/>
        </w:rPr>
      </w:pPr>
      <w:hyperlink r:id="rId8" w:history="1">
        <w:r>
          <w:rPr>
            <w:rStyle w:val="Hyperlink"/>
            <w:rFonts w:eastAsia="Times New Roman"/>
          </w:rPr>
          <w:t>(Qualcomm) KI#1 update of evaluation and conclusion</w:t>
        </w:r>
      </w:hyperlink>
    </w:p>
    <w:p w14:paraId="30F0EC2C"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lastRenderedPageBreak/>
        <w:t xml:space="preserve">The configuration of the PDU session parameters may not be limited to whether the MBSR moves. It may be more relevant to the roaming support needs. </w:t>
      </w:r>
    </w:p>
    <w:p w14:paraId="25A12FB3"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There is a possibility of using MBSR subscription based on default S-NSSAI and default DNN to achieve the control in VPLMN. </w:t>
      </w:r>
      <w:proofErr w:type="gramStart"/>
      <w:r>
        <w:rPr>
          <w:rFonts w:asciiTheme="minorHAnsi" w:hAnsiTheme="minorHAnsi" w:cstheme="minorBidi"/>
        </w:rPr>
        <w:t>But,</w:t>
      </w:r>
      <w:proofErr w:type="gramEnd"/>
      <w:r>
        <w:rPr>
          <w:rFonts w:asciiTheme="minorHAnsi" w:hAnsiTheme="minorHAnsi" w:cstheme="minorBidi"/>
        </w:rPr>
        <w:t xml:space="preserve"> that is assuming the MBSR is not having any other slice or other applications.  </w:t>
      </w:r>
    </w:p>
    <w:p w14:paraId="33AFA618"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The speed info is only valid when the MBSR can determine its location. This </w:t>
      </w:r>
      <w:proofErr w:type="gramStart"/>
      <w:r>
        <w:rPr>
          <w:rFonts w:asciiTheme="minorHAnsi" w:hAnsiTheme="minorHAnsi" w:cstheme="minorBidi"/>
        </w:rPr>
        <w:t>has to</w:t>
      </w:r>
      <w:proofErr w:type="gramEnd"/>
      <w:r>
        <w:rPr>
          <w:rFonts w:asciiTheme="minorHAnsi" w:hAnsiTheme="minorHAnsi" w:cstheme="minorBidi"/>
        </w:rPr>
        <w:t xml:space="preserve"> be clarified in the conclusion. </w:t>
      </w:r>
    </w:p>
    <w:p w14:paraId="7483A5CE"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Enforcement at network side is still required. The configuration is helping the MBSR to determine if it should attempt the connection, and thus reduce the unnecessary verification load of the OAM server. </w:t>
      </w:r>
    </w:p>
    <w:p w14:paraId="797CCDCA"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The network may not be able to verify certain criteria, </w:t>
      </w:r>
      <w:proofErr w:type="gramStart"/>
      <w:r>
        <w:rPr>
          <w:rFonts w:asciiTheme="minorHAnsi" w:hAnsiTheme="minorHAnsi" w:cstheme="minorBidi"/>
        </w:rPr>
        <w:t>e.g.</w:t>
      </w:r>
      <w:proofErr w:type="gramEnd"/>
      <w:r>
        <w:rPr>
          <w:rFonts w:asciiTheme="minorHAnsi" w:hAnsiTheme="minorHAnsi" w:cstheme="minorBidi"/>
        </w:rPr>
        <w:t xml:space="preserve"> speed. However, it may be able to verify if the device is moving vs. stationary. </w:t>
      </w:r>
    </w:p>
    <w:p w14:paraId="43EFA542" w14:textId="77777777" w:rsidR="00E87C47" w:rsidRDefault="00E87C47" w:rsidP="00E87C47">
      <w:pPr>
        <w:pStyle w:val="ListParagraph"/>
        <w:ind w:left="2160"/>
        <w:rPr>
          <w:rFonts w:asciiTheme="minorHAnsi" w:hAnsiTheme="minorHAnsi" w:cstheme="minorBidi"/>
        </w:rPr>
      </w:pPr>
    </w:p>
    <w:p w14:paraId="5BA3BDF3" w14:textId="77777777" w:rsidR="00E87C47" w:rsidRDefault="00E87C47" w:rsidP="00E87C47">
      <w:pPr>
        <w:pStyle w:val="ListParagraph"/>
        <w:numPr>
          <w:ilvl w:val="1"/>
          <w:numId w:val="1"/>
        </w:numPr>
        <w:rPr>
          <w:rFonts w:eastAsia="Times New Roman"/>
        </w:rPr>
      </w:pPr>
      <w:hyperlink r:id="rId9" w:history="1">
        <w:r>
          <w:rPr>
            <w:rStyle w:val="Hyperlink"/>
            <w:rFonts w:eastAsia="Times New Roman"/>
          </w:rPr>
          <w:t>(Huawei) KI#5 updates of evaluation and conclusion</w:t>
        </w:r>
      </w:hyperlink>
    </w:p>
    <w:p w14:paraId="33BAFF7A"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There is a need to consider if we should keep both options in the conclusion (</w:t>
      </w:r>
      <w:proofErr w:type="gramStart"/>
      <w:r>
        <w:rPr>
          <w:rFonts w:asciiTheme="minorHAnsi" w:hAnsiTheme="minorHAnsi" w:cstheme="minorBidi"/>
        </w:rPr>
        <w:t>i.e.</w:t>
      </w:r>
      <w:proofErr w:type="gramEnd"/>
      <w:r>
        <w:rPr>
          <w:rFonts w:asciiTheme="minorHAnsi" w:hAnsiTheme="minorHAnsi" w:cstheme="minorBidi"/>
        </w:rPr>
        <w:t xml:space="preserve"> LMF triggered MT-LR vs. LMF using </w:t>
      </w:r>
      <w:proofErr w:type="spellStart"/>
      <w:r>
        <w:rPr>
          <w:rFonts w:asciiTheme="minorHAnsi" w:hAnsiTheme="minorHAnsi" w:cstheme="minorBidi"/>
        </w:rPr>
        <w:t>NRPPa</w:t>
      </w:r>
      <w:proofErr w:type="spellEnd"/>
      <w:r>
        <w:rPr>
          <w:rFonts w:asciiTheme="minorHAnsi" w:hAnsiTheme="minorHAnsi" w:cstheme="minorBidi"/>
        </w:rPr>
        <w:t xml:space="preserve"> to obtain MBSR loc info).</w:t>
      </w:r>
    </w:p>
    <w:p w14:paraId="27E7A9E3"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Some preference to use the </w:t>
      </w:r>
      <w:proofErr w:type="spellStart"/>
      <w:r>
        <w:rPr>
          <w:rFonts w:asciiTheme="minorHAnsi" w:hAnsiTheme="minorHAnsi" w:cstheme="minorBidi"/>
        </w:rPr>
        <w:t>NRPPa</w:t>
      </w:r>
      <w:proofErr w:type="spellEnd"/>
      <w:r>
        <w:rPr>
          <w:rFonts w:asciiTheme="minorHAnsi" w:hAnsiTheme="minorHAnsi" w:cstheme="minorBidi"/>
        </w:rPr>
        <w:t xml:space="preserve"> option if that is proven technically feasible by RAN WGs. </w:t>
      </w:r>
    </w:p>
    <w:p w14:paraId="7D6D36A3" w14:textId="77777777" w:rsidR="00E87C47" w:rsidRDefault="00E87C47" w:rsidP="00E87C47">
      <w:pPr>
        <w:pStyle w:val="ListParagraph"/>
        <w:numPr>
          <w:ilvl w:val="2"/>
          <w:numId w:val="1"/>
        </w:numPr>
        <w:rPr>
          <w:rFonts w:asciiTheme="minorHAnsi" w:hAnsiTheme="minorHAnsi" w:cstheme="minorBidi"/>
        </w:rPr>
      </w:pPr>
      <w:r>
        <w:rPr>
          <w:rFonts w:asciiTheme="minorHAnsi" w:hAnsiTheme="minorHAnsi" w:cstheme="minorBidi"/>
        </w:rPr>
        <w:t xml:space="preserve">The MBSR may makes use of any available tools to obtain its location to provide it to LMF via </w:t>
      </w:r>
      <w:proofErr w:type="spellStart"/>
      <w:r>
        <w:rPr>
          <w:rFonts w:asciiTheme="minorHAnsi" w:hAnsiTheme="minorHAnsi" w:cstheme="minorBidi"/>
        </w:rPr>
        <w:t>NRPPa</w:t>
      </w:r>
      <w:proofErr w:type="spellEnd"/>
      <w:r>
        <w:rPr>
          <w:rFonts w:asciiTheme="minorHAnsi" w:hAnsiTheme="minorHAnsi" w:cstheme="minorBidi"/>
        </w:rPr>
        <w:t xml:space="preserve">. This may need to be clarified for </w:t>
      </w:r>
      <w:proofErr w:type="spellStart"/>
      <w:r>
        <w:rPr>
          <w:rFonts w:asciiTheme="minorHAnsi" w:hAnsiTheme="minorHAnsi" w:cstheme="minorBidi"/>
        </w:rPr>
        <w:t>NRPPa</w:t>
      </w:r>
      <w:proofErr w:type="spellEnd"/>
      <w:r>
        <w:rPr>
          <w:rFonts w:asciiTheme="minorHAnsi" w:hAnsiTheme="minorHAnsi" w:cstheme="minorBidi"/>
        </w:rPr>
        <w:t xml:space="preserve"> option. </w:t>
      </w:r>
    </w:p>
    <w:p w14:paraId="61D60EDD" w14:textId="77777777" w:rsidR="00E87C47" w:rsidRDefault="00E87C47" w:rsidP="00E87C47">
      <w:pPr>
        <w:pStyle w:val="ListParagraph"/>
        <w:ind w:left="2160"/>
        <w:rPr>
          <w:rFonts w:asciiTheme="minorHAnsi" w:hAnsiTheme="minorHAnsi" w:cstheme="minorBidi"/>
        </w:rPr>
      </w:pPr>
    </w:p>
    <w:p w14:paraId="6C0513AB" w14:textId="77777777" w:rsidR="00E87C47" w:rsidRDefault="00E87C47" w:rsidP="00E87C47">
      <w:pPr>
        <w:pStyle w:val="ListParagraph"/>
        <w:ind w:left="2160"/>
        <w:rPr>
          <w:rFonts w:asciiTheme="minorHAnsi" w:hAnsiTheme="minorHAnsi" w:cstheme="minorBidi"/>
        </w:rPr>
      </w:pPr>
    </w:p>
    <w:p w14:paraId="19D069BB" w14:textId="77777777" w:rsidR="00E87C47" w:rsidRDefault="00E87C47" w:rsidP="00E87C47">
      <w:pPr>
        <w:pStyle w:val="ListParagraph"/>
        <w:numPr>
          <w:ilvl w:val="0"/>
          <w:numId w:val="1"/>
        </w:numPr>
        <w:rPr>
          <w:rFonts w:eastAsia="Times New Roman"/>
        </w:rPr>
      </w:pPr>
      <w:r>
        <w:rPr>
          <w:rFonts w:eastAsia="Times New Roman"/>
        </w:rPr>
        <w:t xml:space="preserve">(Qualcomm) </w:t>
      </w:r>
      <w:hyperlink r:id="rId10" w:history="1">
        <w:r>
          <w:rPr>
            <w:rStyle w:val="Hyperlink"/>
            <w:rFonts w:eastAsia="Times New Roman"/>
          </w:rPr>
          <w:t>Draft WID.</w:t>
        </w:r>
      </w:hyperlink>
    </w:p>
    <w:p w14:paraId="6B74DFE8" w14:textId="77777777" w:rsidR="00E87C47" w:rsidRDefault="00E87C47" w:rsidP="00E87C47">
      <w:pPr>
        <w:pStyle w:val="ListParagraph"/>
        <w:numPr>
          <w:ilvl w:val="1"/>
          <w:numId w:val="1"/>
        </w:numPr>
        <w:rPr>
          <w:rFonts w:asciiTheme="minorHAnsi" w:hAnsiTheme="minorHAnsi" w:cstheme="minorBidi"/>
        </w:rPr>
      </w:pPr>
      <w:r>
        <w:rPr>
          <w:rFonts w:asciiTheme="minorHAnsi" w:hAnsiTheme="minorHAnsi" w:cstheme="minorBidi"/>
        </w:rPr>
        <w:t xml:space="preserve">For objective 3 – there may be some further enhancements to be included in clause 8 (or even determined during the normative phase). </w:t>
      </w:r>
    </w:p>
    <w:p w14:paraId="7DBEB13A" w14:textId="77777777" w:rsidR="00E87C47" w:rsidRDefault="00E87C47" w:rsidP="00E87C47">
      <w:pPr>
        <w:pStyle w:val="ListParagraph"/>
        <w:numPr>
          <w:ilvl w:val="1"/>
          <w:numId w:val="1"/>
        </w:numPr>
        <w:rPr>
          <w:rFonts w:asciiTheme="minorHAnsi" w:hAnsiTheme="minorHAnsi" w:cstheme="minorBidi"/>
        </w:rPr>
      </w:pPr>
      <w:r>
        <w:rPr>
          <w:rFonts w:asciiTheme="minorHAnsi" w:hAnsiTheme="minorHAnsi" w:cstheme="minorBidi"/>
        </w:rPr>
        <w:t>QC: Please indicate your support of the WID draft (</w:t>
      </w:r>
      <w:proofErr w:type="gramStart"/>
      <w:r>
        <w:rPr>
          <w:rFonts w:asciiTheme="minorHAnsi" w:hAnsiTheme="minorHAnsi" w:cstheme="minorBidi"/>
        </w:rPr>
        <w:t>in order to</w:t>
      </w:r>
      <w:proofErr w:type="gramEnd"/>
      <w:r>
        <w:rPr>
          <w:rFonts w:asciiTheme="minorHAnsi" w:hAnsiTheme="minorHAnsi" w:cstheme="minorBidi"/>
        </w:rPr>
        <w:t xml:space="preserve"> remove the question marks)</w:t>
      </w:r>
    </w:p>
    <w:p w14:paraId="17A1F848" w14:textId="77777777" w:rsidR="00E87C47" w:rsidRDefault="00E87C47" w:rsidP="00E87C47">
      <w:pPr>
        <w:pStyle w:val="ListParagraph"/>
        <w:ind w:left="1440"/>
        <w:rPr>
          <w:rFonts w:asciiTheme="minorHAnsi" w:hAnsiTheme="minorHAnsi" w:cstheme="minorBidi"/>
        </w:rPr>
      </w:pPr>
    </w:p>
    <w:p w14:paraId="3BBE9F86" w14:textId="77777777" w:rsidR="00E87C47" w:rsidRDefault="00E87C47" w:rsidP="00E87C47">
      <w:pPr>
        <w:pStyle w:val="ListParagraph"/>
        <w:numPr>
          <w:ilvl w:val="0"/>
          <w:numId w:val="1"/>
        </w:numPr>
        <w:rPr>
          <w:rFonts w:eastAsia="Times New Roman"/>
        </w:rPr>
      </w:pPr>
      <w:r>
        <w:rPr>
          <w:rFonts w:eastAsia="Times New Roman"/>
        </w:rPr>
        <w:t>AOB.</w:t>
      </w:r>
    </w:p>
    <w:p w14:paraId="1AFAA874" w14:textId="77777777" w:rsidR="00E87C47" w:rsidRDefault="00E87C47" w:rsidP="00E87C47">
      <w:pPr>
        <w:pStyle w:val="ListParagraph"/>
        <w:numPr>
          <w:ilvl w:val="1"/>
          <w:numId w:val="1"/>
        </w:numPr>
        <w:rPr>
          <w:rFonts w:asciiTheme="minorHAnsi" w:hAnsiTheme="minorHAnsi" w:cstheme="minorBidi"/>
        </w:rPr>
      </w:pPr>
      <w:r>
        <w:rPr>
          <w:rFonts w:asciiTheme="minorHAnsi" w:hAnsiTheme="minorHAnsi" w:cstheme="minorBidi"/>
        </w:rPr>
        <w:t xml:space="preserve">Nov meeting, the updates can be focused on TR conclusions based on RAN WG feedbacks. </w:t>
      </w:r>
    </w:p>
    <w:p w14:paraId="00D1ED82" w14:textId="77777777" w:rsidR="00013D49" w:rsidRDefault="00013D49"/>
    <w:sectPr w:rsidR="0001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286"/>
    <w:multiLevelType w:val="hybridMultilevel"/>
    <w:tmpl w:val="B46C42D6"/>
    <w:lvl w:ilvl="0" w:tplc="87BEFFA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47"/>
    <w:rsid w:val="00013D49"/>
    <w:rsid w:val="00E8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FB92"/>
  <w15:chartTrackingRefBased/>
  <w15:docId w15:val="{7F080714-A37F-4D50-A567-7F74D254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4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7C47"/>
    <w:rPr>
      <w:color w:val="0563C1"/>
      <w:u w:val="single"/>
    </w:rPr>
  </w:style>
  <w:style w:type="paragraph" w:styleId="ListParagraph">
    <w:name w:val="List Paragraph"/>
    <w:basedOn w:val="Normal"/>
    <w:uiPriority w:val="34"/>
    <w:qFormat/>
    <w:rsid w:val="00E87C47"/>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3gpp.org/ftp/tsg_sa/WG2_Arch/TSGS2_153E_Electronic_2022-10/INBOX/DRAFTS/FS_VMR/S2-220xxxx*20pCR*20TR*2023.700-05*20FS_VMR*20KI*231*20evaluation*20and*20conclusion*20updates_r0.doc__;JSUlJSUlJSUlJQ!!JmoZiZGBv3RvKRSx!7crQAz9IeikJjz4YD4uCitj51_WpFOqvdRU-eRrjXTCUvlJVmyhCsPzi1PR-tnOe17_M3QtfTOvUHgvssw$" TargetMode="External"/><Relationship Id="rId3" Type="http://schemas.openxmlformats.org/officeDocument/2006/relationships/settings" Target="settings.xml"/><Relationship Id="rId7" Type="http://schemas.openxmlformats.org/officeDocument/2006/relationships/hyperlink" Target="https://urldefense.com/v3/__https:/www.3gpp.org/ftp/tsg_sa/WG2_Arch/TSGS2_153E_Electronic_2022-10/INBOX/DRAFTS/FS_VMR/S2-220xxxx*20pCR*20TR*2023.700-05*20FS_VMR*20KI*237*20evaluation*20and*20conclusion_r0.doc__;JSUlJSUlJSUl!!JmoZiZGBv3RvKRSx!7crQAz9IeikJjz4YD4uCitj51_WpFOqvdRU-eRrjXTCUvlJVmyhCsPzi1PR-tnOe17_M3QtfTOvJsbAiY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gpp.org/ftp/tsg_sa/WG2_Arch/TSGS2_153E_Electronic_2022-10/INBOX/DRAFTS/FS_VMR/Sony%20S2-220aaaa%20Conclusion%20KI%232%20(VMR)%20v1.do" TargetMode="External"/><Relationship Id="rId11" Type="http://schemas.openxmlformats.org/officeDocument/2006/relationships/fontTable" Target="fontTable.xml"/><Relationship Id="rId5" Type="http://schemas.openxmlformats.org/officeDocument/2006/relationships/hyperlink" Target="https://urldefense.com/v3/__https:/www.3gpp.org/ftp/tsg_sa/WG2_Arch/TSGS2_153E_Electronic_2022-10/INBOX/DRAFTS/FS_VMR/HW*231*20KI*232*20and*20KI*233*20Evaluation*20and*20Conclusion.docx__;JSUlJSUlJSUl!!JmoZiZGBv3RvKRSx!7crQAz9IeikJjz4YD4uCitj51_WpFOqvdRU-eRrjXTCUvlJVmyhCsPzi1PR-tnOe17_M3QtfTOsOyDEgUA$" TargetMode="External"/><Relationship Id="rId10" Type="http://schemas.openxmlformats.org/officeDocument/2006/relationships/hyperlink" Target="https://urldefense.com/v3/__https:/www.3gpp.org/ftp/tsg_sa/WG2_Arch/TSGS2_153E_Electronic_2022-10/INBOX/DRAFTS/FS_VMR/S2-220xxxx*20new*20WID*20for*20FS_VMR_r0.docx__;JSUlJQ!!JmoZiZGBv3RvKRSx!7crQAz9IeikJjz4YD4uCitj51_WpFOqvdRU-eRrjXTCUvlJVmyhCsPzi1PR-tnOe17_M3QtfTOtEhca9aQ$" TargetMode="External"/><Relationship Id="rId4" Type="http://schemas.openxmlformats.org/officeDocument/2006/relationships/webSettings" Target="webSettings.xml"/><Relationship Id="rId9" Type="http://schemas.openxmlformats.org/officeDocument/2006/relationships/hyperlink" Target="https://urldefense.com/v3/__https:/www.3gpp.org/ftp/tsg_sa/WG2_Arch/TSGS2_153E_Electronic_2022-10/INBOX/DRAFTS/FS_VMR/HW*232*20KI*235*20Update*20of*20evaluation*20and*20conclusion.docx__;JSUlJSUlJSU!!JmoZiZGBv3RvKRSx!7crQAz9IeikJjz4YD4uCitj51_WpFOqvdRU-eRrjXTCUvlJVmyhCsPzi1PR-tnOe17_M3QtfTOse4G1L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Cheng</dc:creator>
  <cp:keywords/>
  <dc:description/>
  <cp:lastModifiedBy>Hong Cheng</cp:lastModifiedBy>
  <cp:revision>1</cp:revision>
  <dcterms:created xsi:type="dcterms:W3CDTF">2022-09-22T22:03:00Z</dcterms:created>
  <dcterms:modified xsi:type="dcterms:W3CDTF">2022-09-22T22:04:00Z</dcterms:modified>
</cp:coreProperties>
</file>