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0261263"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r w:rsidR="006D76A8">
        <w:rPr>
          <w:rFonts w:ascii="Arial" w:eastAsia="宋体" w:hAnsi="Arial"/>
          <w:b/>
          <w:i/>
          <w:noProof/>
          <w:color w:val="auto"/>
          <w:sz w:val="28"/>
          <w:lang w:eastAsia="en-US"/>
        </w:rPr>
        <w:t>r0</w:t>
      </w:r>
      <w:r w:rsidR="00CB3EA2">
        <w:rPr>
          <w:rFonts w:ascii="Arial" w:eastAsia="宋体" w:hAnsi="Arial"/>
          <w:b/>
          <w:i/>
          <w:noProof/>
          <w:color w:val="auto"/>
          <w:sz w:val="28"/>
          <w:lang w:eastAsia="en-US"/>
        </w:rPr>
        <w:t>4</w:t>
      </w:r>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p>
    <w:p w14:paraId="243D0E71"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The 5GC may need the PIN related identifiers for traffic differentiation and control may be needed based on the conclusion of KI#4 and KI#6.</w:t>
      </w:r>
    </w:p>
    <w:p w14:paraId="555FD872" w14:textId="77777777" w:rsidR="00905965" w:rsidRDefault="00905965" w:rsidP="00905965">
      <w:r>
        <w:t>Based on above, it’s proposed to support the conclusions below for KI#7.</w:t>
      </w:r>
    </w:p>
    <w:p w14:paraId="6B7A713F" w14:textId="77777777" w:rsidR="00905965" w:rsidRDefault="00905965" w:rsidP="00905965">
      <w:pPr>
        <w:pStyle w:val="paragraph"/>
        <w:snapToGrid w:val="0"/>
        <w:spacing w:before="0" w:beforeAutospacing="0" w:after="120" w:afterAutospacing="0"/>
        <w:textAlignment w:val="baseline"/>
        <w:rPr>
          <w:sz w:val="20"/>
          <w:szCs w:val="20"/>
        </w:rPr>
      </w:pPr>
      <w:r w:rsidRPr="00D77DDC">
        <w:rPr>
          <w:rFonts w:eastAsia="MS Mincho"/>
          <w:color w:val="000000"/>
          <w:sz w:val="20"/>
          <w:szCs w:val="20"/>
          <w:lang w:val="en-GB" w:eastAsia="ja-JP"/>
        </w:rPr>
        <w:t xml:space="preserve">As stated in the FS_PIN SID </w:t>
      </w:r>
      <w:r w:rsidRPr="00D77DDC">
        <w:rPr>
          <w:sz w:val="20"/>
          <w:szCs w:val="20"/>
        </w:rPr>
        <w:t>(</w:t>
      </w:r>
      <w:hyperlink r:id="rId14" w:history="1">
        <w:r w:rsidRPr="00D77DDC">
          <w:rPr>
            <w:rStyle w:val="af3"/>
            <w:sz w:val="20"/>
            <w:szCs w:val="20"/>
          </w:rPr>
          <w:t>SP-211643</w:t>
        </w:r>
      </w:hyperlink>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p>
    <w:p w14:paraId="53576390" w14:textId="77777777" w:rsidR="00905965" w:rsidRDefault="00905965" w:rsidP="00905965">
      <w:pPr>
        <w:pStyle w:val="paragraph"/>
        <w:snapToGrid w:val="0"/>
        <w:spacing w:before="0" w:beforeAutospacing="0" w:after="120" w:afterAutospacing="0"/>
        <w:textAlignment w:val="baseline"/>
        <w:rPr>
          <w:sz w:val="20"/>
          <w:szCs w:val="20"/>
        </w:rPr>
      </w:pPr>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p>
    <w:p w14:paraId="5A9377E2" w14:textId="77777777" w:rsidR="00905965" w:rsidRDefault="00905965" w:rsidP="00905965">
      <w:pPr>
        <w:pStyle w:val="paragraph"/>
        <w:snapToGrid w:val="0"/>
        <w:spacing w:before="0" w:beforeAutospacing="0" w:after="120" w:afterAutospacing="0"/>
        <w:textAlignment w:val="baseline"/>
        <w:rPr>
          <w:sz w:val="20"/>
          <w:szCs w:val="20"/>
        </w:rPr>
      </w:pPr>
    </w:p>
    <w:p w14:paraId="666AFA82" w14:textId="77777777" w:rsidR="00905965" w:rsidRDefault="00905965" w:rsidP="00905965">
      <w:pPr>
        <w:pStyle w:val="paragraph"/>
        <w:snapToGrid w:val="0"/>
        <w:spacing w:before="0" w:beforeAutospacing="0" w:after="120" w:afterAutospacing="0"/>
        <w:textAlignment w:val="baseline"/>
        <w:rPr>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p>
    <w:p w14:paraId="39CEE6CA"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bookmarkStart w:id="0" w:name="_Hlk115192207"/>
    <w:p w14:paraId="640D6161"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p>
    <w:bookmarkEnd w:id="0"/>
    <w:p w14:paraId="705DB368"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p>
    <w:p w14:paraId="2468B85F" w14:textId="77777777" w:rsidR="00905965"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rFonts w:eastAsia="MS Mincho"/>
          <w:color w:val="000000"/>
          <w:sz w:val="20"/>
          <w:szCs w:val="20"/>
          <w:lang w:val="en-GB" w:eastAsia="ja-JP"/>
        </w:rPr>
      </w:pPr>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2"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2"/>
    </w:p>
    <w:p w14:paraId="1DF6C30C" w14:textId="0890BDB2" w:rsidR="00296AFF" w:rsidRPr="00296AFF" w:rsidRDefault="00296AFF" w:rsidP="00296AFF">
      <w:pPr>
        <w:textAlignment w:val="auto"/>
        <w:rPr>
          <w:rFonts w:eastAsia="Times New Roman"/>
          <w:color w:val="auto"/>
          <w:lang w:eastAsia="en-GB"/>
        </w:rPr>
      </w:pPr>
      <w:r w:rsidRPr="00296AFF">
        <w:rPr>
          <w:rFonts w:eastAsia="Times New Roman"/>
          <w:color w:val="auto"/>
          <w:lang w:eastAsia="en-GB"/>
        </w:rPr>
        <w:t>The following principles are concluded for Key Issue #7 "Identification of PIN and PIN Elements":</w:t>
      </w:r>
    </w:p>
    <w:p w14:paraId="4E71587C" w14:textId="7D10119A" w:rsidR="002558A6" w:rsidRDefault="002558A6" w:rsidP="00296AFF">
      <w:pPr>
        <w:ind w:left="568" w:hanging="284"/>
        <w:textAlignment w:val="auto"/>
        <w:rPr>
          <w:rFonts w:eastAsia="MS Mincho"/>
          <w:color w:val="auto"/>
          <w:lang w:val="en-US" w:eastAsia="zh-CN"/>
        </w:rPr>
      </w:pPr>
      <w:bookmarkStart w:id="3" w:name="_Hlk115879281"/>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UDM supports stor</w:t>
      </w:r>
      <w:r w:rsidR="007E0C8C">
        <w:rPr>
          <w:rFonts w:eastAsia="MS Mincho"/>
          <w:color w:val="auto"/>
          <w:lang w:val="en-US" w:eastAsia="zh-CN"/>
        </w:rPr>
        <w:t>ing</w:t>
      </w:r>
      <w:r w:rsidR="00C04E83">
        <w:rPr>
          <w:rFonts w:eastAsia="MS Mincho"/>
          <w:color w:val="auto"/>
          <w:lang w:val="en-US" w:eastAsia="zh-CN"/>
        </w:rPr>
        <w:t xml:space="preserve"> PIN ID in UDR, which may be received from AF</w:t>
      </w:r>
      <w:r>
        <w:rPr>
          <w:rFonts w:eastAsia="MS Mincho"/>
          <w:color w:val="auto"/>
          <w:lang w:val="en-US" w:eastAsia="zh-CN"/>
        </w:rPr>
        <w:t>.</w:t>
      </w:r>
    </w:p>
    <w:p w14:paraId="77E00A3F" w14:textId="369EF182" w:rsidR="00D16741" w:rsidRPr="00D16741" w:rsidRDefault="00D16741" w:rsidP="00D16741">
      <w:pPr>
        <w:pStyle w:val="NO"/>
        <w:rPr>
          <w:lang w:val="en-US" w:eastAsia="zh-CN"/>
        </w:rPr>
      </w:pPr>
      <w:r>
        <w:rPr>
          <w:lang w:val="en-US" w:eastAsia="zh-CN"/>
        </w:rPr>
        <w:t>NOTE:</w:t>
      </w:r>
      <w:r>
        <w:rPr>
          <w:lang w:val="en-US" w:eastAsia="zh-CN"/>
        </w:rPr>
        <w:tab/>
        <w:t>Whether external and internal PIN ID 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p>
    <w:p w14:paraId="2D371194" w14:textId="4C91AD5B" w:rsidR="0049258F" w:rsidRDefault="0049258F">
      <w:pPr>
        <w:ind w:left="568" w:hanging="284"/>
        <w:textAlignment w:val="auto"/>
        <w:rPr>
          <w:rFonts w:eastAsia="MS Mincho"/>
          <w:color w:val="auto"/>
          <w:lang w:val="en-US" w:eastAsia="zh-CN"/>
        </w:rPr>
      </w:pPr>
      <w:bookmarkStart w:id="4" w:name="_Hlk115879392"/>
      <w:bookmarkEnd w:id="3"/>
      <w:r>
        <w:rPr>
          <w:rFonts w:eastAsia="MS Mincho"/>
          <w:color w:val="auto"/>
          <w:lang w:val="en-US" w:eastAsia="zh-CN"/>
        </w:rPr>
        <w:t>8)</w:t>
      </w:r>
      <w:r>
        <w:rPr>
          <w:rFonts w:eastAsia="MS Mincho"/>
          <w:color w:val="auto"/>
          <w:lang w:val="en-US" w:eastAsia="zh-CN"/>
        </w:rPr>
        <w:tab/>
      </w:r>
      <w:r w:rsidRPr="000A67BE">
        <w:rPr>
          <w:rFonts w:eastAsia="MS Mincho"/>
          <w:color w:val="auto"/>
          <w:lang w:val="en-US" w:eastAsia="zh-CN"/>
        </w:rPr>
        <w:t xml:space="preserve">PIN </w:t>
      </w:r>
      <w:r w:rsidR="00E11985">
        <w:rPr>
          <w:rFonts w:eastAsia="MS Mincho"/>
          <w:color w:val="auto"/>
          <w:lang w:val="en-US" w:eastAsia="zh-CN"/>
        </w:rPr>
        <w:t xml:space="preserve">ID </w:t>
      </w:r>
      <w:r w:rsidRPr="000A67BE">
        <w:rPr>
          <w:rFonts w:eastAsia="MS Mincho"/>
          <w:color w:val="auto"/>
          <w:lang w:val="en-US" w:eastAsia="zh-CN"/>
        </w:rPr>
        <w:t>is uniquely identifiable</w:t>
      </w:r>
      <w:r w:rsidR="001E55F2">
        <w:rPr>
          <w:rFonts w:eastAsia="MS Mincho"/>
          <w:color w:val="auto"/>
          <w:lang w:val="en-US" w:eastAsia="zh-CN"/>
        </w:rPr>
        <w:t xml:space="preserve"> </w:t>
      </w:r>
      <w:r w:rsidR="00E11985">
        <w:rPr>
          <w:rFonts w:eastAsia="MS Mincho"/>
          <w:color w:val="auto"/>
          <w:lang w:val="en-US" w:eastAsia="zh-CN"/>
        </w:rPr>
        <w:t xml:space="preserve">within the </w:t>
      </w:r>
      <w:r w:rsidRPr="000A67BE">
        <w:rPr>
          <w:rFonts w:eastAsia="MS Mincho"/>
          <w:color w:val="auto"/>
          <w:lang w:val="en-US" w:eastAsia="zh-CN"/>
        </w:rPr>
        <w:t xml:space="preserve">5G network, </w:t>
      </w:r>
    </w:p>
    <w:p w14:paraId="433A7746" w14:textId="1EBADC77" w:rsidR="000C76E0" w:rsidRPr="00A14FAD" w:rsidRDefault="000C76E0" w:rsidP="00A14FAD">
      <w:pPr>
        <w:pStyle w:val="B2"/>
        <w:rPr>
          <w:rFonts w:eastAsiaTheme="minorEastAsia"/>
          <w:lang w:val="en-US" w:eastAsia="zh-CN"/>
        </w:rPr>
      </w:pPr>
      <w:r w:rsidRPr="00A14FAD">
        <w:rPr>
          <w:rFonts w:eastAsiaTheme="minorEastAsia"/>
          <w:lang w:eastAsia="zh-CN"/>
        </w:rPr>
        <w:lastRenderedPageBreak/>
        <w:t>NOTE</w:t>
      </w:r>
      <w:r>
        <w:rPr>
          <w:rFonts w:eastAsiaTheme="minorEastAsia"/>
          <w:lang w:val="en-US" w:eastAsia="zh-CN"/>
        </w:rPr>
        <w:t xml:space="preserve">: </w:t>
      </w:r>
      <w:r w:rsidR="00CB3EA2">
        <w:rPr>
          <w:rFonts w:eastAsiaTheme="minorEastAsia"/>
          <w:lang w:val="en-US" w:eastAsia="zh-CN"/>
        </w:rPr>
        <w:t>It will be determined d</w:t>
      </w:r>
      <w:r>
        <w:rPr>
          <w:rFonts w:eastAsiaTheme="minorEastAsia"/>
          <w:lang w:val="en-US" w:eastAsia="zh-CN"/>
        </w:rPr>
        <w:t>uring the normative phase whether the PIN ID is defined as an external PIN identifier in similar way of the External Group Identifier and GPSI, and an 5G internal PIN identifier similar as Internal Group Identifier.</w:t>
      </w:r>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GoBack"/>
      <w:bookmarkEnd w:id="4"/>
      <w:bookmarkEnd w:id="5"/>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1FB73" w14:textId="77777777" w:rsidR="00605B61" w:rsidRDefault="00605B61">
      <w:r>
        <w:separator/>
      </w:r>
    </w:p>
    <w:p w14:paraId="75584F67" w14:textId="77777777" w:rsidR="00605B61" w:rsidRDefault="00605B61"/>
  </w:endnote>
  <w:endnote w:type="continuationSeparator" w:id="0">
    <w:p w14:paraId="7248A355" w14:textId="77777777" w:rsidR="00605B61" w:rsidRDefault="00605B61">
      <w:r>
        <w:continuationSeparator/>
      </w:r>
    </w:p>
    <w:p w14:paraId="67AEDFA0" w14:textId="77777777" w:rsidR="00605B61" w:rsidRDefault="00605B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08EB9" w14:textId="77777777" w:rsidR="00605B61" w:rsidRDefault="00605B61">
      <w:r>
        <w:separator/>
      </w:r>
    </w:p>
    <w:p w14:paraId="7A702020" w14:textId="77777777" w:rsidR="00605B61" w:rsidRDefault="00605B61"/>
  </w:footnote>
  <w:footnote w:type="continuationSeparator" w:id="0">
    <w:p w14:paraId="5F6B6A61" w14:textId="77777777" w:rsidR="00605B61" w:rsidRDefault="00605B61">
      <w:r>
        <w:continuationSeparator/>
      </w:r>
    </w:p>
    <w:p w14:paraId="36DD0094" w14:textId="77777777" w:rsidR="00605B61" w:rsidRDefault="00605B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5B61"/>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EF7"/>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4FAD"/>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3EA2"/>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58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a"/>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TSG_SA/TSGS_94E_Electronic_2021_12/Docs/SP-2116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9EFF604-9E75-4D44-A535-DF7BDA409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1273</Words>
  <Characters>7258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2</cp:revision>
  <cp:lastPrinted>2018-08-13T16:59:00Z</cp:lastPrinted>
  <dcterms:created xsi:type="dcterms:W3CDTF">2022-10-13T15:03:00Z</dcterms:created>
  <dcterms:modified xsi:type="dcterms:W3CDTF">2022-10-13T15:03:00Z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