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24B90000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</w:p>
    <w:p w14:paraId="4276B03A" w14:textId="7887AD2D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</w:t>
      </w:r>
      <w:proofErr w:type="gramEnd"/>
      <w:r>
        <w:rPr>
          <w:rFonts w:ascii="Arial" w:hAnsi="Arial" w:cs="Arial"/>
          <w:b/>
          <w:bCs/>
          <w:sz w:val="24"/>
        </w:rPr>
        <w:t xml:space="preserve">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</w:t>
      </w:r>
      <w:r w:rsidR="00A002CE">
        <w:rPr>
          <w:rFonts w:ascii="Arial" w:hAnsi="Arial" w:cs="Arial"/>
          <w:bCs/>
          <w:lang w:val="fr-FR"/>
        </w:rPr>
        <w:t>4</w:t>
      </w:r>
    </w:p>
    <w:p w14:paraId="4EFE95BE" w14:textId="72AC2E9B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  <w:r w:rsidR="00143260">
        <w:rPr>
          <w:rFonts w:ascii="Arial" w:hAnsi="Arial" w:cs="Arial"/>
          <w:bCs/>
          <w:lang w:val="fr-FR"/>
        </w:rPr>
        <w:t>-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Header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</w:t>
      </w:r>
      <w:proofErr w:type="gramStart"/>
      <w:r w:rsidRPr="000A6049">
        <w:rPr>
          <w:rFonts w:ascii="Arial" w:hAnsi="Arial" w:cs="Arial"/>
        </w:rPr>
        <w:t>reply</w:t>
      </w:r>
      <w:proofErr w:type="gramEnd"/>
      <w:r w:rsidRPr="000A6049">
        <w:rPr>
          <w:rFonts w:ascii="Arial" w:hAnsi="Arial" w:cs="Arial"/>
        </w:rPr>
        <w:t xml:space="preserve">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>no single comprehensive answer can be provided. In some cases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0" w:name="_Hlk100741761"/>
      <w:r w:rsidRPr="006C6465">
        <w:rPr>
          <w:bCs/>
          <w:i/>
          <w:lang w:val="en-US" w:eastAsia="zh-CN"/>
        </w:rPr>
        <w:t>prefix</w:t>
      </w:r>
      <w:bookmarkEnd w:id="0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</w:t>
      </w:r>
      <w:r>
        <w:rPr>
          <w:rFonts w:ascii="Arial" w:hAnsi="Arial" w:cs="Arial"/>
        </w:rPr>
        <w:t>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“</w:t>
      </w:r>
      <w:r w:rsidR="00B9267B">
        <w:rPr>
          <w:rFonts w:ascii="Arial" w:hAnsi="Arial" w:cs="Arial"/>
        </w:rPr>
        <w:t>should deliver remaining PDUs” vs “can drop re</w:t>
      </w:r>
      <w:r w:rsidR="00B9267B">
        <w:rPr>
          <w:rFonts w:ascii="Arial" w:hAnsi="Arial" w:cs="Arial"/>
        </w:rPr>
        <w:t>m</w:t>
      </w:r>
      <w:r w:rsidR="00B9267B">
        <w:rPr>
          <w:rFonts w:ascii="Arial" w:hAnsi="Arial" w:cs="Arial"/>
        </w:rPr>
        <w:t>aining PDUs”.</w:t>
      </w:r>
    </w:p>
    <w:p w14:paraId="740A27B5" w14:textId="0E91787F" w:rsidR="00B9267B" w:rsidRDefault="00B9267B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bring to SA4’s attention that the documented solutions in TR 23.700-60 </w:t>
      </w:r>
      <w:r w:rsidR="006B3D43">
        <w:rPr>
          <w:rFonts w:ascii="Arial" w:hAnsi="Arial" w:cs="Arial"/>
        </w:rPr>
        <w:t xml:space="preserve">addressing </w:t>
      </w:r>
      <w:r>
        <w:rPr>
          <w:rFonts w:ascii="Arial" w:hAnsi="Arial" w:cs="Arial"/>
        </w:rPr>
        <w:t>Key Issue #4 (</w:t>
      </w:r>
      <w:r w:rsidRPr="008F7D5A">
        <w:rPr>
          <w:rFonts w:ascii="Arial" w:hAnsi="Arial" w:cs="Arial"/>
        </w:rPr>
        <w:t>PDU Set integrated packet handling</w:t>
      </w:r>
      <w:r>
        <w:rPr>
          <w:rFonts w:ascii="Arial" w:hAnsi="Arial" w:cs="Arial"/>
        </w:rPr>
        <w:t xml:space="preserve">) can be divided </w:t>
      </w:r>
      <w:r w:rsidR="00E01D55">
        <w:rPr>
          <w:rFonts w:ascii="Arial" w:hAnsi="Arial" w:cs="Arial"/>
        </w:rPr>
        <w:t xml:space="preserve">into </w:t>
      </w:r>
      <w:r>
        <w:rPr>
          <w:rFonts w:ascii="Arial" w:hAnsi="Arial" w:cs="Arial"/>
        </w:rPr>
        <w:t>two broad categories, as follows:</w:t>
      </w:r>
    </w:p>
    <w:p w14:paraId="061EF4E7" w14:textId="7E552B5A" w:rsidR="006C6465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Cat1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 w:rsidR="00E92D35">
        <w:rPr>
          <w:lang w:val="en-US" w:eastAsia="zh-CN"/>
        </w:rPr>
        <w:t xml:space="preserve">inspection of the </w:t>
      </w:r>
      <w:r>
        <w:rPr>
          <w:lang w:eastAsia="zh-CN"/>
        </w:rPr>
        <w:t>RTP/SRTP</w:t>
      </w:r>
      <w:r w:rsidRPr="00B9267B">
        <w:rPr>
          <w:lang w:val="en-US" w:eastAsia="zh-CN"/>
        </w:rPr>
        <w:t>/</w:t>
      </w:r>
      <w:r>
        <w:rPr>
          <w:lang w:val="en-US" w:eastAsia="zh-CN"/>
        </w:rPr>
        <w:t>NAL</w:t>
      </w:r>
      <w:r>
        <w:rPr>
          <w:lang w:eastAsia="zh-CN"/>
        </w:rPr>
        <w:t xml:space="preserve"> header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Pr="00B9267B">
        <w:rPr>
          <w:lang w:val="en-US" w:eastAsia="zh-CN"/>
        </w:rPr>
        <w:t>S</w:t>
      </w:r>
      <w:proofErr w:type="spellStart"/>
      <w:r>
        <w:rPr>
          <w:lang w:eastAsia="zh-CN"/>
        </w:rPr>
        <w:t>olution</w:t>
      </w:r>
      <w:r w:rsidR="008F7D5A">
        <w:rPr>
          <w:lang w:eastAsia="zh-CN"/>
        </w:rPr>
        <w:t>s</w:t>
      </w:r>
      <w:proofErr w:type="spellEnd"/>
      <w:r>
        <w:rPr>
          <w:lang w:eastAsia="zh-CN"/>
        </w:rPr>
        <w:t xml:space="preserve"> </w:t>
      </w:r>
      <w:r w:rsidRPr="00B9267B">
        <w:rPr>
          <w:lang w:val="en-US" w:eastAsia="zh-CN"/>
        </w:rPr>
        <w:t>#</w:t>
      </w:r>
      <w:r>
        <w:rPr>
          <w:lang w:val="en-US" w:eastAsia="zh-CN"/>
        </w:rPr>
        <w:t>7</w:t>
      </w:r>
      <w:r>
        <w:rPr>
          <w:lang w:eastAsia="zh-CN"/>
        </w:rPr>
        <w:t>,</w:t>
      </w:r>
      <w:r>
        <w:rPr>
          <w:lang w:val="en-US" w:eastAsia="zh-CN"/>
        </w:rPr>
        <w:t xml:space="preserve"> #12</w:t>
      </w:r>
      <w:r>
        <w:rPr>
          <w:lang w:eastAsia="zh-CN"/>
        </w:rPr>
        <w:t>,</w:t>
      </w:r>
      <w:r>
        <w:rPr>
          <w:lang w:val="en-US" w:eastAsia="zh-CN"/>
        </w:rPr>
        <w:t xml:space="preserve"> #14, #15, #24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4C78E68D" w14:textId="7DC84838" w:rsidR="00B9267B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Cat2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>
        <w:rPr>
          <w:lang w:eastAsia="zh-CN"/>
        </w:rPr>
        <w:t xml:space="preserve">N6 encapsulation header conveying </w:t>
      </w:r>
      <w:r w:rsidR="00E92D35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</w:t>
      </w:r>
      <w:r w:rsidR="008F7D5A">
        <w:rPr>
          <w:lang w:val="en-US" w:eastAsia="zh-CN"/>
        </w:rPr>
        <w:t xml:space="preserve">Solutions </w:t>
      </w:r>
      <w:r>
        <w:rPr>
          <w:lang w:val="en-US" w:eastAsia="zh-CN"/>
        </w:rPr>
        <w:t>#9, #22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3FEB4082" w14:textId="584570BD" w:rsidR="00B9267B" w:rsidRDefault="00B9267B" w:rsidP="00B9267B">
      <w:pPr>
        <w:pStyle w:val="B1"/>
        <w:rPr>
          <w:rFonts w:cs="Arial"/>
        </w:rPr>
      </w:pPr>
    </w:p>
    <w:p w14:paraId="6D9439F3" w14:textId="1AAB5B2A" w:rsidR="00E92D35" w:rsidRDefault="00E92D35" w:rsidP="00E92D35">
      <w:pPr>
        <w:pStyle w:val="Header"/>
        <w:spacing w:after="120"/>
        <w:rPr>
          <w:rFonts w:ascii="Arial" w:hAnsi="Arial" w:cs="Arial"/>
        </w:rPr>
      </w:pPr>
      <w:r w:rsidRPr="00E92D35">
        <w:rPr>
          <w:rFonts w:ascii="Arial" w:hAnsi="Arial" w:cs="Arial"/>
        </w:rPr>
        <w:t xml:space="preserve">SA2 assumes that for Cat2 solutions it is the XRM Application Server that will generate the relevant PDU Set-related information, in line with the green text in the excerpt </w:t>
      </w:r>
      <w:proofErr w:type="gramStart"/>
      <w:r w:rsidRPr="00E92D35">
        <w:rPr>
          <w:rFonts w:ascii="Arial" w:hAnsi="Arial" w:cs="Arial"/>
        </w:rPr>
        <w:t>above</w:t>
      </w:r>
      <w:r>
        <w:rPr>
          <w:rFonts w:ascii="Arial" w:hAnsi="Arial" w:cs="Arial"/>
        </w:rPr>
        <w:t>, and</w:t>
      </w:r>
      <w:proofErr w:type="gramEnd"/>
      <w:r>
        <w:rPr>
          <w:rFonts w:ascii="Arial" w:hAnsi="Arial" w:cs="Arial"/>
        </w:rPr>
        <w:t xml:space="preserve"> include it in the N6 encapsulation header on </w:t>
      </w:r>
      <w:r w:rsidR="00FC7E15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per-packet basis</w:t>
      </w:r>
      <w:r w:rsidRPr="00E92D35">
        <w:rPr>
          <w:rFonts w:ascii="Arial" w:hAnsi="Arial" w:cs="Arial"/>
        </w:rPr>
        <w:t>.</w:t>
      </w:r>
    </w:p>
    <w:p w14:paraId="7EAB8356" w14:textId="3C1EB601" w:rsidR="00E92D35" w:rsidRDefault="00495E37" w:rsidP="00E92D3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relation to</w:t>
      </w:r>
      <w:r w:rsidR="00E92D35">
        <w:rPr>
          <w:rFonts w:ascii="Arial" w:hAnsi="Arial" w:cs="Arial"/>
        </w:rPr>
        <w:t xml:space="preserve"> </w:t>
      </w:r>
      <w:r w:rsidR="00E92D35" w:rsidRPr="00E92D35">
        <w:rPr>
          <w:rFonts w:ascii="Arial" w:hAnsi="Arial" w:cs="Arial"/>
          <w:b/>
          <w:bCs/>
        </w:rPr>
        <w:t>Cat1</w:t>
      </w:r>
      <w:r w:rsidR="00E92D35">
        <w:rPr>
          <w:rFonts w:ascii="Arial" w:hAnsi="Arial" w:cs="Arial"/>
        </w:rPr>
        <w:t xml:space="preserve"> solutions </w:t>
      </w:r>
      <w:r>
        <w:rPr>
          <w:rFonts w:ascii="Arial" w:hAnsi="Arial" w:cs="Arial"/>
        </w:rPr>
        <w:t xml:space="preserve">in 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1E616374" w:rsidR="00E92D35" w:rsidRPr="00E92D35" w:rsidRDefault="00E92D35" w:rsidP="00E92D35">
      <w:pPr>
        <w:pStyle w:val="Header"/>
        <w:spacing w:after="120"/>
        <w:rPr>
          <w:rFonts w:ascii="Arial" w:hAnsi="Arial" w:cs="Arial"/>
        </w:rPr>
      </w:pPr>
      <w:r w:rsidRPr="00883C03">
        <w:rPr>
          <w:rFonts w:ascii="Arial" w:hAnsi="Arial" w:cs="Arial"/>
          <w:b/>
          <w:bCs/>
        </w:rPr>
        <w:t>Q1</w:t>
      </w:r>
      <w:r>
        <w:rPr>
          <w:rFonts w:ascii="Arial" w:hAnsi="Arial" w:cs="Arial"/>
        </w:rPr>
        <w:t xml:space="preserve">: By inspection of the RTP/SRTP/NAL headers </w:t>
      </w:r>
      <w:r w:rsidR="008F7D5A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it possible to determine whether, in case of lost PDU, the remaining PDUs in the same PDU Set “should be delivered” vs “can be dropped”?</w:t>
      </w:r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1307E79E" w:rsidR="00E92D35" w:rsidRPr="00495E37" w:rsidRDefault="00E92D35" w:rsidP="00495E37">
      <w:pPr>
        <w:pStyle w:val="Header"/>
        <w:spacing w:after="120"/>
        <w:rPr>
          <w:rFonts w:ascii="Arial" w:hAnsi="Arial" w:cs="Arial"/>
        </w:rPr>
      </w:pPr>
      <w:r w:rsidRPr="00883C03">
        <w:rPr>
          <w:rFonts w:ascii="Arial" w:hAnsi="Arial" w:cs="Arial"/>
          <w:b/>
          <w:bCs/>
        </w:rPr>
        <w:t>Q2</w:t>
      </w:r>
      <w:r w:rsidRPr="00495E37">
        <w:rPr>
          <w:rFonts w:ascii="Arial" w:hAnsi="Arial" w:cs="Arial"/>
        </w:rPr>
        <w:t xml:space="preserve">: </w:t>
      </w:r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>HTTPS also be used as transport for XR and media services</w:t>
      </w:r>
      <w:r w:rsidR="00495E37">
        <w:rPr>
          <w:rFonts w:ascii="Arial" w:hAnsi="Arial" w:cs="Arial"/>
        </w:rPr>
        <w:t xml:space="preserve"> traffic flows</w:t>
      </w:r>
      <w:r w:rsidR="00495E37" w:rsidRPr="00495E37">
        <w:rPr>
          <w:rFonts w:ascii="Arial" w:hAnsi="Arial" w:cs="Arial"/>
        </w:rPr>
        <w:t xml:space="preserve">? The reason for this question is that in </w:t>
      </w:r>
      <w:r w:rsidR="00BD02ED">
        <w:rPr>
          <w:rFonts w:ascii="Arial" w:hAnsi="Arial" w:cs="Arial"/>
        </w:rPr>
        <w:t xml:space="preserve">the </w:t>
      </w:r>
      <w:r w:rsidR="00495E37" w:rsidRPr="00495E37">
        <w:rPr>
          <w:rFonts w:ascii="Arial" w:hAnsi="Arial" w:cs="Arial"/>
        </w:rPr>
        <w:t>case of HTTPS it is the entire content of the media unit (including the header) that is encrypted.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267F81B8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Gothenburg, SE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5BA2C" w14:textId="77777777" w:rsidR="00141FB1" w:rsidRDefault="00141FB1">
      <w:r>
        <w:separator/>
      </w:r>
    </w:p>
  </w:endnote>
  <w:endnote w:type="continuationSeparator" w:id="0">
    <w:p w14:paraId="662E1899" w14:textId="77777777" w:rsidR="00141FB1" w:rsidRDefault="00141FB1">
      <w:r>
        <w:continuationSeparator/>
      </w:r>
    </w:p>
  </w:endnote>
  <w:endnote w:type="continuationNotice" w:id="1">
    <w:p w14:paraId="764C01D1" w14:textId="77777777" w:rsidR="00141FB1" w:rsidRDefault="00141F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7A1DF" w14:textId="77777777" w:rsidR="00141FB1" w:rsidRDefault="00141FB1">
      <w:r>
        <w:separator/>
      </w:r>
    </w:p>
  </w:footnote>
  <w:footnote w:type="continuationSeparator" w:id="0">
    <w:p w14:paraId="0489CCBD" w14:textId="77777777" w:rsidR="00141FB1" w:rsidRDefault="00141FB1">
      <w:r>
        <w:continuationSeparator/>
      </w:r>
    </w:p>
  </w:footnote>
  <w:footnote w:type="continuationNotice" w:id="1">
    <w:p w14:paraId="0CC7ABA0" w14:textId="77777777" w:rsidR="00141FB1" w:rsidRDefault="00141F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0D9B"/>
    <w:rsid w:val="00141FB1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B3D43"/>
    <w:rsid w:val="006C6465"/>
    <w:rsid w:val="006D1114"/>
    <w:rsid w:val="006D5FCC"/>
    <w:rsid w:val="006E1021"/>
    <w:rsid w:val="006E6EB0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72B93"/>
    <w:rsid w:val="0078114C"/>
    <w:rsid w:val="007822EF"/>
    <w:rsid w:val="00787EAC"/>
    <w:rsid w:val="007965FB"/>
    <w:rsid w:val="007A671D"/>
    <w:rsid w:val="007E0494"/>
    <w:rsid w:val="007F1CCC"/>
    <w:rsid w:val="007F5215"/>
    <w:rsid w:val="0080184E"/>
    <w:rsid w:val="0080329C"/>
    <w:rsid w:val="00806E3A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A080A"/>
    <w:rsid w:val="008B5C96"/>
    <w:rsid w:val="008C3783"/>
    <w:rsid w:val="008C75B5"/>
    <w:rsid w:val="008D1B54"/>
    <w:rsid w:val="008E2C57"/>
    <w:rsid w:val="008F358E"/>
    <w:rsid w:val="008F581B"/>
    <w:rsid w:val="008F7D5A"/>
    <w:rsid w:val="009037E9"/>
    <w:rsid w:val="00907392"/>
    <w:rsid w:val="00916145"/>
    <w:rsid w:val="00921D9D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6D45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54A0"/>
    <w:rsid w:val="00DF1AD6"/>
    <w:rsid w:val="00DF70B7"/>
    <w:rsid w:val="00DF7F04"/>
    <w:rsid w:val="00E01D55"/>
    <w:rsid w:val="00E21508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EC5C32-8989-4C0E-A4C7-ECAFFE47D2D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510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3312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Stojanovski, Saso</cp:lastModifiedBy>
  <cp:revision>12</cp:revision>
  <cp:lastPrinted>2002-04-23T00:10:00Z</cp:lastPrinted>
  <dcterms:created xsi:type="dcterms:W3CDTF">2022-05-06T18:19:00Z</dcterms:created>
  <dcterms:modified xsi:type="dcterms:W3CDTF">2022-05-06T19:26:00Z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