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2E1B" w14:textId="6CB64740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r w:rsidR="00D45B1B">
        <w:fldChar w:fldCharType="begin"/>
      </w:r>
      <w:r w:rsidR="00D45B1B">
        <w:instrText>DOCPROPERTY  TSG/WGRef  \* MERGEFORMAT</w:instrText>
      </w:r>
      <w:r w:rsidR="00D45B1B">
        <w:fldChar w:fldCharType="separate"/>
      </w:r>
      <w:r>
        <w:rPr>
          <w:b/>
          <w:noProof/>
          <w:sz w:val="24"/>
        </w:rPr>
        <w:t>SA2</w:t>
      </w:r>
      <w:r w:rsidR="00D45B1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2107</w:t>
      </w:r>
      <w:r w:rsidR="00F32163">
        <w:rPr>
          <w:b/>
          <w:noProof/>
          <w:sz w:val="24"/>
        </w:rPr>
        <w:t>762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D45B1B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2E4E76CB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321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F321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77777777" w:rsidR="00C928AB" w:rsidRPr="00410371" w:rsidRDefault="00C928AB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D45B1B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17.</w:t>
            </w:r>
            <w:r w:rsidR="00C928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928A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43815A5C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  <w:r w:rsidR="007430D4">
              <w:t xml:space="preserve"> – Inclusive Terminology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4204811C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C928AB">
                <w:rPr>
                  <w:noProof/>
                </w:rPr>
                <w:t>Nokia, Nokia Shangai Bell</w:t>
              </w:r>
            </w:fldSimple>
            <w:ins w:id="3" w:author="Ericsson-Oct18" w:date="2021-10-19T22:12:00Z">
              <w:r w:rsidR="0002109F">
                <w:rPr>
                  <w:noProof/>
                </w:rPr>
                <w:t>, Ericsson</w:t>
              </w:r>
            </w:ins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D45B1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928AB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D45B1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C928A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D45B1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928AB">
              <w:rPr>
                <w:noProof/>
              </w:rPr>
              <w:t>2021-10-10</w:t>
            </w:r>
            <w:r>
              <w:rPr>
                <w:noProof/>
              </w:rPr>
              <w:fldChar w:fldCharType="end"/>
            </w:r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D45B1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928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D0F17" w14:textId="77777777" w:rsidR="002550A6" w:rsidRDefault="002550A6" w:rsidP="002550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699BDF3F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DD0D655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Snippet from TR 21.801 Annex K:</w:t>
            </w:r>
          </w:p>
          <w:p w14:paraId="3FBB511F" w14:textId="77777777" w:rsidR="00C928AB" w:rsidRPr="00F110C3" w:rsidRDefault="00C928AB" w:rsidP="00A15401">
            <w:pPr>
              <w:pStyle w:val="Heading8"/>
            </w:pPr>
            <w:r>
              <w:t>Non-inclusive terminology and alternatives</w:t>
            </w:r>
          </w:p>
          <w:p w14:paraId="1023EEBA" w14:textId="77777777" w:rsidR="00C928AB" w:rsidRPr="00F110C3" w:rsidRDefault="00C928AB" w:rsidP="00A15401">
            <w:r w:rsidRPr="0045521D">
              <w:t>Table </w:t>
            </w:r>
            <w:r>
              <w:t>K</w:t>
            </w:r>
            <w:r w:rsidRPr="0045521D">
              <w:t xml:space="preserve">.1 </w:t>
            </w:r>
            <w:r w:rsidRPr="00F110C3">
              <w:t xml:space="preserve">contains </w:t>
            </w:r>
            <w:r>
              <w:t>a list</w:t>
            </w:r>
            <w:r w:rsidRPr="00F110C3">
              <w:t xml:space="preserve"> </w:t>
            </w:r>
            <w:r w:rsidRPr="0045521D">
              <w:t>o</w:t>
            </w:r>
            <w:r>
              <w:t>f non-inclusive terminology together with a non-exhaustive list of suggested alternatives.</w:t>
            </w:r>
          </w:p>
          <w:p w14:paraId="4D8A0E97" w14:textId="77777777" w:rsidR="00C928AB" w:rsidRDefault="00C928AB" w:rsidP="00A15401">
            <w:pPr>
              <w:pStyle w:val="TH"/>
            </w:pPr>
            <w:r>
              <w:t>Table K.1: Non-inclusive terms and alternatives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</w:tblGrid>
            <w:tr w:rsidR="00C928AB" w14:paraId="29E3F7D7" w14:textId="77777777" w:rsidTr="00A15401">
              <w:tc>
                <w:tcPr>
                  <w:tcW w:w="4928" w:type="dxa"/>
                  <w:shd w:val="clear" w:color="auto" w:fill="auto"/>
                </w:tcPr>
                <w:p w14:paraId="445E9976" w14:textId="77777777" w:rsidR="00C928AB" w:rsidRDefault="00C928AB" w:rsidP="00A15401">
                  <w:pPr>
                    <w:pStyle w:val="TAH"/>
                  </w:pPr>
                  <w:r>
                    <w:t>Non-inclusive term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7C321F34" w14:textId="77777777" w:rsidR="00C928AB" w:rsidRDefault="00C928AB" w:rsidP="00A15401">
                  <w:pPr>
                    <w:pStyle w:val="TAH"/>
                  </w:pPr>
                  <w:r>
                    <w:t>Examples of alternative terms</w:t>
                  </w:r>
                </w:p>
              </w:tc>
            </w:tr>
            <w:tr w:rsidR="00C928AB" w14:paraId="197009A2" w14:textId="77777777" w:rsidTr="00A15401">
              <w:tc>
                <w:tcPr>
                  <w:tcW w:w="4928" w:type="dxa"/>
                  <w:shd w:val="clear" w:color="auto" w:fill="auto"/>
                </w:tcPr>
                <w:p w14:paraId="29A7C6F4" w14:textId="77777777" w:rsidR="00C928AB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master</w:t>
                  </w:r>
                  <w:r>
                    <w:t xml:space="preserve"> (when used in "master / slave" context)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883BEF" w14:textId="77777777" w:rsidR="00C928AB" w:rsidRDefault="00C928AB" w:rsidP="00A15401">
                  <w:pPr>
                    <w:pStyle w:val="TAL"/>
                  </w:pPr>
                  <w:r>
                    <w:t>primary, controller, main</w:t>
                  </w:r>
                </w:p>
              </w:tc>
            </w:tr>
            <w:tr w:rsidR="00C928AB" w14:paraId="46BD809A" w14:textId="77777777" w:rsidTr="00A15401">
              <w:tc>
                <w:tcPr>
                  <w:tcW w:w="4928" w:type="dxa"/>
                  <w:shd w:val="clear" w:color="auto" w:fill="auto"/>
                </w:tcPr>
                <w:p w14:paraId="7A2E3C1A" w14:textId="4BFD88CC" w:rsidR="00C928AB" w:rsidRPr="00BA5406" w:rsidRDefault="002550A6" w:rsidP="00A15401">
                  <w:pPr>
                    <w:pStyle w:val="TAL"/>
                    <w:rPr>
                      <w:b/>
                      <w:bCs/>
                    </w:rPr>
                  </w:pPr>
                  <w:r w:rsidRPr="00BA5406">
                    <w:rPr>
                      <w:b/>
                      <w:bCs/>
                    </w:rPr>
                    <w:t>S</w:t>
                  </w:r>
                  <w:r w:rsidR="00C928AB" w:rsidRPr="00BA5406">
                    <w:rPr>
                      <w:b/>
                      <w:bCs/>
                    </w:rPr>
                    <w:t>lave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AC4B0BF" w14:textId="77777777" w:rsidR="00C928AB" w:rsidRDefault="00C928AB" w:rsidP="00A15401">
                  <w:pPr>
                    <w:pStyle w:val="TAL"/>
                  </w:pPr>
                  <w:r>
                    <w:t>secondary, standby</w:t>
                  </w:r>
                </w:p>
              </w:tc>
            </w:tr>
            <w:tr w:rsidR="00C928AB" w14:paraId="29E55913" w14:textId="77777777" w:rsidTr="00A15401">
              <w:tc>
                <w:tcPr>
                  <w:tcW w:w="4928" w:type="dxa"/>
                  <w:shd w:val="clear" w:color="auto" w:fill="auto"/>
                </w:tcPr>
                <w:p w14:paraId="6EFB7F64" w14:textId="77777777" w:rsidR="00C928AB" w:rsidRPr="00493989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white</w:t>
                  </w:r>
                  <w:r>
                    <w:rPr>
                      <w:b/>
                      <w:bCs/>
                    </w:rPr>
                    <w:t xml:space="preserve">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1530B4D" w14:textId="77777777" w:rsidR="00C928AB" w:rsidRDefault="00C928AB" w:rsidP="00A15401">
                  <w:pPr>
                    <w:pStyle w:val="TAL"/>
                  </w:pPr>
                  <w:r>
                    <w:t>allow list, accept list</w:t>
                  </w:r>
                </w:p>
              </w:tc>
            </w:tr>
            <w:tr w:rsidR="00C928AB" w14:paraId="6189EF4D" w14:textId="77777777" w:rsidTr="00A15401">
              <w:tc>
                <w:tcPr>
                  <w:tcW w:w="4928" w:type="dxa"/>
                  <w:shd w:val="clear" w:color="auto" w:fill="auto"/>
                </w:tcPr>
                <w:p w14:paraId="5E96E80C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black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E50EC66" w14:textId="77777777" w:rsidR="00C928AB" w:rsidRDefault="00C928AB" w:rsidP="00A15401">
                  <w:pPr>
                    <w:pStyle w:val="TAL"/>
                  </w:pPr>
                  <w:r w:rsidRPr="00493989">
                    <w:t>block list, drop list, forbidden list</w:t>
                  </w:r>
                </w:p>
              </w:tc>
            </w:tr>
            <w:tr w:rsidR="00C928AB" w14:paraId="50BB35BB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03AE4C8B" w14:textId="77777777" w:rsidR="00C928AB" w:rsidRDefault="00C928AB" w:rsidP="00A15401">
                  <w:pPr>
                    <w:pStyle w:val="TAL"/>
                  </w:pPr>
                  <w:r>
                    <w:rPr>
                      <w:rFonts w:hint="eastAsia"/>
                      <w:b/>
                      <w:bCs/>
                    </w:rPr>
                    <w:t>grey list</w:t>
                  </w:r>
                  <w:r w:rsidRPr="0045521D">
                    <w:rPr>
                      <w:rFonts w:hint="eastAsia"/>
                    </w:rPr>
                    <w:t xml:space="preserve"> (a term which has been used in conjunction with white list and black list)</w:t>
                  </w:r>
                  <w:r w:rsidRPr="00493989">
                    <w:rPr>
                      <w:rFonts w:hint="eastAsia"/>
                    </w:rPr>
                    <w:t xml:space="preserve"> should be replaced with e.g. track list, inspect list (NOTE)</w:t>
                  </w:r>
                  <w:r>
                    <w:t>.</w:t>
                  </w:r>
                </w:p>
              </w:tc>
            </w:tr>
            <w:tr w:rsidR="00C928AB" w14:paraId="2D49A877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39091A7B" w14:textId="77777777" w:rsidR="00C928AB" w:rsidRDefault="00C928AB" w:rsidP="00A15401">
                  <w:pPr>
                    <w:pStyle w:val="TAN"/>
                  </w:pPr>
                  <w:r>
                    <w:rPr>
                      <w:rFonts w:hint="eastAsia"/>
                      <w:b/>
                      <w:bCs/>
                    </w:rPr>
                    <w:t>NOTE:</w:t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rFonts w:hint="eastAsia"/>
                      <w:b/>
                      <w:bCs/>
                    </w:rPr>
                    <w:t>i</w:t>
                  </w:r>
                  <w:r>
                    <w:rPr>
                      <w:rFonts w:hint="eastAsia"/>
                    </w:rPr>
                    <w:t>ncluding single word and hyphenated versions</w:t>
                  </w:r>
                  <w:r>
                    <w:t>.</w:t>
                  </w:r>
                </w:p>
              </w:tc>
            </w:tr>
          </w:tbl>
          <w:p w14:paraId="7DD0B784" w14:textId="77777777" w:rsidR="00C928AB" w:rsidRDefault="00C928AB" w:rsidP="00A15401"/>
          <w:p w14:paraId="4B1D3E6F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7F7BF" w14:textId="77777777" w:rsidR="002550A6" w:rsidRDefault="002550A6" w:rsidP="002550A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187BA4F5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E273352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3B67C9B3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non-inclusive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2A13D669" w:rsidR="00C928AB" w:rsidRDefault="00CE7A4F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F.3</w:t>
            </w: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A7A2F" w14:textId="77777777" w:rsidR="00C928AB" w:rsidRDefault="00C928AB" w:rsidP="002666A7">
      <w:pPr>
        <w:pStyle w:val="Heading1"/>
      </w:pPr>
    </w:p>
    <w:p w14:paraId="26CFF4BA" w14:textId="77777777" w:rsidR="00C928AB" w:rsidRDefault="00C928AB">
      <w:pPr>
        <w:spacing w:after="0"/>
        <w:rPr>
          <w:rFonts w:ascii="Arial" w:hAnsi="Arial"/>
          <w:sz w:val="36"/>
        </w:rPr>
      </w:pPr>
      <w:r>
        <w:br w:type="page"/>
      </w:r>
    </w:p>
    <w:p w14:paraId="5D3F8EDC" w14:textId="79FE2B4C" w:rsidR="002666A7" w:rsidRDefault="002666A7" w:rsidP="002666A7">
      <w:pPr>
        <w:pStyle w:val="Heading1"/>
      </w:pPr>
      <w:r>
        <w:lastRenderedPageBreak/>
        <w:t>F.3</w:t>
      </w:r>
      <w:r>
        <w:tab/>
        <w:t>BMCA procedure</w:t>
      </w:r>
      <w:bookmarkEnd w:id="0"/>
    </w:p>
    <w:p w14:paraId="3AD8F99D" w14:textId="0D04891B" w:rsidR="005B3CAD" w:rsidRDefault="005B3CAD" w:rsidP="006E7760">
      <w:pPr>
        <w:pStyle w:val="TH"/>
      </w:pPr>
      <w:r>
        <w:object w:dxaOrig="8161" w:dyaOrig="4321" w14:anchorId="0993F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in" o:ole="">
            <v:imagedata r:id="rId12" o:title=""/>
          </v:shape>
          <o:OLEObject Type="Embed" ProgID="Visio.Drawing.15" ShapeID="_x0000_i1025" DrawAspect="Content" ObjectID="_1696231919" r:id="rId13"/>
        </w:object>
      </w:r>
    </w:p>
    <w:p w14:paraId="0AC138C2" w14:textId="0AF38243" w:rsidR="002666A7" w:rsidRDefault="002666A7" w:rsidP="002666A7">
      <w:pPr>
        <w:pStyle w:val="TF"/>
      </w:pPr>
      <w:r>
        <w:t>Figure F.3-1: BMCA procedure</w:t>
      </w:r>
    </w:p>
    <w:p w14:paraId="6AF912DC" w14:textId="719F77E0" w:rsidR="002666A7" w:rsidRDefault="002666A7" w:rsidP="002666A7">
      <w:pPr>
        <w:pStyle w:val="B1"/>
      </w:pPr>
      <w:r>
        <w:t>1.</w:t>
      </w:r>
      <w:r>
        <w:tab/>
        <w:t xml:space="preserve">PDU Session Establishment is performed as shown in F.1-1 step 1 and 2 for an Ethernet or IP type PDU Session to carry the </w:t>
      </w:r>
      <w:r w:rsidR="008471CD">
        <w:t>U</w:t>
      </w:r>
      <w:r>
        <w:t>MIC</w:t>
      </w:r>
      <w:r w:rsidR="008471CD">
        <w:t xml:space="preserve"> or PMIC</w:t>
      </w:r>
      <w:r>
        <w:t>.</w:t>
      </w:r>
    </w:p>
    <w:p w14:paraId="1B3CF9A6" w14:textId="7E81E3C1" w:rsidR="002666A7" w:rsidRDefault="002666A7" w:rsidP="002666A7">
      <w:pPr>
        <w:pStyle w:val="B1"/>
      </w:pPr>
      <w:r>
        <w:t>2.</w:t>
      </w:r>
      <w:r>
        <w:tab/>
        <w:t xml:space="preserve">The TSN AF or </w:t>
      </w:r>
      <w:r w:rsidR="005B3CAD">
        <w:t xml:space="preserve">TSCTSF </w:t>
      </w:r>
      <w:r>
        <w:t>may subscribe to notifications for the PTP port state changes from UPF/NW-TT.</w:t>
      </w:r>
    </w:p>
    <w:p w14:paraId="15AF27D9" w14:textId="77777777" w:rsidR="002666A7" w:rsidRDefault="002666A7" w:rsidP="002666A7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39357EE" w14:textId="77777777" w:rsidR="002666A7" w:rsidRDefault="002666A7" w:rsidP="002666A7">
      <w:pPr>
        <w:pStyle w:val="B1"/>
      </w:pPr>
      <w:r>
        <w:tab/>
        <w:t>As Announce message is a periodic message, after step 3, the UPF/NW-TT will receive Announce messages regularly.</w:t>
      </w:r>
    </w:p>
    <w:p w14:paraId="24F92CA1" w14:textId="77777777" w:rsidR="002666A7" w:rsidRDefault="002666A7" w:rsidP="002666A7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44C9B170" w14:textId="77777777" w:rsidR="002666A7" w:rsidRDefault="002666A7" w:rsidP="002666A7">
      <w:pPr>
        <w:pStyle w:val="B1"/>
      </w:pPr>
      <w:r>
        <w:tab/>
        <w:t>BMCA will be triggered after receiving the Announce message.</w:t>
      </w:r>
    </w:p>
    <w:p w14:paraId="70D9F3E8" w14:textId="010ECC47" w:rsidR="002666A7" w:rsidRDefault="002666A7" w:rsidP="002666A7">
      <w:pPr>
        <w:pStyle w:val="B1"/>
        <w:rPr>
          <w:ins w:id="4" w:author="Editor" w:date="2021-10-19T15:26:00Z"/>
        </w:rPr>
      </w:pPr>
      <w:r>
        <w:t>5.</w:t>
      </w:r>
      <w:r>
        <w:tab/>
        <w:t xml:space="preserve">If the BMCA procedure in NW-TT determines to use Announce message from the external grandmaster PTP instance, the UPF/NW-TT regenerates the Announce message based on the received Announce message for </w:t>
      </w:r>
      <w:r w:rsidR="00A50F6F">
        <w:t xml:space="preserve">each </w:t>
      </w:r>
      <w:del w:id="5" w:author="Editor" w:date="2021-10-10T17:14:00Z">
        <w:r w:rsidDel="00C928AB">
          <w:delText xml:space="preserve">Master </w:delText>
        </w:r>
      </w:del>
      <w:ins w:id="6" w:author="Editor" w:date="2021-10-19T15:14:00Z">
        <w:r w:rsidR="002550A6">
          <w:t>Leader</w:t>
        </w:r>
      </w:ins>
      <w:ins w:id="7" w:author="Editor" w:date="2021-10-10T17:14:00Z">
        <w:r w:rsidR="00C928AB">
          <w:t xml:space="preserve"> </w:t>
        </w:r>
      </w:ins>
      <w:r>
        <w:t xml:space="preserve">PTP port on the NW-TT and DS-TT(s) port for this PTP domain. The NW-TT/UPF forwards the regenerated Announce messages to the PDU session(s) related to the </w:t>
      </w:r>
      <w:del w:id="8" w:author="Editor" w:date="2021-10-10T17:14:00Z">
        <w:r w:rsidDel="00C928AB">
          <w:delText xml:space="preserve">Master </w:delText>
        </w:r>
      </w:del>
      <w:ins w:id="9" w:author="Editor" w:date="2021-10-19T15:14:00Z">
        <w:r w:rsidR="002550A6">
          <w:t>Leader</w:t>
        </w:r>
      </w:ins>
      <w:ins w:id="10" w:author="Editor" w:date="2021-10-10T17:14:00Z">
        <w:r w:rsidR="00C928AB">
          <w:t xml:space="preserve"> </w:t>
        </w:r>
      </w:ins>
      <w:r>
        <w:t>PTP ports on the DS-TT(s).</w:t>
      </w:r>
    </w:p>
    <w:p w14:paraId="2FBF761E" w14:textId="03ABC802" w:rsidR="00A31AAB" w:rsidRDefault="00A31AAB">
      <w:pPr>
        <w:pStyle w:val="NO"/>
      </w:pPr>
    </w:p>
    <w:p w14:paraId="0FF64E81" w14:textId="41174059" w:rsidR="00ED597F" w:rsidRDefault="00ED597F">
      <w:pPr>
        <w:pStyle w:val="NO"/>
        <w:pPrChange w:id="11" w:author="Ericsson-Oct18" w:date="2021-10-19T22:12:00Z">
          <w:pPr>
            <w:pStyle w:val="B1"/>
          </w:pPr>
        </w:pPrChange>
      </w:pPr>
      <w:ins w:id="12" w:author="Editor" w:date="2021-10-20T10:42:00Z">
        <w:r>
          <w:t>NOTE:</w:t>
        </w:r>
        <w:r>
          <w:tab/>
          <w:t xml:space="preserve">Leader and Follower terms in this specification maps to Master and Slave terms respectively for (g)PTP time synchronization as specified in IEEE Std 802.1AS [104] and IEEE Std 1588 [126]. This terminology can require </w:t>
        </w:r>
        <w:del w:id="13" w:author="Editor" w:date="2021-10-19T23:39:00Z">
          <w:r w:rsidDel="00F96EA6">
            <w:delText xml:space="preserve">additional </w:delText>
          </w:r>
        </w:del>
        <w:r>
          <w:t>update depending on IEEE 1588 WG response to 3GPP SA2 WG.</w:t>
        </w:r>
      </w:ins>
    </w:p>
    <w:p w14:paraId="62B98A22" w14:textId="4804EB23" w:rsidR="002666A7" w:rsidRDefault="002666A7" w:rsidP="002666A7">
      <w:pPr>
        <w:pStyle w:val="B1"/>
      </w:pPr>
      <w:r>
        <w:t>6.</w:t>
      </w:r>
      <w:r>
        <w:tab/>
        <w:t xml:space="preserve">If the TSN AF or </w:t>
      </w:r>
      <w:r w:rsidR="005B3CAD">
        <w:t xml:space="preserve">TSCTSF </w:t>
      </w:r>
      <w:r>
        <w:t xml:space="preserve">has subscribed for notifications for the PTP port state changes, the UPF/NW-TT reports any changes to the PTP port states to the TSN AF or </w:t>
      </w:r>
      <w:r w:rsidR="005B3CAD">
        <w:t xml:space="preserve">TSCTSF </w:t>
      </w:r>
      <w:r>
        <w:t xml:space="preserve">via </w:t>
      </w:r>
      <w:r w:rsidR="008471CD">
        <w:t>U</w:t>
      </w:r>
      <w:r>
        <w:t>MIC</w:t>
      </w:r>
      <w:r w:rsidR="008471CD">
        <w:t xml:space="preserve"> (for DS-TT ports) or PMIC (for NW-TT ports)</w:t>
      </w:r>
      <w:r>
        <w:t>.</w:t>
      </w:r>
    </w:p>
    <w:p w14:paraId="3A401CD5" w14:textId="7FBD8377" w:rsidR="002666A7" w:rsidRDefault="002666A7" w:rsidP="002666A7">
      <w:pPr>
        <w:pStyle w:val="B1"/>
      </w:pPr>
      <w:r>
        <w:t>7.</w:t>
      </w:r>
      <w:r>
        <w:tab/>
        <w:t xml:space="preserve">Based on the notification for the PTP port state changes, the TSN AF or </w:t>
      </w:r>
      <w:r w:rsidR="005B3CAD">
        <w:t xml:space="preserve">TSCTSF </w:t>
      </w:r>
      <w:r>
        <w:t>may request</w:t>
      </w:r>
      <w:r w:rsidR="00A50F6F">
        <w:t xml:space="preserve"> appropriate QoS treatment and PDU Session modification may then be triggered</w:t>
      </w:r>
      <w:r>
        <w:t xml:space="preserve"> to modify the QoS Flow carrying the </w:t>
      </w:r>
      <w:r w:rsidR="00A50F6F">
        <w:t>g</w:t>
      </w:r>
      <w:r>
        <w:t>PTP messages over user plane in order to be compliant with the IEEE</w:t>
      </w:r>
      <w:r w:rsidR="00494592">
        <w:t> Std </w:t>
      </w:r>
      <w:r>
        <w:t>802.1AS</w:t>
      </w:r>
      <w:r w:rsidR="00494592">
        <w:t> </w:t>
      </w:r>
      <w:r>
        <w:t>[</w:t>
      </w:r>
      <w:r w:rsidR="00494592">
        <w:t>75</w:t>
      </w:r>
      <w:r>
        <w:t>] delay recommendation for carrying gPTP messages as in</w:t>
      </w:r>
      <w:r w:rsidR="00EB0435">
        <w:t xml:space="preserve"> clause 5.27.1.6</w:t>
      </w:r>
      <w:r>
        <w:t xml:space="preserve"> </w:t>
      </w:r>
      <w:r w:rsidR="00EB0435">
        <w:t xml:space="preserve">of </w:t>
      </w:r>
      <w:r>
        <w:t>TS</w:t>
      </w:r>
      <w:r w:rsidR="00EB0435">
        <w:t> </w:t>
      </w:r>
      <w:r>
        <w:t>23.501 [2].</w:t>
      </w:r>
    </w:p>
    <w:p w14:paraId="43F7BDFD" w14:textId="64925DB3" w:rsidR="00080512" w:rsidRPr="00776774" w:rsidRDefault="00A225D5" w:rsidP="00C928AB">
      <w:pPr>
        <w:pStyle w:val="Heading8"/>
      </w:pPr>
      <w:r w:rsidRPr="00140E21">
        <w:br w:type="page"/>
      </w:r>
      <w:bookmarkEnd w:id="1"/>
      <w:r w:rsidR="00C928AB" w:rsidRPr="00776774">
        <w:lastRenderedPageBreak/>
        <w:t xml:space="preserve"> </w:t>
      </w:r>
    </w:p>
    <w:sectPr w:rsidR="00080512" w:rsidRPr="0077677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FFD31" w14:textId="77777777" w:rsidR="00EC2A6B" w:rsidRDefault="00EC2A6B">
      <w:r>
        <w:separator/>
      </w:r>
    </w:p>
  </w:endnote>
  <w:endnote w:type="continuationSeparator" w:id="0">
    <w:p w14:paraId="79072F5C" w14:textId="77777777" w:rsidR="00EC2A6B" w:rsidRDefault="00EC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8DC21" w14:textId="77777777" w:rsidR="00EC2A6B" w:rsidRDefault="00EC2A6B">
      <w:r>
        <w:separator/>
      </w:r>
    </w:p>
  </w:footnote>
  <w:footnote w:type="continuationSeparator" w:id="0">
    <w:p w14:paraId="4B1C1E0C" w14:textId="77777777" w:rsidR="00EC2A6B" w:rsidRDefault="00EC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43BEBF21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389C3D2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Oct18">
    <w15:presenceInfo w15:providerId="None" w15:userId="Ericsson-Oct18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109F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550A6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13C44"/>
    <w:rsid w:val="00731EC1"/>
    <w:rsid w:val="00734A5B"/>
    <w:rsid w:val="00737283"/>
    <w:rsid w:val="0074026F"/>
    <w:rsid w:val="007429F6"/>
    <w:rsid w:val="007430D4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10F02"/>
    <w:rsid w:val="00A13CEC"/>
    <w:rsid w:val="00A164B4"/>
    <w:rsid w:val="00A225D5"/>
    <w:rsid w:val="00A238E8"/>
    <w:rsid w:val="00A26956"/>
    <w:rsid w:val="00A27486"/>
    <w:rsid w:val="00A31AAB"/>
    <w:rsid w:val="00A419F2"/>
    <w:rsid w:val="00A50F6F"/>
    <w:rsid w:val="00A53724"/>
    <w:rsid w:val="00A56066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CE7A4F"/>
    <w:rsid w:val="00D20DF8"/>
    <w:rsid w:val="00D45B1B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2A6B"/>
    <w:rsid w:val="00EC4A25"/>
    <w:rsid w:val="00ED597F"/>
    <w:rsid w:val="00EE66A3"/>
    <w:rsid w:val="00F025A2"/>
    <w:rsid w:val="00F04712"/>
    <w:rsid w:val="00F13360"/>
    <w:rsid w:val="00F223E5"/>
    <w:rsid w:val="00F22EC7"/>
    <w:rsid w:val="00F32163"/>
    <w:rsid w:val="00F325C8"/>
    <w:rsid w:val="00F653B8"/>
    <w:rsid w:val="00F9008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720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5273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Editor</cp:lastModifiedBy>
  <cp:revision>3</cp:revision>
  <cp:lastPrinted>2019-02-25T14:05:00Z</cp:lastPrinted>
  <dcterms:created xsi:type="dcterms:W3CDTF">2021-10-20T15:44:00Z</dcterms:created>
  <dcterms:modified xsi:type="dcterms:W3CDTF">2021-10-20T15:45:00Z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