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7A622D" w:rsidRPr="007A622D">
        <w:rPr>
          <w:b/>
          <w:i/>
          <w:noProof/>
          <w:sz w:val="28"/>
        </w:rPr>
        <w:t>2939</w:t>
      </w:r>
      <w:ins w:id="0" w:author="Nokia1" w:date="2020-04-22T16:47:00Z">
        <w:r w:rsidR="004633E4">
          <w:rPr>
            <w:rFonts w:hint="eastAsia"/>
            <w:b/>
            <w:i/>
            <w:noProof/>
            <w:sz w:val="28"/>
            <w:lang w:eastAsia="zh-CN"/>
          </w:rPr>
          <w:t>r</w:t>
        </w:r>
        <w:r w:rsidR="004633E4">
          <w:rPr>
            <w:b/>
            <w:i/>
            <w:noProof/>
            <w:sz w:val="28"/>
            <w:lang w:eastAsia="zh-CN"/>
          </w:rPr>
          <w:t>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22753D">
        <w:rPr>
          <w:rFonts w:cs="Arial"/>
          <w:b/>
          <w:bCs/>
          <w:color w:val="0000FF"/>
        </w:rPr>
        <w:t>2122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53D" w:rsidP="00547111">
            <w:pPr>
              <w:pStyle w:val="CRCoverPage"/>
              <w:spacing w:after="0"/>
              <w:rPr>
                <w:noProof/>
              </w:rPr>
            </w:pPr>
            <w:r w:rsidRPr="00E20EC1">
              <w:rPr>
                <w:b/>
                <w:noProof/>
                <w:sz w:val="28"/>
              </w:rPr>
              <w:t>0416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71EA9" w:rsidRDefault="0022753D" w:rsidP="006D18D3">
            <w:pPr>
              <w:pStyle w:val="CRCoverPage"/>
              <w:spacing w:after="0"/>
              <w:jc w:val="center"/>
              <w:rPr>
                <w:b/>
                <w:noProof/>
              </w:rPr>
            </w:pPr>
            <w:r>
              <w:rPr>
                <w:b/>
                <w:noProof/>
                <w:sz w:val="28"/>
              </w:rPr>
              <w:t>1</w:t>
            </w:r>
            <w:r w:rsidR="006D18D3" w:rsidRPr="00A71EA9">
              <w:rPr>
                <w:b/>
                <w:noProof/>
              </w:rPr>
              <w:t xml:space="preserve"> </w:t>
            </w:r>
          </w:p>
        </w:tc>
        <w:tc>
          <w:tcPr>
            <w:tcW w:w="2410" w:type="dxa"/>
          </w:tcPr>
          <w:p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rsidTr="00A7671C">
        <w:tc>
          <w:tcPr>
            <w:tcW w:w="2835" w:type="dxa"/>
          </w:tcPr>
          <w:p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1EA9" w:rsidRDefault="00F25D98" w:rsidP="001E41F3">
            <w:pPr>
              <w:pStyle w:val="CRCoverPage"/>
              <w:spacing w:after="0"/>
              <w:jc w:val="center"/>
              <w:rPr>
                <w:b/>
                <w:caps/>
                <w:noProof/>
              </w:rPr>
            </w:pPr>
          </w:p>
        </w:tc>
        <w:tc>
          <w:tcPr>
            <w:tcW w:w="709" w:type="dxa"/>
            <w:tcBorders>
              <w:left w:val="single" w:sz="4" w:space="0" w:color="auto"/>
            </w:tcBorders>
          </w:tcPr>
          <w:p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F25D98" w:rsidP="001E41F3">
            <w:pPr>
              <w:pStyle w:val="CRCoverPage"/>
              <w:spacing w:after="0"/>
              <w:jc w:val="center"/>
              <w:rPr>
                <w:b/>
                <w:caps/>
                <w:noProof/>
              </w:rPr>
            </w:pPr>
          </w:p>
        </w:tc>
        <w:tc>
          <w:tcPr>
            <w:tcW w:w="2126" w:type="dxa"/>
          </w:tcPr>
          <w:p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1EA9" w:rsidRDefault="00F25D98" w:rsidP="001E41F3">
            <w:pPr>
              <w:pStyle w:val="CRCoverPage"/>
              <w:spacing w:after="0"/>
              <w:jc w:val="center"/>
              <w:rPr>
                <w:b/>
                <w:caps/>
                <w:noProof/>
              </w:rPr>
            </w:pPr>
          </w:p>
        </w:tc>
        <w:tc>
          <w:tcPr>
            <w:tcW w:w="1418" w:type="dxa"/>
            <w:tcBorders>
              <w:left w:val="nil"/>
            </w:tcBorders>
          </w:tcPr>
          <w:p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AF1A6F" w:rsidP="001E41F3">
            <w:pPr>
              <w:pStyle w:val="CRCoverPage"/>
              <w:spacing w:after="0"/>
              <w:jc w:val="center"/>
              <w:rPr>
                <w:b/>
                <w:bCs/>
                <w:caps/>
                <w:noProof/>
              </w:rPr>
            </w:pPr>
            <w:r w:rsidRPr="00A71EA9">
              <w:rPr>
                <w:b/>
                <w:bCs/>
                <w:caps/>
                <w:noProof/>
              </w:rPr>
              <w:t>X</w:t>
            </w:r>
          </w:p>
        </w:tc>
      </w:tr>
    </w:tbl>
    <w:p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rsidTr="00547111">
        <w:tc>
          <w:tcPr>
            <w:tcW w:w="9640" w:type="dxa"/>
            <w:gridSpan w:val="11"/>
          </w:tcPr>
          <w:p w:rsidR="001E41F3" w:rsidRPr="00A71EA9" w:rsidRDefault="001E41F3">
            <w:pPr>
              <w:pStyle w:val="CRCoverPage"/>
              <w:spacing w:after="0"/>
              <w:rPr>
                <w:noProof/>
                <w:sz w:val="8"/>
                <w:szCs w:val="8"/>
              </w:rPr>
            </w:pPr>
          </w:p>
        </w:tc>
      </w:tr>
      <w:tr w:rsidR="001E41F3" w:rsidRPr="00A71EA9" w:rsidTr="00547111">
        <w:tc>
          <w:tcPr>
            <w:tcW w:w="1843" w:type="dxa"/>
            <w:tcBorders>
              <w:top w:val="single" w:sz="4" w:space="0" w:color="auto"/>
              <w:left w:val="single" w:sz="4" w:space="0" w:color="auto"/>
            </w:tcBorders>
          </w:tcPr>
          <w:p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rsidR="001E41F3" w:rsidRPr="00A71EA9" w:rsidRDefault="00A71EA9" w:rsidP="008824F6">
            <w:pPr>
              <w:pStyle w:val="CRCoverPage"/>
              <w:spacing w:after="0"/>
              <w:ind w:left="100"/>
              <w:rPr>
                <w:noProof/>
              </w:rPr>
            </w:pPr>
            <w:r w:rsidRPr="00A71EA9">
              <w:rPr>
                <w:noProof/>
                <w:lang w:eastAsia="zh-CN"/>
              </w:rPr>
              <w:t xml:space="preserve">Correction on QoS Flow Binding </w:t>
            </w:r>
            <w:r w:rsidR="008824F6">
              <w:rPr>
                <w:noProof/>
                <w:lang w:eastAsia="zh-CN"/>
              </w:rPr>
              <w:t>for</w:t>
            </w:r>
            <w:r w:rsidRPr="00A71EA9">
              <w:rPr>
                <w:noProof/>
                <w:lang w:eastAsia="zh-CN"/>
              </w:rPr>
              <w:t xml:space="preserve"> CN PDB</w:t>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rsidR="001E41F3" w:rsidRPr="00A71EA9" w:rsidRDefault="008824F6">
            <w:pPr>
              <w:pStyle w:val="CRCoverPage"/>
              <w:spacing w:after="0"/>
              <w:ind w:left="100"/>
              <w:rPr>
                <w:noProof/>
              </w:rPr>
            </w:pPr>
            <w:r w:rsidRPr="008824F6">
              <w:rPr>
                <w:noProof/>
              </w:rPr>
              <w:t>5G_URLLC</w:t>
            </w:r>
          </w:p>
        </w:tc>
        <w:tc>
          <w:tcPr>
            <w:tcW w:w="567" w:type="dxa"/>
            <w:tcBorders>
              <w:left w:val="nil"/>
            </w:tcBorders>
          </w:tcPr>
          <w:p w:rsidR="001E41F3" w:rsidRPr="00A71EA9" w:rsidRDefault="001E41F3">
            <w:pPr>
              <w:pStyle w:val="CRCoverPage"/>
              <w:spacing w:after="0"/>
              <w:ind w:right="100"/>
              <w:rPr>
                <w:noProof/>
              </w:rPr>
            </w:pPr>
          </w:p>
        </w:tc>
        <w:tc>
          <w:tcPr>
            <w:tcW w:w="1417" w:type="dxa"/>
            <w:gridSpan w:val="3"/>
            <w:tcBorders>
              <w:left w:val="nil"/>
            </w:tcBorders>
          </w:tcPr>
          <w:p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1986" w:type="dxa"/>
            <w:gridSpan w:val="4"/>
          </w:tcPr>
          <w:p w:rsidR="001E41F3" w:rsidRPr="00A71EA9" w:rsidRDefault="001E41F3">
            <w:pPr>
              <w:pStyle w:val="CRCoverPage"/>
              <w:spacing w:after="0"/>
              <w:rPr>
                <w:noProof/>
                <w:sz w:val="8"/>
                <w:szCs w:val="8"/>
              </w:rPr>
            </w:pPr>
          </w:p>
        </w:tc>
        <w:tc>
          <w:tcPr>
            <w:tcW w:w="2267" w:type="dxa"/>
            <w:gridSpan w:val="2"/>
          </w:tcPr>
          <w:p w:rsidR="001E41F3" w:rsidRPr="00A71EA9" w:rsidRDefault="001E41F3">
            <w:pPr>
              <w:pStyle w:val="CRCoverPage"/>
              <w:spacing w:after="0"/>
              <w:rPr>
                <w:noProof/>
                <w:sz w:val="8"/>
                <w:szCs w:val="8"/>
              </w:rPr>
            </w:pPr>
          </w:p>
        </w:tc>
        <w:tc>
          <w:tcPr>
            <w:tcW w:w="1417" w:type="dxa"/>
            <w:gridSpan w:val="3"/>
          </w:tcPr>
          <w:p w:rsidR="001E41F3" w:rsidRPr="00A71EA9" w:rsidRDefault="001E41F3">
            <w:pPr>
              <w:pStyle w:val="CRCoverPage"/>
              <w:spacing w:after="0"/>
              <w:rPr>
                <w:noProof/>
                <w:sz w:val="8"/>
                <w:szCs w:val="8"/>
              </w:rPr>
            </w:pPr>
          </w:p>
        </w:tc>
        <w:tc>
          <w:tcPr>
            <w:tcW w:w="2127" w:type="dxa"/>
            <w:tcBorders>
              <w:right w:val="single" w:sz="4" w:space="0" w:color="auto"/>
            </w:tcBorders>
          </w:tcPr>
          <w:p w:rsidR="001E41F3" w:rsidRPr="00A71EA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rsidR="001E41F3" w:rsidRPr="00A71EA9" w:rsidRDefault="001E41F3">
            <w:pPr>
              <w:pStyle w:val="CRCoverPage"/>
              <w:spacing w:after="0"/>
              <w:rPr>
                <w:noProof/>
              </w:rPr>
            </w:pPr>
          </w:p>
        </w:tc>
        <w:tc>
          <w:tcPr>
            <w:tcW w:w="1417" w:type="dxa"/>
            <w:gridSpan w:val="3"/>
            <w:tcBorders>
              <w:left w:val="nil"/>
            </w:tcBorders>
          </w:tcPr>
          <w:p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1EA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1EA9" w:rsidRDefault="00AA7950" w:rsidP="00AA7950">
            <w:pPr>
              <w:pStyle w:val="CRCoverPage"/>
              <w:spacing w:after="0"/>
              <w:ind w:left="100"/>
              <w:rPr>
                <w:lang w:eastAsia="zh-CN"/>
              </w:rPr>
            </w:pPr>
            <w:r>
              <w:rPr>
                <w:lang w:eastAsia="zh-CN"/>
              </w:rPr>
              <w:t xml:space="preserve">The SMF should consider the CN PDB during the QoS Flow Binding because in R16 the CN PDB </w:t>
            </w:r>
            <w:r w:rsidR="008824F6">
              <w:rPr>
                <w:lang w:eastAsia="zh-CN"/>
              </w:rPr>
              <w:t>can be provided</w:t>
            </w:r>
            <w:r>
              <w:rPr>
                <w:lang w:eastAsia="zh-CN"/>
              </w:rPr>
              <w:t xml:space="preserve"> dynamically. </w:t>
            </w:r>
            <w:r w:rsidR="008824F6">
              <w:rPr>
                <w:lang w:eastAsia="zh-CN"/>
              </w:rPr>
              <w:t>However,</w:t>
            </w:r>
            <w:r>
              <w:rPr>
                <w:lang w:eastAsia="zh-CN"/>
              </w:rPr>
              <w:t xml:space="preserve"> CN PDB is not part of PCC rule</w:t>
            </w:r>
            <w:r w:rsidR="008824F6">
              <w:rPr>
                <w:lang w:eastAsia="zh-CN"/>
              </w:rPr>
              <w:t xml:space="preserve"> but it is derived from the PSA UPF that is selected for the PCC rule based on the DNAI</w:t>
            </w:r>
            <w:r>
              <w:rPr>
                <w:lang w:eastAsia="zh-CN"/>
              </w:rPr>
              <w:t xml:space="preserve">, so it is incorrect to add </w:t>
            </w:r>
            <w:r w:rsidR="008824F6">
              <w:rPr>
                <w:lang w:eastAsia="zh-CN"/>
              </w:rPr>
              <w:t xml:space="preserve">the CN PDB directly </w:t>
            </w:r>
            <w:r>
              <w:rPr>
                <w:lang w:eastAsia="zh-CN"/>
              </w:rPr>
              <w:t xml:space="preserve">in the binding parameters. </w:t>
            </w:r>
          </w:p>
          <w:p w:rsidR="00A71EA9" w:rsidRDefault="00A71EA9" w:rsidP="00AA7950">
            <w:pPr>
              <w:pStyle w:val="CRCoverPage"/>
              <w:spacing w:after="0"/>
              <w:ind w:left="100"/>
              <w:rPr>
                <w:lang w:eastAsia="zh-CN"/>
              </w:rPr>
            </w:pPr>
          </w:p>
          <w:p w:rsidR="00533D9F" w:rsidRPr="00533D9F" w:rsidRDefault="00533D9F" w:rsidP="00AC6A63">
            <w:pPr>
              <w:pStyle w:val="CRCoverPage"/>
              <w:spacing w:after="0"/>
              <w:ind w:left="100"/>
              <w:rPr>
                <w:b/>
                <w:u w:val="single"/>
                <w:lang w:eastAsia="zh-CN"/>
              </w:rPr>
            </w:pPr>
            <w:r w:rsidRPr="00533D9F">
              <w:rPr>
                <w:rFonts w:hint="eastAsia"/>
                <w:b/>
                <w:u w:val="single"/>
                <w:lang w:eastAsia="zh-CN"/>
              </w:rPr>
              <w:t>F</w:t>
            </w:r>
            <w:r w:rsidRPr="00533D9F">
              <w:rPr>
                <w:b/>
                <w:u w:val="single"/>
                <w:lang w:eastAsia="zh-CN"/>
              </w:rPr>
              <w:t>urther clarification:</w:t>
            </w:r>
          </w:p>
          <w:p w:rsidR="008239B7" w:rsidRDefault="00533D9F" w:rsidP="00AC6A63">
            <w:pPr>
              <w:pStyle w:val="CRCoverPage"/>
              <w:spacing w:after="0"/>
              <w:ind w:left="100"/>
              <w:rPr>
                <w:lang w:eastAsia="zh-CN"/>
              </w:rPr>
            </w:pPr>
            <w:r>
              <w:rPr>
                <w:lang w:eastAsia="zh-CN"/>
              </w:rPr>
              <w:t>C</w:t>
            </w:r>
            <w:r w:rsidR="00A71EA9" w:rsidRPr="00A71EA9">
              <w:rPr>
                <w:lang w:eastAsia="zh-CN"/>
              </w:rPr>
              <w:t xml:space="preserve">urrently, the SDF within a QoS Flow could have different dynamic CN PDBs as SDFs could have different PSA UPFs, which </w:t>
            </w:r>
            <w:r w:rsidR="008824F6">
              <w:rPr>
                <w:lang w:eastAsia="zh-CN"/>
              </w:rPr>
              <w:t>are selected based on</w:t>
            </w:r>
            <w:r w:rsidR="00A71EA9" w:rsidRPr="00A71EA9">
              <w:rPr>
                <w:lang w:eastAsia="zh-CN"/>
              </w:rPr>
              <w:t xml:space="preserve"> the </w:t>
            </w:r>
            <w:r w:rsidR="009A24B6">
              <w:rPr>
                <w:lang w:eastAsia="zh-CN"/>
              </w:rPr>
              <w:t xml:space="preserve">list of </w:t>
            </w:r>
            <w:r w:rsidR="00A71EA9" w:rsidRPr="00A71EA9">
              <w:rPr>
                <w:lang w:eastAsia="zh-CN"/>
              </w:rPr>
              <w:t>DNAI</w:t>
            </w:r>
            <w:r w:rsidR="009A24B6">
              <w:rPr>
                <w:lang w:eastAsia="zh-CN"/>
              </w:rPr>
              <w:t>s</w:t>
            </w:r>
            <w:r w:rsidR="00A71EA9" w:rsidRPr="00A71EA9">
              <w:rPr>
                <w:lang w:eastAsia="zh-CN"/>
              </w:rPr>
              <w:t xml:space="preserve"> in the PCC rule.</w:t>
            </w:r>
            <w:r w:rsidR="00A71EA9">
              <w:t xml:space="preserve"> </w:t>
            </w:r>
            <w:r w:rsidR="00A71EA9">
              <w:rPr>
                <w:lang w:eastAsia="zh-CN"/>
              </w:rPr>
              <w:t>T</w:t>
            </w:r>
            <w:r w:rsidR="00A71EA9" w:rsidRPr="00A71EA9">
              <w:rPr>
                <w:lang w:eastAsia="zh-CN"/>
              </w:rPr>
              <w:t>he QoS Flow binding takes place when the PCC rule is received while the PSA UPF selection may change over the lifetime of the service.</w:t>
            </w:r>
            <w:r w:rsidR="00BD5C7B">
              <w:rPr>
                <w:lang w:eastAsia="zh-CN"/>
              </w:rPr>
              <w:t xml:space="preserve"> </w:t>
            </w:r>
          </w:p>
          <w:p w:rsidR="00533D9F" w:rsidRPr="008239B7" w:rsidRDefault="00533D9F" w:rsidP="00AC6A63">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1EA9" w:rsidRDefault="00A71EA9" w:rsidP="00A71EA9">
            <w:pPr>
              <w:pStyle w:val="CRCoverPage"/>
              <w:spacing w:after="0"/>
              <w:ind w:left="100"/>
            </w:pPr>
            <w:r w:rsidRPr="00E20EC1">
              <w:t xml:space="preserve">CN PDB </w:t>
            </w:r>
            <w:r w:rsidR="009A24B6">
              <w:t>has to</w:t>
            </w:r>
            <w:r w:rsidR="009A24B6" w:rsidRPr="00E20EC1">
              <w:t xml:space="preserve"> </w:t>
            </w:r>
            <w:r w:rsidRPr="00E20EC1">
              <w:t>be considered during QoS Flow Binding.</w:t>
            </w:r>
            <w:r w:rsidR="009A24B6">
              <w:t xml:space="preserve"> The SMF shall ensure that PCC rules with the same above </w:t>
            </w:r>
            <w:r w:rsidR="009A24B6">
              <w:rPr>
                <w:lang w:val="x-none"/>
              </w:rPr>
              <w:t>binding parameter</w:t>
            </w:r>
            <w:r w:rsidR="009A24B6">
              <w:t>s but different PDU Session anchors are not bound to the same QoS Flow.</w:t>
            </w:r>
          </w:p>
          <w:p w:rsidR="00A71EA9" w:rsidRPr="008239B7" w:rsidRDefault="00BD5C7B" w:rsidP="008239B7">
            <w:pPr>
              <w:pStyle w:val="CRCoverPage"/>
              <w:spacing w:after="0"/>
              <w:ind w:left="100"/>
            </w:pPr>
            <w:r>
              <w:t xml:space="preserve">Add a NOTE </w:t>
            </w:r>
            <w:r>
              <w:rPr>
                <w:lang w:eastAsia="zh-CN"/>
              </w:rPr>
              <w:t xml:space="preserve">for </w:t>
            </w:r>
            <w:r w:rsidRPr="00A71EA9">
              <w:rPr>
                <w:lang w:eastAsia="zh-CN"/>
              </w:rPr>
              <w:t>the relationship between DNAI and PSA UPF</w:t>
            </w:r>
            <w:r>
              <w:rPr>
                <w:lang w:eastAsia="zh-CN"/>
              </w:rPr>
              <w:t>, which</w:t>
            </w:r>
            <w:r w:rsidRPr="00BD5C7B">
              <w:t xml:space="preserve"> will also clarify how CN PDB is relevant with a PCC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A7950" w:rsidP="00B661A1">
            <w:pPr>
              <w:pStyle w:val="CRCoverPage"/>
              <w:spacing w:after="0"/>
              <w:ind w:left="100"/>
              <w:rPr>
                <w:noProof/>
                <w:highlight w:val="green"/>
              </w:rPr>
            </w:pPr>
            <w:r>
              <w:rPr>
                <w:noProof/>
              </w:rPr>
              <w:t xml:space="preserve">Binding mechanism does not support Rel-16 feature </w:t>
            </w:r>
            <w:r w:rsidR="008239B7">
              <w:rPr>
                <w:noProof/>
              </w:rPr>
              <w:t>“</w:t>
            </w:r>
            <w:r>
              <w:rPr>
                <w:noProof/>
              </w:rPr>
              <w:t>Dynamic CN PDB</w:t>
            </w:r>
            <w:r w:rsidR="008239B7">
              <w:rPr>
                <w:noProof/>
              </w:rPr>
              <w:t>”</w:t>
            </w:r>
            <w:r>
              <w:rPr>
                <w:noProof/>
              </w:rPr>
              <w:t>.</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950">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AA7950" w:rsidRDefault="00AA7950" w:rsidP="00AA7950">
      <w:pPr>
        <w:pStyle w:val="Heading5"/>
      </w:pPr>
      <w:bookmarkStart w:id="5" w:name="_Toc36192659"/>
      <w:bookmarkStart w:id="6" w:name="_Toc27896491"/>
      <w:bookmarkStart w:id="7" w:name="_Toc19197338"/>
      <w:bookmarkEnd w:id="4"/>
      <w:r>
        <w:t>6.1.3.2.4</w:t>
      </w:r>
      <w:r>
        <w:tab/>
        <w:t>QoS Flow binding</w:t>
      </w:r>
      <w:bookmarkEnd w:id="5"/>
      <w:bookmarkEnd w:id="6"/>
      <w:bookmarkEnd w:id="7"/>
    </w:p>
    <w:p w:rsidR="00AA7950" w:rsidRDefault="00AA7950" w:rsidP="00AA7950">
      <w:r>
        <w:t>QoS Flow binding is the association of a PCC rule to a QoS Flow within a PDU Session. The binding is performed using the following binding parameters:</w:t>
      </w:r>
    </w:p>
    <w:p w:rsidR="00AA7950" w:rsidRDefault="00AA7950" w:rsidP="00AA7950">
      <w:pPr>
        <w:pStyle w:val="B1"/>
      </w:pPr>
      <w:r>
        <w:t>-</w:t>
      </w:r>
      <w:r>
        <w:tab/>
        <w:t>5QI;</w:t>
      </w:r>
    </w:p>
    <w:p w:rsidR="00AA7950" w:rsidRDefault="00AA7950" w:rsidP="00AA7950">
      <w:pPr>
        <w:pStyle w:val="B1"/>
      </w:pPr>
      <w:r>
        <w:t>-</w:t>
      </w:r>
      <w:r>
        <w:tab/>
        <w:t>ARP;</w:t>
      </w:r>
    </w:p>
    <w:p w:rsidR="00AA7950" w:rsidRDefault="00AA7950" w:rsidP="00AA7950">
      <w:pPr>
        <w:pStyle w:val="B1"/>
      </w:pPr>
      <w:r>
        <w:t>-</w:t>
      </w:r>
      <w:r>
        <w:tab/>
        <w:t>QNC (if available in the PCC rule);</w:t>
      </w:r>
    </w:p>
    <w:p w:rsidR="00AA7950" w:rsidRDefault="00AA7950" w:rsidP="00AA7950">
      <w:pPr>
        <w:pStyle w:val="B1"/>
      </w:pPr>
      <w:r>
        <w:t>-</w:t>
      </w:r>
      <w:r>
        <w:tab/>
        <w:t>Priority Level (if available in the PCC rule);</w:t>
      </w:r>
    </w:p>
    <w:p w:rsidR="00AA7950" w:rsidRDefault="00AA7950" w:rsidP="00AA7950">
      <w:pPr>
        <w:pStyle w:val="B1"/>
      </w:pPr>
      <w:r>
        <w:t>-</w:t>
      </w:r>
      <w:r>
        <w:tab/>
        <w:t>Averaging Window (if available in the PCC rule);</w:t>
      </w:r>
    </w:p>
    <w:p w:rsidR="00AA7950" w:rsidRDefault="00AA7950" w:rsidP="00AA7950">
      <w:pPr>
        <w:pStyle w:val="B1"/>
      </w:pPr>
      <w:r>
        <w:t>-</w:t>
      </w:r>
      <w:r>
        <w:tab/>
        <w:t>Maximum Data Burst Volume (if available in the PCC rule);</w:t>
      </w:r>
    </w:p>
    <w:p w:rsidR="00AA7950" w:rsidRDefault="00AA7950" w:rsidP="00AA7950">
      <w:pPr>
        <w:pStyle w:val="B1"/>
        <w:rPr>
          <w:lang w:val="x-none"/>
        </w:rPr>
      </w:pPr>
      <w:r>
        <w:t>-</w:t>
      </w:r>
      <w:r>
        <w:tab/>
        <w:t>Alternative QoS Parameter Set(s) (if available in the PCC rule).</w:t>
      </w:r>
    </w:p>
    <w:p w:rsidR="00AA7950" w:rsidRDefault="00AA7950" w:rsidP="00AA7950">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 the SMF binds the PCC Rule to this QoS Flow and proceeds as described TS 23.501 [2] clause 5.7.1.5 to modify the QoS Flow or, based on local policies, creates a new QoS Flow following the actions described above.</w:t>
      </w:r>
    </w:p>
    <w:p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AA7950" w:rsidRDefault="00AA7950" w:rsidP="00AA7950">
      <w:r>
        <w:t>The SMF shall identify the QoS Flow associated with the default QoS rule based on the fact that the PCC rule(s) bound to this QoS Flow contain:</w:t>
      </w:r>
    </w:p>
    <w:p w:rsidR="00AA7950" w:rsidRDefault="00AA7950" w:rsidP="00AA7950">
      <w:pPr>
        <w:pStyle w:val="B1"/>
      </w:pPr>
      <w:r>
        <w:t>-</w:t>
      </w:r>
      <w:r>
        <w:tab/>
        <w:t>5QI and ARP values that are identical to the PDU Session related information Authorized default 5QI/ARP; or</w:t>
      </w:r>
    </w:p>
    <w:p w:rsidR="00AA7950" w:rsidRDefault="00AA7950" w:rsidP="00AA7950">
      <w:pPr>
        <w:pStyle w:val="B1"/>
      </w:pPr>
      <w:r>
        <w:t>-</w:t>
      </w:r>
      <w:r>
        <w:tab/>
        <w:t>a Bind to QoS Flow associated with the default QoS rule and apply PCC rule parameters Indication.</w:t>
      </w:r>
    </w:p>
    <w:p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AA7950" w:rsidRDefault="00AA7950" w:rsidP="00AA7950">
      <w:r>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w:t>
      </w:r>
      <w:r>
        <w:lastRenderedPageBreak/>
        <w:t>are bound to the same QoS Flow, the SMF should not re-evaluate the binding of these PCC rules and instead, modify the QoS parameter value(s) of the QoS Flow accordingly.</w:t>
      </w:r>
    </w:p>
    <w:p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AA7950" w:rsidRDefault="00AA7950" w:rsidP="00AA7950">
      <w:r>
        <w:t>When the PCF removes a PCC Rule, the SMF shall remove the association of the PCC Rule to the QoS Flow. If the last PCC rule that is bound to a QoS Flow is removed, the SMF shall delete the QoS Flow.</w:t>
      </w:r>
    </w:p>
    <w:p w:rsidR="00AA7950" w:rsidRDefault="00AA7950" w:rsidP="00AA7950">
      <w:r>
        <w:t>When a QoS Flow is removed, the SMF shall remove the PCC rules bound to this QoS Flow and report to the PCF that the PCC Rules bound to a QoS Flow are removed.</w:t>
      </w:r>
    </w:p>
    <w:p w:rsidR="00AA7950" w:rsidRDefault="00AA7950" w:rsidP="00AA7950">
      <w:r>
        <w:t>The QoS Flow binding shall also ensure that:</w:t>
      </w:r>
    </w:p>
    <w:p w:rsidR="00AA7950" w:rsidRDefault="00AA7950" w:rsidP="00AA7950">
      <w:pPr>
        <w:pStyle w:val="B1"/>
      </w:pPr>
      <w:r>
        <w:t>-</w:t>
      </w:r>
      <w:r>
        <w:tab/>
        <w:t>if a PCC rule contains the TSN AF QoS container, the PCC rule is bound to a new QoS Flow and no other PCC rule is bound to this QoS Flow.</w:t>
      </w:r>
    </w:p>
    <w:p w:rsidR="008239B7" w:rsidRPr="00BE1248" w:rsidRDefault="008239B7" w:rsidP="008239B7">
      <w:pPr>
        <w:ind w:left="568" w:hanging="284"/>
        <w:rPr>
          <w:ins w:id="8" w:author="Huawei" w:date="2020-04-07T17:08:00Z"/>
          <w:lang w:val="x-none"/>
        </w:rPr>
      </w:pPr>
      <w:ins w:id="9" w:author="Huawei" w:date="2020-04-07T17:08: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s but different PDU Session anchors (i.e. the corresponding service data flows which have different CN PDBs) are not bound to the same QoS Flow.</w:t>
        </w:r>
      </w:ins>
    </w:p>
    <w:p w:rsidR="008239B7" w:rsidRPr="008239B7" w:rsidRDefault="008239B7" w:rsidP="008239B7">
      <w:pPr>
        <w:pStyle w:val="B1"/>
        <w:ind w:left="1136" w:hanging="852"/>
        <w:rPr>
          <w:ins w:id="10" w:author="Huawei" w:date="2020-04-07T15:13:00Z"/>
        </w:rPr>
      </w:pPr>
      <w:ins w:id="11" w:author="Huawei" w:date="2020-04-07T17:08: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 xml:space="preserve">contains </w:t>
        </w:r>
      </w:ins>
      <w:ins w:id="12" w:author="Nokia1" w:date="2020-04-22T16:44:00Z">
        <w:r w:rsidR="00660B8C" w:rsidRPr="003D7F24">
          <w:rPr>
            <w:rFonts w:hint="eastAsia"/>
            <w:highlight w:val="yellow"/>
            <w:lang w:eastAsia="zh-CN"/>
          </w:rPr>
          <w:t>multiple</w:t>
        </w:r>
      </w:ins>
      <w:ins w:id="13" w:author="Nokia1" w:date="2020-04-22T16:45:00Z">
        <w:r w:rsidR="003D7F24" w:rsidRPr="003D7F24">
          <w:rPr>
            <w:highlight w:val="yellow"/>
            <w:lang w:eastAsia="zh-CN"/>
          </w:rPr>
          <w:t xml:space="preserve"> </w:t>
        </w:r>
      </w:ins>
      <w:ins w:id="14" w:author="Huawei" w:date="2020-04-07T17:08:00Z">
        <w:del w:id="15" w:author="Nokia1" w:date="2020-04-22T16:45:00Z">
          <w:r w:rsidRPr="003D7F24" w:rsidDel="00660B8C">
            <w:rPr>
              <w:highlight w:val="yellow"/>
            </w:rPr>
            <w:delText>different</w:delText>
          </w:r>
          <w:r w:rsidRPr="003D7F24" w:rsidDel="003D7F24">
            <w:rPr>
              <w:highlight w:val="yellow"/>
              <w:lang w:val="x-none"/>
            </w:rPr>
            <w:delText xml:space="preserve"> </w:delText>
          </w:r>
        </w:del>
      </w:ins>
      <w:ins w:id="16" w:author="Huawei2" w:date="2020-04-09T16:41:00Z">
        <w:del w:id="17" w:author="Nokia1" w:date="2020-04-22T16:45:00Z">
          <w:r w:rsidR="009A24B6" w:rsidRPr="003D7F24" w:rsidDel="003D7F24">
            <w:rPr>
              <w:highlight w:val="yellow"/>
            </w:rPr>
            <w:delText>list of</w:delText>
          </w:r>
          <w:r w:rsidR="009A24B6" w:rsidDel="003D7F24">
            <w:delText xml:space="preserve"> </w:delText>
          </w:r>
        </w:del>
      </w:ins>
      <w:ins w:id="18" w:author="Huawei" w:date="2020-04-07T17:08:00Z">
        <w:r>
          <w:t>DNAIs.</w:t>
        </w:r>
      </w:ins>
    </w:p>
    <w:p w:rsidR="00AA7950" w:rsidRDefault="00AA7950" w:rsidP="00AA7950">
      <w:r>
        <w:t>For MA PDU Session, the QoS Flow binding shall also ensure that:</w:t>
      </w:r>
    </w:p>
    <w:p w:rsidR="00AA7950" w:rsidRDefault="00AA7950" w:rsidP="00F141BE">
      <w:pPr>
        <w:ind w:left="568" w:hanging="284"/>
      </w:pPr>
      <w:r>
        <w:t>-</w:t>
      </w:r>
      <w:r>
        <w:tab/>
        <w:t>PCC rules for GBR or delay critical GBR service data flows allowed on different access are not bound to the same QoS Flow even if the PCC rules contain the same binding parameters.</w:t>
      </w:r>
    </w:p>
    <w:p w:rsidR="00F141BE" w:rsidRPr="00F141BE" w:rsidRDefault="00AA7950" w:rsidP="00F141BE">
      <w:pPr>
        <w:ind w:left="568" w:hanging="284"/>
        <w:rPr>
          <w:lang w:val="x-none"/>
        </w:rPr>
      </w:pPr>
      <w:r>
        <w:t>NOTE 4:</w:t>
      </w:r>
      <w:r>
        <w:tab/>
        <w:t>For MA PDU Session, the GBR or delay critical GBR resource for a service data flow is allocated only in one access (as described in TS 23.501 [2] clause 5.32.4).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A8A" w:rsidRDefault="00751A8A">
      <w:r>
        <w:separator/>
      </w:r>
    </w:p>
  </w:endnote>
  <w:endnote w:type="continuationSeparator" w:id="0">
    <w:p w:rsidR="00751A8A" w:rsidRDefault="0075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24" w:rsidRDefault="003D7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24" w:rsidRDefault="003D7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24" w:rsidRDefault="003D7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A8A" w:rsidRDefault="00751A8A">
      <w:r>
        <w:separator/>
      </w:r>
    </w:p>
  </w:footnote>
  <w:footnote w:type="continuationSeparator" w:id="0">
    <w:p w:rsidR="00751A8A" w:rsidRDefault="0075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24" w:rsidRDefault="003D7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24" w:rsidRDefault="003D7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41"/>
    <w:rsid w:val="0005071C"/>
    <w:rsid w:val="00062070"/>
    <w:rsid w:val="00063615"/>
    <w:rsid w:val="00076524"/>
    <w:rsid w:val="00086F9A"/>
    <w:rsid w:val="0009173B"/>
    <w:rsid w:val="000A6394"/>
    <w:rsid w:val="000B7FED"/>
    <w:rsid w:val="000C038A"/>
    <w:rsid w:val="000C6598"/>
    <w:rsid w:val="000D2B62"/>
    <w:rsid w:val="000E268E"/>
    <w:rsid w:val="000E31D5"/>
    <w:rsid w:val="00145D43"/>
    <w:rsid w:val="001804E7"/>
    <w:rsid w:val="00192C46"/>
    <w:rsid w:val="001A08B3"/>
    <w:rsid w:val="001A7B60"/>
    <w:rsid w:val="001B52F0"/>
    <w:rsid w:val="001B7A65"/>
    <w:rsid w:val="001E005B"/>
    <w:rsid w:val="001E41F3"/>
    <w:rsid w:val="0022753D"/>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D7F24"/>
    <w:rsid w:val="003E1A36"/>
    <w:rsid w:val="003E60EC"/>
    <w:rsid w:val="003E7D28"/>
    <w:rsid w:val="00410371"/>
    <w:rsid w:val="004242F1"/>
    <w:rsid w:val="00452FDC"/>
    <w:rsid w:val="004633E4"/>
    <w:rsid w:val="0048004A"/>
    <w:rsid w:val="004B75B7"/>
    <w:rsid w:val="00514818"/>
    <w:rsid w:val="0051580D"/>
    <w:rsid w:val="00524056"/>
    <w:rsid w:val="00533D9F"/>
    <w:rsid w:val="00547111"/>
    <w:rsid w:val="00592D74"/>
    <w:rsid w:val="005E2C44"/>
    <w:rsid w:val="005E65C0"/>
    <w:rsid w:val="00621188"/>
    <w:rsid w:val="006257ED"/>
    <w:rsid w:val="00625CC6"/>
    <w:rsid w:val="00647D7D"/>
    <w:rsid w:val="00660B8C"/>
    <w:rsid w:val="00677A1C"/>
    <w:rsid w:val="00695808"/>
    <w:rsid w:val="006B46FB"/>
    <w:rsid w:val="006C7ED0"/>
    <w:rsid w:val="006D18D3"/>
    <w:rsid w:val="006E21FB"/>
    <w:rsid w:val="0070388D"/>
    <w:rsid w:val="00745433"/>
    <w:rsid w:val="00751A8A"/>
    <w:rsid w:val="00775ACB"/>
    <w:rsid w:val="00792342"/>
    <w:rsid w:val="00793EC4"/>
    <w:rsid w:val="007977A8"/>
    <w:rsid w:val="007A622D"/>
    <w:rsid w:val="007B512A"/>
    <w:rsid w:val="007B6BEB"/>
    <w:rsid w:val="007C2097"/>
    <w:rsid w:val="007D5352"/>
    <w:rsid w:val="007D6A07"/>
    <w:rsid w:val="007F2012"/>
    <w:rsid w:val="007F7259"/>
    <w:rsid w:val="008040A8"/>
    <w:rsid w:val="008239B7"/>
    <w:rsid w:val="008279FA"/>
    <w:rsid w:val="008626E7"/>
    <w:rsid w:val="00870EE7"/>
    <w:rsid w:val="008824F6"/>
    <w:rsid w:val="008863B9"/>
    <w:rsid w:val="008A45A6"/>
    <w:rsid w:val="008C637E"/>
    <w:rsid w:val="008F4AFD"/>
    <w:rsid w:val="008F686C"/>
    <w:rsid w:val="00901CAF"/>
    <w:rsid w:val="00906141"/>
    <w:rsid w:val="009148DE"/>
    <w:rsid w:val="00922BFA"/>
    <w:rsid w:val="00941E30"/>
    <w:rsid w:val="009733BE"/>
    <w:rsid w:val="009777D9"/>
    <w:rsid w:val="00991B88"/>
    <w:rsid w:val="009A24B6"/>
    <w:rsid w:val="009A5753"/>
    <w:rsid w:val="009A579D"/>
    <w:rsid w:val="009B0FFA"/>
    <w:rsid w:val="009B7E39"/>
    <w:rsid w:val="009E3297"/>
    <w:rsid w:val="009F734F"/>
    <w:rsid w:val="00A246B6"/>
    <w:rsid w:val="00A25CC3"/>
    <w:rsid w:val="00A263D1"/>
    <w:rsid w:val="00A47E70"/>
    <w:rsid w:val="00A50CF0"/>
    <w:rsid w:val="00A542FF"/>
    <w:rsid w:val="00A71EA9"/>
    <w:rsid w:val="00A7671C"/>
    <w:rsid w:val="00AA2CBC"/>
    <w:rsid w:val="00AA7950"/>
    <w:rsid w:val="00AC5820"/>
    <w:rsid w:val="00AC6A63"/>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5C7B"/>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141BE"/>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DFDA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65FF3-63D7-401A-9146-A6D7262D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1497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2020-04-22T08:47:00Z</dcterms:created>
  <dcterms:modified xsi:type="dcterms:W3CDTF">2020-04-22T08:47:00Z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y fmtid="{D5CDD505-2E9C-101B-9397-08002B2CF9AE}" pid="25" name="_2015_ms_pID_725343">
    <vt:lpwstr>(2)ULp2+Lc64Lh3L8TGsB0oaC63Ut6CngU5xLe/Kn+l7+tRLvAj2KIFnae0xRFhHYdEUYZVXcFE
u+WOaOulZk5nwWF8E/yYZM3NvyyWGuCPuD+IwQ/d/eziAC3N36FRDHxm+2LeCLLPRP1gHFjp
GPsMyPknLszzdJKBIkyNCYTlV3098CsDXHtUaShCx5gIvGCwdWNqg/9/HxevnNYkFvhpgrVi
aUD0QwEHpRpAma55BZ</vt:lpwstr>
  </property>
  <property fmtid="{D5CDD505-2E9C-101B-9397-08002B2CF9AE}" pid="26" name="_2015_ms_pID_7253431">
    <vt:lpwstr>ZD8TT6ETM6QMJJIU1+G5yu4wJInrr/oy23uFcN4jeLcn/r9kA9I4ro
ZJZvm5B79AhPlBy0RMwGGgosXcFgGbQI/PvFp8D9nqu6H2JYDW351xAaLHkJUrLUEaZl8/RF
NjOatOCeOM/9qfb/ulCZUD1XKnSiyCQxef21IKU0Bvp/fqVGU5MaEKrnZQ7k5bWL2Ao=</vt:lpwstr>
  </property>
</Properties>
</file>