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#126</w:t>
      </w:r>
      <w:r>
        <w:rPr>
          <w:rFonts w:ascii="Arial" w:hAnsi="Arial" w:cs="Arial"/>
          <w:b/>
          <w:bCs/>
          <w:sz w:val="24"/>
        </w:rPr>
        <w:tab/>
        <w:t>S2-182049</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26 Feb - 2 March, 2018, Montreal, Canada</w:t>
      </w:r>
      <w:r>
        <w:rPr>
          <w:rFonts w:ascii="Arial" w:hAnsi="Arial" w:cs="Arial"/>
          <w:b/>
          <w:bCs/>
          <w:sz w:val="24"/>
          <w:szCs w:val="24"/>
        </w:rPr>
        <w:tab/>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Solution for KI#1 and KI#8: Reliable Small Data Delivery via NEF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solution for Reliable Small Data Delivery via NEF for KI#1 on support for infrequent small data transmission and KI#8 on support of the Reliable Data Service.</w:t>
      </w:r>
    </w:p>
    <w:p>
      <w:pPr>
        <w:pStyle w:val="Heading1"/>
      </w:pPr>
      <w:r>
        <w:t>1</w:t>
      </w:r>
      <w:r>
        <w:tab/>
        <w:t>Introduction</w:t>
      </w:r>
    </w:p>
    <w:p>
      <w:pPr>
        <w:rPr>
          <w:lang w:val="en-GB"/>
        </w:rPr>
      </w:pPr>
      <w:r>
        <w:rPr>
          <w:lang w:val="en-GB"/>
        </w:rPr>
        <w:t xml:space="preserve">At SA2#125 new Key Issue 1 - "Support for infrequent small data transmission" and Key Issue 8 - "Support of the Reliable Data Service" were added to the TR 23.724. This paper provides a solution to both key issues. </w:t>
      </w:r>
    </w:p>
    <w:p>
      <w:pPr>
        <w:pStyle w:val="Heading1"/>
      </w:pPr>
      <w:r>
        <w:t>2</w:t>
      </w:r>
      <w:r>
        <w:tab/>
        <w:t>Proposal</w:t>
      </w:r>
    </w:p>
    <w:p>
      <w:pPr>
        <w:rPr>
          <w:lang w:val="en-GB"/>
        </w:rPr>
      </w:pPr>
      <w:r>
        <w:rPr>
          <w:lang w:val="en-GB"/>
        </w:rPr>
        <w:t xml:space="preserve">It is proposed to add following solution to the TR 23.724. All changes are new.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4" w:name="_Toc50525726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4"/>
      <w:r>
        <w:t>Reliable Data Service Support</w:t>
      </w:r>
    </w:p>
    <w:p>
      <w:pPr>
        <w:pStyle w:val="Heading3"/>
      </w:pPr>
      <w:bookmarkStart w:id="5" w:name="_Toc505257262"/>
      <w:r>
        <w:t>6.</w:t>
      </w:r>
      <w:r>
        <w:rPr>
          <w:rFonts w:hint="eastAsia"/>
        </w:rPr>
        <w:t>X</w:t>
      </w:r>
      <w:r>
        <w:t>.</w:t>
      </w:r>
      <w:r>
        <w:rPr>
          <w:rFonts w:hint="eastAsia"/>
        </w:rPr>
        <w:t>1</w:t>
      </w:r>
      <w:r>
        <w:rPr>
          <w:rFonts w:hint="eastAsia"/>
        </w:rPr>
        <w:tab/>
      </w:r>
      <w:r>
        <w:t>Introduction</w:t>
      </w:r>
      <w:bookmarkEnd w:id="5"/>
    </w:p>
    <w:p>
      <w:pPr>
        <w:pStyle w:val="BodyText"/>
      </w:pPr>
      <w:r>
        <w:t>This solution addresses the Key Issue 1 - "Support for infrequent small data transmission" and Key Issue 8 - "Support of the Reliable Data Service"</w:t>
      </w:r>
    </w:p>
    <w:p>
      <w:pPr>
        <w:pStyle w:val="Heading3"/>
      </w:pPr>
      <w:bookmarkStart w:id="6" w:name="_Toc505257263"/>
      <w:r>
        <w:t>6.</w:t>
      </w:r>
      <w:r>
        <w:rPr>
          <w:rFonts w:hint="eastAsia"/>
        </w:rPr>
        <w:t>X</w:t>
      </w:r>
      <w:r>
        <w:t>.2</w:t>
      </w:r>
      <w:r>
        <w:rPr>
          <w:rFonts w:hint="eastAsia"/>
        </w:rPr>
        <w:tab/>
      </w:r>
      <w:r>
        <w:t xml:space="preserve">Functional </w:t>
      </w:r>
      <w:r>
        <w:rPr>
          <w:rFonts w:hint="eastAsia"/>
        </w:rPr>
        <w:t>Description</w:t>
      </w:r>
      <w:bookmarkEnd w:id="6"/>
    </w:p>
    <w:p>
      <w:pPr>
        <w:pStyle w:val="Heading4"/>
      </w:pPr>
      <w:bookmarkStart w:id="7" w:name="_Toc501370263"/>
      <w:r>
        <w:t>6.x.2.1</w:t>
      </w:r>
      <w:r>
        <w:tab/>
        <w:t xml:space="preserve">Support of </w:t>
      </w:r>
      <w:bookmarkEnd w:id="7"/>
      <w:r>
        <w:t>Reliable Data Service</w:t>
      </w:r>
    </w:p>
    <w:p>
      <w:r>
        <w:t xml:space="preserve">The Reliable Data Service </w:t>
      </w:r>
      <w:r>
        <w:t>is</w:t>
      </w:r>
      <w:r>
        <w:t xml:space="preserve"> used by the UE and </w:t>
      </w:r>
      <w:r>
        <w:t>NEF</w:t>
      </w:r>
      <w:r>
        <w:t xml:space="preserve"> </w:t>
      </w:r>
      <w:r>
        <w:t>for reliable small data delivery of unstructured PDU</w:t>
      </w:r>
      <w:bookmarkStart w:id="8" w:name="_GoBack"/>
      <w:bookmarkEnd w:id="8"/>
      <w:r>
        <w:t xml:space="preserve">. The service provides a mechanism for the </w:t>
      </w:r>
      <w:r>
        <w:t>NEF</w:t>
      </w:r>
      <w:r>
        <w:t xml:space="preserve"> to determine if the data was successfully delivered to the UE and for UE to determine if the data was successfully delivered to the </w:t>
      </w:r>
      <w:r>
        <w:t>NEF</w:t>
      </w:r>
      <w:r>
        <w:t xml:space="preserve">. When a requested acknowledgement is not received, the Reliable Data Service retransmits the packet. </w:t>
      </w:r>
      <w:r>
        <w:t>Support for Reliable Data Service (RDS) incurs the following functionality:</w:t>
      </w:r>
    </w:p>
    <w:p>
      <w:pPr>
        <w:pStyle w:val="B1"/>
        <w:rPr>
          <w:lang w:val="en-GB"/>
        </w:rPr>
      </w:pPr>
      <w:r>
        <w:rPr>
          <w:lang w:val="en-GB"/>
        </w:rPr>
        <w:t>-</w:t>
      </w:r>
      <w:r>
        <w:rPr>
          <w:lang w:val="en-GB"/>
        </w:rPr>
        <w:tab/>
        <w:t>Use of NAS transport between UE and AMF for small data delivery. This applies to both 3GPP and non-3GPP accesses.</w:t>
      </w:r>
    </w:p>
    <w:p>
      <w:pPr>
        <w:pStyle w:val="B1"/>
        <w:rPr>
          <w:lang w:val="en-GB"/>
        </w:rPr>
      </w:pPr>
      <w:r>
        <w:rPr>
          <w:lang w:val="en-GB"/>
        </w:rPr>
        <w:t>-</w:t>
      </w:r>
      <w:r>
        <w:rPr>
          <w:lang w:val="en-GB"/>
        </w:rPr>
        <w:tab/>
        <w:t>Support for AMF determining the NEF for a given UE.</w:t>
      </w:r>
    </w:p>
    <w:p>
      <w:pPr>
        <w:pStyle w:val="B1"/>
        <w:rPr>
          <w:lang w:val="en-GB"/>
        </w:rPr>
      </w:pPr>
      <w:r>
        <w:rPr>
          <w:lang w:val="en-GB"/>
        </w:rPr>
        <w:t>-</w:t>
      </w:r>
      <w:r>
        <w:rPr>
          <w:lang w:val="en-GB"/>
        </w:rPr>
        <w:tab/>
        <w:t>Support for subscription checking and actual transmission of MO/MT small data delivery by the NEF to the AF/UE.</w:t>
      </w:r>
    </w:p>
    <w:p>
      <w:pPr>
        <w:pStyle w:val="B1"/>
        <w:rPr>
          <w:lang w:val="en-GB"/>
        </w:rPr>
      </w:pPr>
      <w:r>
        <w:rPr>
          <w:lang w:val="en-GB"/>
        </w:rPr>
        <w:t>-</w:t>
      </w:r>
      <w:r>
        <w:rPr>
          <w:lang w:val="en-GB"/>
        </w:rPr>
        <w:tab/>
        <w:t>Support for MO/MT small data delivery for both roaming and non-roaming scenarios.</w:t>
      </w:r>
    </w:p>
    <w:p>
      <w:pPr>
        <w:pStyle w:val="B1"/>
        <w:rPr>
          <w:lang w:val="en-GB"/>
        </w:rPr>
      </w:pPr>
      <w:r>
        <w:rPr>
          <w:lang w:val="en-GB"/>
        </w:rPr>
        <w:lastRenderedPageBreak/>
        <w:t>-</w:t>
      </w:r>
      <w:r>
        <w:rPr>
          <w:lang w:val="en-GB"/>
        </w:rPr>
        <w:tab/>
        <w:t xml:space="preserve">Support for unstructured PDU. </w:t>
      </w:r>
    </w:p>
    <w:p>
      <w:pPr>
        <w:pStyle w:val="B1"/>
        <w:rPr>
          <w:lang w:val="en-GB"/>
        </w:rPr>
      </w:pPr>
      <w:r>
        <w:rPr>
          <w:lang w:val="en-GB"/>
        </w:rPr>
        <w:t xml:space="preserve">- </w:t>
      </w:r>
      <w:r>
        <w:rPr>
          <w:lang w:val="en-GB"/>
        </w:rPr>
        <w:tab/>
        <w:t>Support for API exposure for Reliable Data Service towards 3</w:t>
      </w:r>
      <w:r>
        <w:rPr>
          <w:vertAlign w:val="superscript"/>
          <w:lang w:val="en-GB"/>
        </w:rPr>
        <w:t>rd</w:t>
      </w:r>
      <w:r>
        <w:rPr>
          <w:lang w:val="en-GB"/>
        </w:rPr>
        <w:t xml:space="preserve"> party application provider. </w:t>
      </w:r>
    </w:p>
    <w:p>
      <w:r>
        <w:t>During registration procedure, a UE that wants to use RDS provides “RDS supported" indication over NAS signalling indicating the UE's capability for support of RDS. "RDS supported" indication indicates whether UE can support reliable small data delivery over NAS via 3GPP access or via both 3GPP and non-3GPP access. If the core network supports RDS functionality, the AMF includes "RDS supported" indication to the UE, and whether RDS delivery over NAS via 3GPP access or via both the 3GPP and non-3GPP access is accepted by the network.</w:t>
      </w:r>
    </w:p>
    <w:p>
      <w:r>
        <w:t xml:space="preserve">RDS packets are transmitted over NAS without the need to establish data radio bearers, via NAS transport message, which can carry RDS payload. UE and Network supports RDS protocol as specified in TS 24.250 [xx]. </w:t>
      </w:r>
    </w:p>
    <w:p>
      <w:pPr>
        <w:pStyle w:val="Heading4"/>
      </w:pPr>
      <w:bookmarkStart w:id="9" w:name="_Toc501716315"/>
      <w:r>
        <w:t>6.x.2.2</w:t>
      </w:r>
      <w:r>
        <w:tab/>
        <w:t xml:space="preserve">Architecture to support </w:t>
      </w:r>
      <w:bookmarkEnd w:id="9"/>
      <w:r>
        <w:t>RDS over 5GC</w:t>
      </w:r>
    </w:p>
    <w:p>
      <w:r>
        <w:t>Figure 6.x.2.2-1 shows the non-roaming architecture to support RDS using the Service-based interfaces within the Control Plane.</w:t>
      </w:r>
    </w:p>
    <w:p>
      <w:pPr>
        <w:pStyle w:val="TH"/>
      </w:pPr>
      <w:r>
        <w:object w:dxaOrig="5580"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21.55pt" o:ole="">
            <v:imagedata r:id="rId7" o:title=""/>
          </v:shape>
          <o:OLEObject Type="Embed" ProgID="Visio.Drawing.11" ShapeID="_x0000_i1025" DrawAspect="Content" ObjectID="_1580584035" r:id="rId8"/>
        </w:object>
      </w:r>
    </w:p>
    <w:p>
      <w:pPr>
        <w:pStyle w:val="TF"/>
      </w:pPr>
      <w:r>
        <w:t>Figure 6.x.2.2-1: Non-roaming System Architecture for RDS</w:t>
      </w:r>
    </w:p>
    <w:p>
      <w:r>
        <w:t>Figure 6.x.2.2-2 shows the non-roaming architecture to support RDS using the reference point representation.</w:t>
      </w:r>
    </w:p>
    <w:p>
      <w:pPr>
        <w:pStyle w:val="TH"/>
        <w:rPr>
          <w:lang w:val="en-GB"/>
        </w:rPr>
      </w:pPr>
      <w:r>
        <w:object w:dxaOrig="5955" w:dyaOrig="2970">
          <v:shape id="_x0000_i1026" type="#_x0000_t75" style="width:222.9pt;height:111.15pt" o:ole="">
            <v:imagedata r:id="rId9" o:title=""/>
          </v:shape>
          <o:OLEObject Type="Embed" ProgID="Visio.Drawing.11" ShapeID="_x0000_i1026" DrawAspect="Content" ObjectID="_1580584036" r:id="rId10"/>
        </w:object>
      </w:r>
    </w:p>
    <w:p>
      <w:pPr>
        <w:pStyle w:val="TF"/>
        <w:rPr>
          <w:lang w:val="en-GB"/>
        </w:rPr>
      </w:pPr>
      <w:r>
        <w:rPr>
          <w:lang w:val="en-GB"/>
        </w:rPr>
        <w:t>Figure 6.x.2.2-2: Non-roaming System Architecture for RDS</w:t>
      </w:r>
      <w:r>
        <w:t xml:space="preserve"> in reference point representation</w:t>
      </w:r>
    </w:p>
    <w:p>
      <w:r>
        <w:t>Figure 6.x.2.2-3 shows the roaming architecture to support RDS using the Service-based interfaces within the Control Plane.</w:t>
      </w:r>
    </w:p>
    <w:p>
      <w:pPr>
        <w:pStyle w:val="TH"/>
      </w:pPr>
      <w:r>
        <w:object w:dxaOrig="5580" w:dyaOrig="3255">
          <v:shape id="_x0000_i1027" type="#_x0000_t75" style="width:208.5pt;height:121.55pt" o:ole="">
            <v:imagedata r:id="rId11" o:title=""/>
          </v:shape>
          <o:OLEObject Type="Embed" ProgID="Visio.Drawing.11" ShapeID="_x0000_i1027" DrawAspect="Content" ObjectID="_1580584037" r:id="rId12"/>
        </w:object>
      </w:r>
    </w:p>
    <w:p>
      <w:pPr>
        <w:pStyle w:val="TF"/>
      </w:pPr>
      <w:r>
        <w:t>Figure 6.x.2.2-3: Roaming architecture for RDS over NAS</w:t>
      </w:r>
    </w:p>
    <w:p>
      <w:r>
        <w:t>Figure 6.x.2.2-4 shows the roaming architecture to support RDS using the reference point representation.</w:t>
      </w:r>
    </w:p>
    <w:p>
      <w:pPr>
        <w:pStyle w:val="TH"/>
        <w:rPr>
          <w:lang w:val="en-GB"/>
        </w:rPr>
      </w:pPr>
      <w:r>
        <w:object w:dxaOrig="6346" w:dyaOrig="3496">
          <v:shape id="_x0000_i1028" type="#_x0000_t75" style="width:317.4pt;height:174.55pt" o:ole="">
            <v:imagedata r:id="rId13" o:title=""/>
          </v:shape>
          <o:OLEObject Type="Embed" ProgID="Visio.Drawing.15" ShapeID="_x0000_i1028" DrawAspect="Content" ObjectID="_1580584038" r:id="rId14"/>
        </w:object>
      </w:r>
    </w:p>
    <w:p>
      <w:pPr>
        <w:pStyle w:val="TF"/>
        <w:rPr>
          <w:lang w:val="en-GB"/>
        </w:rPr>
      </w:pPr>
      <w:r>
        <w:rPr>
          <w:lang w:val="en-GB"/>
        </w:rPr>
        <w:t>Figure 6.x.2.2-4: Roaming architecture for RDS</w:t>
      </w:r>
      <w:r>
        <w:t xml:space="preserve"> in reference point representation</w:t>
      </w:r>
    </w:p>
    <w:p/>
    <w:p>
      <w:pPr>
        <w:pStyle w:val="Heading3"/>
      </w:pPr>
      <w:bookmarkStart w:id="10" w:name="_Toc505257264"/>
      <w:r>
        <w:t>6.</w:t>
      </w:r>
      <w:r>
        <w:rPr>
          <w:rFonts w:hint="eastAsia"/>
        </w:rPr>
        <w:t>X</w:t>
      </w:r>
      <w:r>
        <w:t>.3</w:t>
      </w:r>
      <w:r>
        <w:rPr>
          <w:rFonts w:hint="eastAsia"/>
        </w:rPr>
        <w:tab/>
      </w:r>
      <w:bookmarkStart w:id="11" w:name="_Hlk500857577"/>
      <w:r>
        <w:t>Support of EPC interworking</w:t>
      </w:r>
      <w:bookmarkEnd w:id="10"/>
      <w:bookmarkEnd w:id="11"/>
    </w:p>
    <w:p>
      <w:pPr>
        <w:pStyle w:val="EditorsNote"/>
      </w:pPr>
    </w:p>
    <w:p>
      <w:pPr>
        <w:pStyle w:val="Heading3"/>
      </w:pPr>
      <w:bookmarkStart w:id="12" w:name="_Toc505257265"/>
      <w:r>
        <w:lastRenderedPageBreak/>
        <w:t>6.X.4</w:t>
      </w:r>
      <w:r>
        <w:tab/>
        <w:t>Procedures</w:t>
      </w:r>
      <w:bookmarkEnd w:id="12"/>
    </w:p>
    <w:p>
      <w:pPr>
        <w:pStyle w:val="Heading4"/>
        <w:rPr>
          <w:lang w:eastAsia="ko-KR"/>
        </w:rPr>
      </w:pPr>
      <w:r>
        <w:t>6.X.4.1</w:t>
      </w:r>
      <w:r>
        <w:tab/>
      </w:r>
      <w:r>
        <w:rPr>
          <w:lang w:eastAsia="ko-KR"/>
        </w:rPr>
        <w:t>Registration procedure supporting reliable small data delivery over NAS</w:t>
      </w:r>
    </w:p>
    <w:p>
      <w:pPr>
        <w:jc w:val="center"/>
      </w:pPr>
      <w:r>
        <w:object w:dxaOrig="10591" w:dyaOrig="10951">
          <v:shape id="_x0000_i1029" type="#_x0000_t75" style="width:396.85pt;height:409.55pt" o:ole="">
            <v:imagedata r:id="rId15" o:title=""/>
          </v:shape>
          <o:OLEObject Type="Embed" ProgID="Visio.Drawing.15" ShapeID="_x0000_i1029" DrawAspect="Content" ObjectID="_1580584039" r:id="rId16"/>
        </w:object>
      </w:r>
    </w:p>
    <w:p>
      <w:pPr>
        <w:pStyle w:val="TF"/>
      </w:pPr>
      <w:r>
        <w:t>Figure 6.x.4.1-1: Registration procedure supporting reliable small data delivery over NAS</w:t>
      </w:r>
    </w:p>
    <w:p>
      <w:pPr>
        <w:pStyle w:val="B1"/>
      </w:pPr>
      <w:r>
        <w:rPr>
          <w:lang w:eastAsia="zh-CN"/>
        </w:rPr>
        <w:t>1.</w:t>
      </w:r>
      <w:r>
        <w:rPr>
          <w:lang w:eastAsia="zh-CN"/>
        </w:rPr>
        <w:tab/>
        <w:t>During Registration procedure in 5GS defined in Figure</w:t>
      </w:r>
      <w:r>
        <w:t> </w:t>
      </w:r>
      <w:r>
        <w:rPr>
          <w:lang w:eastAsia="zh-CN"/>
        </w:rPr>
        <w:t xml:space="preserve">4.2.2.2.2-1 of TS 23.502,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w:t>
      </w:r>
      <w:r>
        <w:t>are performed</w:t>
      </w:r>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 yes and the UE context doesn't include an available NEF of the serving PLMN, the AMF discovers and selects an NEF to serve the UE. The NEF discovery is based on the following methods:</w:t>
      </w:r>
    </w:p>
    <w:p>
      <w:pPr>
        <w:pStyle w:val="B2"/>
      </w:pPr>
      <w:r>
        <w:t>-</w:t>
      </w:r>
      <w:r>
        <w:tab/>
        <w:t>NEF address preconfigured in the AMF (i.e., NEF FQDN); or</w:t>
      </w:r>
    </w:p>
    <w:p>
      <w:pPr>
        <w:pStyle w:val="B2"/>
      </w:pPr>
      <w:r>
        <w:t>-</w:t>
      </w:r>
      <w:r>
        <w:tab/>
        <w:t>NEF address received from the UDM; or</w:t>
      </w:r>
    </w:p>
    <w:p>
      <w:pPr>
        <w:pStyle w:val="B2"/>
      </w:pPr>
      <w:r>
        <w:t>-</w:t>
      </w:r>
      <w:r>
        <w:tab/>
        <w:t>The AMF invokes Nnrf_NFDiscovery service operation from NRF to discover the NEF address as described in clause 5.2.7.3.2 of TS 23.502.</w:t>
      </w:r>
    </w:p>
    <w:p>
      <w:pPr>
        <w:pStyle w:val="B1"/>
        <w:rPr>
          <w:lang w:eastAsia="zh-CN"/>
        </w:rPr>
      </w:pPr>
      <w:r>
        <w:rPr>
          <w:lang w:eastAsia="zh-CN"/>
        </w:rPr>
        <w:lastRenderedPageBreak/>
        <w:tab/>
        <w:t>For roaming scenario, the AMF discovers and selects an NEF in VPLMN.</w:t>
      </w:r>
    </w:p>
    <w:p>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w:t>
      </w:r>
      <w:r>
        <w:t>are performed</w:t>
      </w:r>
      <w:r>
        <w:rPr>
          <w:lang w:eastAsia="zh-CN"/>
        </w:rPr>
        <w:t>.</w:t>
      </w:r>
    </w:p>
    <w:p>
      <w:pPr>
        <w:pStyle w:val="B1"/>
        <w:rPr>
          <w:lang w:eastAsia="zh-CN"/>
        </w:rPr>
      </w:pPr>
      <w:r>
        <w:rPr>
          <w:lang w:val="en-GB" w:eastAsia="zh-CN"/>
        </w:rPr>
        <w:t>5</w:t>
      </w:r>
      <w:r>
        <w:rPr>
          <w:lang w:eastAsia="zh-CN"/>
        </w:rPr>
        <w:t>.</w:t>
      </w:r>
      <w:r>
        <w:rPr>
          <w:lang w:eastAsia="zh-CN"/>
        </w:rPr>
        <w:tab/>
        <w:t xml:space="preserve">The AMF invokes Nnef_RDS_Activate service operation from the NEF. The invocation includes AMF address, </w:t>
      </w:r>
      <w:r>
        <w:rPr>
          <w:rFonts w:hint="eastAsia"/>
          <w:lang w:eastAsia="zh-CN"/>
        </w:rPr>
        <w:t xml:space="preserve">Access </w:t>
      </w:r>
      <w:r>
        <w:rPr>
          <w:lang w:val="en-GB" w:eastAsia="zh-CN"/>
        </w:rPr>
        <w:t>T</w:t>
      </w:r>
      <w:r>
        <w:rPr>
          <w:rFonts w:hint="eastAsia"/>
          <w:lang w:eastAsia="zh-CN"/>
        </w:rPr>
        <w:t xml:space="preserve">ype, </w:t>
      </w:r>
      <w:r>
        <w:rPr>
          <w:lang w:eastAsia="zh-CN"/>
        </w:rPr>
        <w:t>GPSI (if available) and SUPI. AMF uses the NEF address derived from step 3.</w:t>
      </w:r>
    </w:p>
    <w:p>
      <w:pPr>
        <w:pStyle w:val="B1"/>
      </w:pPr>
      <w:r>
        <w:rPr>
          <w:lang w:val="en-GB"/>
        </w:rPr>
        <w:t>6</w:t>
      </w:r>
      <w:r>
        <w:t>.</w:t>
      </w:r>
      <w:r>
        <w:tab/>
        <w:t>The NEF discovers a UDR as described in TS 23.501 [XX], clause 6.3.9.</w:t>
      </w:r>
    </w:p>
    <w:p>
      <w:pPr>
        <w:pStyle w:val="B1"/>
        <w:rPr>
          <w:lang w:eastAsia="zh-CN"/>
        </w:rPr>
      </w:pPr>
      <w:r>
        <w:rPr>
          <w:lang w:val="en-GB" w:eastAsia="zh-CN"/>
        </w:rPr>
        <w:t>7</w:t>
      </w:r>
      <w:r>
        <w:rPr>
          <w:lang w:eastAsia="zh-CN"/>
        </w:rPr>
        <w:t>a-</w:t>
      </w:r>
      <w:r>
        <w:rPr>
          <w:lang w:val="en-GB" w:eastAsia="zh-CN"/>
        </w:rPr>
        <w:t>7</w:t>
      </w:r>
      <w:r>
        <w:rPr>
          <w:lang w:eastAsia="zh-CN"/>
        </w:rPr>
        <w:t>b.</w:t>
      </w:r>
      <w:r>
        <w:rPr>
          <w:lang w:eastAsia="zh-CN"/>
        </w:rPr>
        <w:tab/>
        <w:t xml:space="preserve">If the UE context already exists in the NEF, the NEF shall replace the old AMF address with the new AMF address. Otherwise </w:t>
      </w:r>
      <w:r>
        <w:t>NEF retrieves RDS related subscription data using Nudm_UDM_Query and subscribes to be notified using Nudr_UDM_Notify when the RDS related subscription data is modified</w:t>
      </w:r>
      <w:r>
        <w:rPr>
          <w:lang w:eastAsia="zh-CN"/>
        </w:rPr>
        <w:t>.</w:t>
      </w:r>
    </w:p>
    <w:p>
      <w:pPr>
        <w:pStyle w:val="B1"/>
        <w:rPr>
          <w:lang w:eastAsia="zh-CN"/>
        </w:rPr>
      </w:pPr>
      <w:r>
        <w:rPr>
          <w:lang w:eastAsia="zh-CN"/>
        </w:rPr>
        <w:tab/>
        <w:t>NEF also creates an UE context to store the RDS subscription information and the AMF address that is serving this UE.</w:t>
      </w:r>
    </w:p>
    <w:p>
      <w:pPr>
        <w:pStyle w:val="B1"/>
        <w:rPr>
          <w:lang w:eastAsia="zh-CN"/>
        </w:rPr>
      </w:pPr>
      <w:r>
        <w:rPr>
          <w:lang w:val="en-GB" w:eastAsia="zh-CN"/>
        </w:rPr>
        <w:t>8</w:t>
      </w:r>
      <w:r>
        <w:rPr>
          <w:lang w:eastAsia="zh-CN"/>
        </w:rPr>
        <w:t>.</w:t>
      </w:r>
      <w:r>
        <w:rPr>
          <w:lang w:eastAsia="zh-CN"/>
        </w:rPr>
        <w:tab/>
        <w:t>The NEF responds back to the AMF with Nsmsf_SMService_Activate service operation response message. The AMF stores the NEF address received as part of the UE context.</w:t>
      </w:r>
    </w:p>
    <w:p>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only after step 8 in which the AMF has received a positive indication from the selected NEF.</w:t>
      </w:r>
    </w:p>
    <w:p>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pPr>
        <w:pStyle w:val="Heading4"/>
        <w:rPr>
          <w:lang w:eastAsia="ko-KR"/>
        </w:rPr>
      </w:pPr>
      <w:r>
        <w:t>6.X.4.2</w:t>
      </w:r>
      <w:r>
        <w:tab/>
        <w:t xml:space="preserve">RDS </w:t>
      </w:r>
      <w:r>
        <w:rPr>
          <w:lang w:eastAsia="ko-KR"/>
        </w:rPr>
        <w:t>Configuration procedure between NEF and AF/AS</w:t>
      </w:r>
    </w:p>
    <w:p>
      <w:r>
        <w:t xml:space="preserve">Figure 5.13.2-1 illustrates the procedure of configuring necessary information at the NEF and UDR. </w:t>
      </w:r>
    </w:p>
    <w:p>
      <w:r>
        <w:t xml:space="preserve">In order to avoid MO reliable small data delivery failure, the RDS configuration procedure should be performed by the AF/AS prior to the UE requesting send MO reliable small data delivery. </w:t>
      </w:r>
    </w:p>
    <w:p>
      <w:pPr>
        <w:jc w:val="center"/>
      </w:pPr>
      <w:r>
        <w:object w:dxaOrig="5726" w:dyaOrig="4031">
          <v:shape id="_x0000_i1030" type="#_x0000_t75" style="width:286.85pt;height:201.6pt" o:ole="">
            <v:imagedata r:id="rId17" o:title=""/>
          </v:shape>
          <o:OLEObject Type="Embed" ProgID="Word.Picture.8" ShapeID="_x0000_i1030" DrawAspect="Content" ObjectID="_1580584040" r:id="rId18"/>
        </w:object>
      </w:r>
    </w:p>
    <w:p>
      <w:pPr>
        <w:jc w:val="center"/>
        <w:rPr>
          <w:rFonts w:ascii="Arial" w:hAnsi="Arial" w:cs="Arial"/>
          <w:b/>
          <w:lang w:val="en-GB" w:eastAsia="ko-KR"/>
        </w:rPr>
      </w:pPr>
      <w:r>
        <w:rPr>
          <w:rFonts w:ascii="Arial" w:hAnsi="Arial" w:cs="Arial"/>
          <w:b/>
        </w:rPr>
        <w:t xml:space="preserve">Figure 6.x.4.2-1: RDS </w:t>
      </w:r>
      <w:r>
        <w:rPr>
          <w:rFonts w:ascii="Arial" w:hAnsi="Arial" w:cs="Arial"/>
          <w:b/>
          <w:lang w:eastAsia="ko-KR"/>
        </w:rPr>
        <w:t>Configuration procedure between NEF and AF/AS</w:t>
      </w:r>
    </w:p>
    <w:p>
      <w:pPr>
        <w:pStyle w:val="B1"/>
      </w:pPr>
      <w:r>
        <w:t>1.</w:t>
      </w:r>
      <w:r>
        <w:tab/>
        <w:t>The AF/AS used Nnref_RDS_Config_Request service operation to establish routing information in UE context at NEF. AF/AS provides external identifier for UE message and reliable data service configuration information (e.g. application port number) to the NEF.</w:t>
      </w:r>
    </w:p>
    <w:p>
      <w:pPr>
        <w:pStyle w:val="B1"/>
      </w:pPr>
      <w:r>
        <w:t>3.</w:t>
      </w:r>
      <w:r>
        <w:tab/>
        <w:t>The NEF used Nudr_UDM-Query_Request service operation to check if RDS configuration request for the received External Identifier is authorized, and to receive necessary information for RDS, if required.</w:t>
      </w:r>
    </w:p>
    <w:p>
      <w:pPr>
        <w:pStyle w:val="B1"/>
      </w:pPr>
      <w:r>
        <w:t xml:space="preserve">4. The UDR examines the Nudr_UDM-Query_Request, e.g. with regard to the existence of External Identifier and maps the external identifier to SUPI. The UDR sends Nudr_UDM_Query_Response (SUPI, Result) to the NEF to acknowledge acceptance of the RDS Authorization. </w:t>
      </w:r>
    </w:p>
    <w:p>
      <w:pPr>
        <w:pStyle w:val="B1"/>
      </w:pPr>
      <w:r>
        <w:lastRenderedPageBreak/>
        <w:t>6.</w:t>
      </w:r>
      <w:r>
        <w:tab/>
        <w:t xml:space="preserve">The NEF usese Nnref_RDS_Config_Response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 </w:t>
      </w:r>
    </w:p>
    <w:p>
      <w:pPr>
        <w:rPr>
          <w:lang w:val="en-GB" w:eastAsia="ko-KR"/>
        </w:rPr>
      </w:pPr>
    </w:p>
    <w:p>
      <w:pPr>
        <w:pStyle w:val="Heading4"/>
        <w:rPr>
          <w:lang w:eastAsia="ko-KR"/>
        </w:rPr>
      </w:pPr>
      <w:r>
        <w:t>6.X.4.3</w:t>
      </w:r>
      <w:r>
        <w:tab/>
      </w:r>
      <w:r>
        <w:rPr>
          <w:lang w:eastAsia="ko-KR"/>
        </w:rPr>
        <w:t>MO reliable small data delivery procedure</w:t>
      </w:r>
    </w:p>
    <w:p>
      <w:pPr>
        <w:pStyle w:val="BodyText"/>
        <w:jc w:val="center"/>
      </w:pPr>
      <w:r>
        <w:object w:dxaOrig="10636" w:dyaOrig="5371">
          <v:shape id="_x0000_i1031" type="#_x0000_t75" style="width:481.55pt;height:243.05pt" o:ole="">
            <v:imagedata r:id="rId19" o:title=""/>
          </v:shape>
          <o:OLEObject Type="Embed" ProgID="Visio.Drawing.15" ShapeID="_x0000_i1031" DrawAspect="Content" ObjectID="_1580584041" r:id="rId20"/>
        </w:object>
      </w:r>
    </w:p>
    <w:p>
      <w:pPr>
        <w:pStyle w:val="BodyText"/>
        <w:jc w:val="center"/>
        <w:rPr>
          <w:rFonts w:ascii="Arial" w:hAnsi="Arial" w:cs="Arial"/>
          <w:b/>
          <w:lang w:eastAsia="ko-KR"/>
        </w:rPr>
      </w:pPr>
      <w:r>
        <w:rPr>
          <w:rFonts w:ascii="Arial" w:hAnsi="Arial" w:cs="Arial"/>
          <w:b/>
          <w:lang w:eastAsia="ko-KR"/>
        </w:rPr>
        <w:t>Figure 6.X.4.3-1. MO reliable small data delivery procedure</w:t>
      </w:r>
    </w:p>
    <w:p>
      <w:pPr>
        <w:pStyle w:val="B1"/>
      </w:pPr>
      <w:bookmarkStart w:id="13" w:name="_Toc505257266"/>
      <w:r>
        <w:t>It is assumed that the UE is registered with the network.</w:t>
      </w:r>
    </w:p>
    <w:p>
      <w:pPr>
        <w:pStyle w:val="B1"/>
      </w:pPr>
      <w:r>
        <w:rPr>
          <w:rFonts w:hint="eastAsia"/>
        </w:rPr>
        <w:t>1.</w:t>
      </w:r>
      <w:r>
        <w:rPr>
          <w:rFonts w:hint="eastAsia"/>
        </w:rPr>
        <w:tab/>
      </w:r>
      <w:r>
        <w:t>The UE sends an integrity protected NAS PDU to the AMF via AN node. The NAS PDU carries the UL RDS PDU data and indication for reliable small data delivery.</w:t>
      </w:r>
    </w:p>
    <w:p>
      <w:pPr>
        <w:pStyle w:val="B1"/>
      </w:pPr>
      <w:r>
        <w:rPr>
          <w:rFonts w:hint="eastAsia"/>
        </w:rPr>
        <w:t>2</w:t>
      </w:r>
      <w:r>
        <w:t>.</w:t>
      </w:r>
      <w:r>
        <w:tab/>
        <w:t xml:space="preserve">The AMF checks the integrity of the incoming NAS PDU and decrypts the PDU data. </w:t>
      </w:r>
    </w:p>
    <w:p>
      <w:pPr>
        <w:pStyle w:val="B1"/>
      </w:pPr>
      <w:r>
        <w:rPr>
          <w:rFonts w:hint="eastAsia"/>
        </w:rPr>
        <w:t>3</w:t>
      </w:r>
      <w:r>
        <w:t>.</w:t>
      </w:r>
      <w:r>
        <w:tab/>
        <w:t>The AMF determines the NEF based on the UE context and Namf_RDSTransfer service operation to send RDS PDU to NEF along with UE identity (e.g. SUPI).</w:t>
      </w:r>
    </w:p>
    <w:p>
      <w:pPr>
        <w:pStyle w:val="B1"/>
      </w:pPr>
      <w:r>
        <w:t xml:space="preserve">4. The NEF sends </w:t>
      </w:r>
      <w:r>
        <w:rPr>
          <w:rFonts w:hint="eastAsia"/>
        </w:rPr>
        <w:t xml:space="preserve">the </w:t>
      </w:r>
      <w:r>
        <w:t>data PDU to the AF/AS according to UE context using Nnef_DataTransfer service operation.</w:t>
      </w:r>
    </w:p>
    <w:p>
      <w:pPr>
        <w:pStyle w:val="B1"/>
      </w:pPr>
      <w:r>
        <w:t>5. The NEF sends RDS acknowledgement to AMF using Namf_Communication_N1N2_message_transfer service operation.</w:t>
      </w:r>
    </w:p>
    <w:p>
      <w:pPr>
        <w:pStyle w:val="B1"/>
      </w:pPr>
      <w:r>
        <w:t>6.</w:t>
      </w:r>
      <w:r>
        <w:tab/>
        <w:t xml:space="preserve">The AMF encrypts the RDS Acknowledgement PDU and send to UE in DL NAS message. </w:t>
      </w:r>
    </w:p>
    <w:p>
      <w:pPr>
        <w:pStyle w:val="EditorsNote"/>
      </w:pPr>
      <w:r>
        <w:t>Editor's note:</w:t>
      </w:r>
      <w:r>
        <w:tab/>
        <w:t>The details of the initial NAS message to transport the NAS payload (e.g. whether service request can be reused) are FFS and may require CT WG1 feedback.</w:t>
      </w:r>
    </w:p>
    <w:p>
      <w:pPr>
        <w:pStyle w:val="Heading4"/>
      </w:pPr>
      <w:r>
        <w:lastRenderedPageBreak/>
        <w:t>6.X.4.4</w:t>
      </w:r>
      <w:r>
        <w:rPr>
          <w:rFonts w:hint="eastAsia"/>
          <w:lang w:eastAsia="zh-CN"/>
        </w:rPr>
        <w:tab/>
      </w:r>
      <w:r>
        <w:rPr>
          <w:lang w:eastAsia="ko-KR"/>
        </w:rPr>
        <w:t>MT reliable small data delivery procedure</w:t>
      </w:r>
    </w:p>
    <w:p>
      <w:pPr>
        <w:pStyle w:val="B1"/>
        <w:ind w:left="0" w:firstLine="0"/>
        <w:jc w:val="center"/>
      </w:pPr>
      <w:r>
        <w:object w:dxaOrig="10321" w:dyaOrig="6451">
          <v:shape id="_x0000_i1032" type="#_x0000_t75" style="width:481.55pt;height:300.65pt" o:ole="">
            <v:imagedata r:id="rId21" o:title=""/>
          </v:shape>
          <o:OLEObject Type="Embed" ProgID="Visio.Drawing.15" ShapeID="_x0000_i1032" DrawAspect="Content" ObjectID="_1580584042" r:id="rId22"/>
        </w:object>
      </w:r>
    </w:p>
    <w:p>
      <w:pPr>
        <w:pStyle w:val="B1"/>
        <w:ind w:left="0" w:firstLine="0"/>
        <w:jc w:val="center"/>
      </w:pPr>
      <w:r>
        <w:rPr>
          <w:rFonts w:ascii="Arial" w:hAnsi="Arial"/>
          <w:b/>
        </w:rPr>
        <w:t>Figure 6.X.4.4-1: MT reliable small data delivery procedure</w:t>
      </w:r>
    </w:p>
    <w:p>
      <w:pPr>
        <w:pStyle w:val="B1"/>
      </w:pPr>
      <w:r>
        <w:t>It is assumed that the AF/AS has performed RDS configuration procedure.</w:t>
      </w:r>
    </w:p>
    <w:p>
      <w:pPr>
        <w:pStyle w:val="B1"/>
      </w:pPr>
      <w:r>
        <w:t>1.</w:t>
      </w:r>
      <w:r>
        <w:tab/>
        <w:t xml:space="preserve">The AF/AS request reliable small data delivery using Nnef_dataTransfer service operation. AS/AF provides External Identifier, DL data PDU, and Reliable Data Configuration. </w:t>
      </w:r>
    </w:p>
    <w:p>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pPr>
        <w:pStyle w:val="B1"/>
      </w:pPr>
      <w:r>
        <w:t>3.</w:t>
      </w:r>
      <w:r>
        <w:tab/>
        <w:t>If the UE is in CM-IDLE, the AMF will buffer the RDS PDU and sends paging message to AN nodes. Then the UE is paged by the AN nodes. Otherwise, step 3 and step 4 are skipped.</w:t>
      </w:r>
    </w:p>
    <w:p>
      <w:pPr>
        <w:pStyle w:val="B1"/>
      </w:pPr>
      <w:r>
        <w:t>4.</w:t>
      </w:r>
      <w:r>
        <w:tab/>
        <w:t>UE responds to paging with initial NAS message.</w:t>
      </w:r>
    </w:p>
    <w:p>
      <w:pPr>
        <w:pStyle w:val="B1"/>
      </w:pPr>
      <w:r>
        <w:t>5.</w:t>
      </w:r>
      <w:r>
        <w:tab/>
        <w:t>The AMF performs integrity protection and encryption to the RDS PDU.</w:t>
      </w:r>
    </w:p>
    <w:p>
      <w:pPr>
        <w:pStyle w:val="B1"/>
      </w:pPr>
      <w:r>
        <w:t>6.</w:t>
      </w:r>
      <w:r>
        <w:tab/>
        <w:t>The AMF sends encrypted NAS PDUwith RDS PDU to the AN node in DL NAS message.</w:t>
      </w:r>
    </w:p>
    <w:p>
      <w:pPr>
        <w:pStyle w:val="B1"/>
      </w:pPr>
    </w:p>
    <w:p>
      <w:pPr>
        <w:pStyle w:val="Heading3"/>
      </w:pPr>
      <w:r>
        <w:t>6.X.5</w:t>
      </w:r>
      <w:r>
        <w:tab/>
        <w:t>Impacts on existing entities and interfaces</w:t>
      </w:r>
      <w:bookmarkEnd w:id="13"/>
    </w:p>
    <w:p>
      <w:pPr>
        <w:pStyle w:val="Heading3"/>
      </w:pPr>
      <w:bookmarkStart w:id="14" w:name="_Toc505257267"/>
      <w:bookmarkStart w:id="15" w:name="_Hlk500857602"/>
      <w:r>
        <w:t>6.X.6</w:t>
      </w:r>
      <w:r>
        <w:tab/>
        <w:t>Evaluation</w:t>
      </w:r>
      <w:bookmarkEnd w:id="14"/>
    </w:p>
    <w:bookmarkEnd w:id="15"/>
    <w:p>
      <w:pPr>
        <w:pStyle w:val="EditorsNote"/>
      </w:pPr>
      <w:r>
        <w:t>Editor's note:</w:t>
      </w:r>
      <w:r>
        <w:tab/>
        <w:t>This clause provides an evaluation of the solution.</w:t>
      </w: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Microsoft_Visio_2003-2010_Drawing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351</TotalTime>
  <Pages>8</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10758</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52</cp:revision>
  <cp:lastPrinted>2003-09-26T18:29:00Z</cp:lastPrinted>
  <dcterms:created xsi:type="dcterms:W3CDTF">2018-02-12T20:57:00Z</dcterms:created>
  <dcterms:modified xsi:type="dcterms:W3CDTF">2018-02-20T06:16:00Z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