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bottom w:color="000000" w:space="1" w:sz="4" w:val="single"/>
        </w:pBdr>
        <w:tabs>
          <w:tab w:val="right" w:leader="none" w:pos="9214"/>
        </w:tabs>
        <w:spacing w:after="0" w:lineRule="auto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3GPP TSG-SA WG1 Meeting #109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ab/>
        <w:t xml:space="preserve">   </w:t>
      </w:r>
      <w:r w:rsidDel="00000000" w:rsidR="00000000" w:rsidRPr="00000000">
        <w:rPr>
          <w:rFonts w:ascii="Arial" w:cs="Arial" w:eastAsia="Arial" w:hAnsi="Arial"/>
          <w:b w:val="1"/>
          <w:color w:val="808080"/>
          <w:sz w:val="26"/>
          <w:szCs w:val="26"/>
          <w:rtl w:val="0"/>
        </w:rPr>
        <w:t xml:space="preserve">S1-250305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bottom w:color="000000" w:space="1" w:sz="4" w:val="single"/>
        </w:pBdr>
        <w:tabs>
          <w:tab w:val="right" w:leader="none" w:pos="9214"/>
        </w:tabs>
        <w:spacing w:after="0" w:lineRule="auto"/>
        <w:jc w:val="both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Athens, Greece 17-21 February 2025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1701"/>
        </w:tabs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Title: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Use cases on high-rate aircraft communication services in 6G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1701"/>
        </w:tabs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Agenda Item: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8.1.7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1701"/>
        </w:tabs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Source: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Airbus, Deutsche Telekom, Ericsson, Fraunhofer IIS (TBD)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1701"/>
        </w:tabs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Contact:</w:t>
        <w:tab/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amina.boubendir@airbus.com</w:t>
        </w:r>
      </w:hyperlink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hyperlink r:id="rId8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jose_antonio.del_peral_rosado@airbus.com</w:t>
        </w:r>
      </w:hyperlink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bottom w:color="000000" w:space="1" w:sz="6" w:val="single"/>
        </w:pBdr>
        <w:spacing w:after="0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="276" w:lineRule="auto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sz w:val="22"/>
          <w:szCs w:val="22"/>
          <w:vertAlign w:val="baseline"/>
          <w:rtl w:val="0"/>
        </w:rPr>
        <w:t xml:space="preserve">Abstract: </w:t>
      </w: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This document proposes use cases on aircraft communication services in 6G, extending 3GPP TR 22.887 V1.0.0 (2024-12).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---------- Use Case template ----------</w:t>
      </w:r>
    </w:p>
    <w:p w:rsidR="00000000" w:rsidDel="00000000" w:rsidP="00000000" w:rsidRDefault="00000000" w:rsidRPr="00000000" w14:paraId="0000000B">
      <w:pPr>
        <w:pStyle w:val="Heading2"/>
        <w:rPr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vertAlign w:val="baseline"/>
          <w:rtl w:val="0"/>
        </w:rPr>
        <w:t xml:space="preserve">x.1</w:t>
        <w:tab/>
      </w:r>
      <w:r w:rsidDel="00000000" w:rsidR="00000000" w:rsidRPr="00000000">
        <w:rPr>
          <w:rtl w:val="0"/>
        </w:rPr>
        <w:t xml:space="preserve">Use cases on high-rate aircraft communication services in 6G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x.1.1</w:t>
        <w:tab/>
        <w:t xml:space="preserve">Description</w:t>
      </w:r>
    </w:p>
    <w:p w:rsidR="00000000" w:rsidDel="00000000" w:rsidP="00000000" w:rsidRDefault="00000000" w:rsidRPr="00000000" w14:paraId="0000000D">
      <w:pPr>
        <w:jc w:val="both"/>
        <w:rPr/>
      </w:pPr>
      <w:bookmarkStart w:colFirst="0" w:colLast="0" w:name="_heading=h.bxcukjlcxou8" w:id="1"/>
      <w:bookmarkEnd w:id="1"/>
      <w:r w:rsidDel="00000000" w:rsidR="00000000" w:rsidRPr="00000000">
        <w:rPr>
          <w:rtl w:val="0"/>
        </w:rPr>
        <w:t xml:space="preserve">The use cases described in Sections 5.20 and 5.22 of TR 22.887 V1.0.0 set out a 5G-advanced  aviation use case, which is focused on delivering the capability to provide passenger access to internet services.</w:t>
      </w:r>
      <w:r w:rsidDel="00000000" w:rsidR="00000000" w:rsidRPr="00000000">
        <w:rPr>
          <w:rtl w:val="0"/>
        </w:rPr>
        <w:t xml:space="preserve"> In the advent of 6G, higher rates of such services are anticipated </w:t>
      </w:r>
      <w:r w:rsidDel="00000000" w:rsidR="00000000" w:rsidRPr="00000000">
        <w:rPr>
          <w:rtl w:val="0"/>
        </w:rPr>
        <w:t xml:space="preserve">[1,2]</w:t>
      </w:r>
      <w:r w:rsidDel="00000000" w:rsidR="00000000" w:rsidRPr="00000000">
        <w:rPr>
          <w:rtl w:val="0"/>
        </w:rPr>
        <w:t xml:space="preserve"> and the broader adoption of massive data transfer on/near ground [3]. Therefore, the performance parameters of the use case in </w:t>
      </w:r>
      <w:r w:rsidDel="00000000" w:rsidR="00000000" w:rsidRPr="00000000">
        <w:rPr>
          <w:rtl w:val="0"/>
        </w:rPr>
        <w:t xml:space="preserve">TS 22.261</w:t>
      </w:r>
      <w:r w:rsidDel="00000000" w:rsidR="00000000" w:rsidRPr="00000000">
        <w:rPr>
          <w:rtl w:val="0"/>
        </w:rPr>
        <w:t xml:space="preserve"> are to be updated.</w:t>
      </w:r>
    </w:p>
    <w:p w:rsidR="00000000" w:rsidDel="00000000" w:rsidP="00000000" w:rsidRDefault="00000000" w:rsidRPr="00000000" w14:paraId="0000000E">
      <w:pPr>
        <w:jc w:val="both"/>
        <w:rPr/>
      </w:pPr>
      <w:bookmarkStart w:colFirst="0" w:colLast="0" w:name="_heading=h.3r9xaqocdeqp" w:id="2"/>
      <w:bookmarkEnd w:id="2"/>
      <w:r w:rsidDel="00000000" w:rsidR="00000000" w:rsidRPr="00000000">
        <w:rPr>
          <w:rtl w:val="0"/>
        </w:rPr>
        <w:t xml:space="preserve">This use case proposal is based on the work in the CELTIC-NEXT research project 6G-SKY (www.6G-sky.net).</w:t>
      </w:r>
    </w:p>
    <w:p w:rsidR="00000000" w:rsidDel="00000000" w:rsidP="00000000" w:rsidRDefault="00000000" w:rsidRPr="00000000" w14:paraId="0000000F">
      <w:pPr>
        <w:jc w:val="both"/>
        <w:rPr/>
      </w:pPr>
      <w:bookmarkStart w:colFirst="0" w:colLast="0" w:name="_heading=h.w4zg4gjpx3k5" w:id="3"/>
      <w:bookmarkEnd w:id="3"/>
      <w:r w:rsidDel="00000000" w:rsidR="00000000" w:rsidRPr="00000000">
        <w:rPr>
          <w:rtl w:val="0"/>
        </w:rPr>
        <w:t xml:space="preserve">References:</w:t>
      </w:r>
    </w:p>
    <w:p w:rsidR="00000000" w:rsidDel="00000000" w:rsidP="00000000" w:rsidRDefault="00000000" w:rsidRPr="00000000" w14:paraId="00000010">
      <w:pPr>
        <w:jc w:val="both"/>
        <w:rPr/>
      </w:pPr>
      <w:bookmarkStart w:colFirst="0" w:colLast="0" w:name="_heading=h.5vujwz7dvouo" w:id="4"/>
      <w:bookmarkEnd w:id="4"/>
      <w:r w:rsidDel="00000000" w:rsidR="00000000" w:rsidRPr="00000000">
        <w:rPr>
          <w:rtl w:val="0"/>
        </w:rPr>
        <w:t xml:space="preserve">[1] Next G Alliance Report “6G Applications and Use Cases”: Use Case 4.6 – High-Speed Wireless Connection in Aerial Vehicle for Entertainment Service, TBD</w:t>
      </w:r>
    </w:p>
    <w:p w:rsidR="00000000" w:rsidDel="00000000" w:rsidP="00000000" w:rsidRDefault="00000000" w:rsidRPr="00000000" w14:paraId="00000011">
      <w:pPr>
        <w:jc w:val="both"/>
        <w:rPr/>
      </w:pPr>
      <w:bookmarkStart w:colFirst="0" w:colLast="0" w:name="_heading=h.kuf4ngq52uvz" w:id="5"/>
      <w:bookmarkEnd w:id="5"/>
      <w:r w:rsidDel="00000000" w:rsidR="00000000" w:rsidRPr="00000000">
        <w:rPr>
          <w:rtl w:val="0"/>
        </w:rPr>
        <w:t xml:space="preserve">[2] Topal, O. A., Schupke, D., Björnson, E., &amp; Cavdar, C. ”Optimal Joint Access Point Placement and Resource Allocation for Indoor mmWave Communications”, ICC 2023, Rome, Italy.</w:t>
      </w:r>
    </w:p>
    <w:p w:rsidR="00000000" w:rsidDel="00000000" w:rsidP="00000000" w:rsidRDefault="00000000" w:rsidRPr="00000000" w14:paraId="00000012">
      <w:pPr>
        <w:jc w:val="both"/>
        <w:rPr/>
      </w:pPr>
      <w:bookmarkStart w:colFirst="0" w:colLast="0" w:name="_heading=h.rane58v4wkgo" w:id="6"/>
      <w:bookmarkEnd w:id="6"/>
      <w:r w:rsidDel="00000000" w:rsidR="00000000" w:rsidRPr="00000000">
        <w:rPr>
          <w:rtl w:val="0"/>
        </w:rPr>
        <w:t xml:space="preserve">[3] Hofmann, S.; Duhovnikov, S.; Schupke, D., “Massive Data Transfer from and to Aircraft on Ground: Feasibility and Challenges,” IEEE Aerospace and Electronic Systems Magazine, vol. 36, iss. 5, May 2021.</w:t>
      </w:r>
    </w:p>
    <w:p w:rsidR="00000000" w:rsidDel="00000000" w:rsidP="00000000" w:rsidRDefault="00000000" w:rsidRPr="00000000" w14:paraId="00000013">
      <w:pPr>
        <w:pStyle w:val="Heading3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x.1.2</w:t>
        <w:tab/>
        <w:t xml:space="preserve">Pre-conditions</w:t>
      </w:r>
    </w:p>
    <w:p w:rsidR="00000000" w:rsidDel="00000000" w:rsidP="00000000" w:rsidRDefault="00000000" w:rsidRPr="00000000" w14:paraId="00000014">
      <w:pPr>
        <w:jc w:val="both"/>
        <w:rPr>
          <w:vertAlign w:val="baseline"/>
        </w:rPr>
      </w:pPr>
      <w:bookmarkStart w:colFirst="0" w:colLast="0" w:name="_heading=h.bxcukjlcxou8" w:id="1"/>
      <w:bookmarkEnd w:id="1"/>
      <w:r w:rsidDel="00000000" w:rsidR="00000000" w:rsidRPr="00000000">
        <w:rPr>
          <w:rtl w:val="0"/>
        </w:rPr>
        <w:t xml:space="preserve">The pre-conditions are as described in Section 5.22 of </w:t>
      </w:r>
      <w:r w:rsidDel="00000000" w:rsidR="00000000" w:rsidRPr="00000000">
        <w:rPr>
          <w:vertAlign w:val="baseline"/>
          <w:rtl w:val="0"/>
        </w:rPr>
        <w:t xml:space="preserve">x.1.3</w:t>
        <w:tab/>
        <w:t xml:space="preserve">Service Flows</w:t>
      </w:r>
    </w:p>
    <w:p w:rsidR="00000000" w:rsidDel="00000000" w:rsidP="00000000" w:rsidRDefault="00000000" w:rsidRPr="00000000" w14:paraId="00000015">
      <w:pPr>
        <w:jc w:val="both"/>
        <w:rPr/>
      </w:pPr>
      <w:bookmarkStart w:colFirst="0" w:colLast="0" w:name="_heading=h.3znysh7" w:id="7"/>
      <w:bookmarkEnd w:id="7"/>
      <w:r w:rsidDel="00000000" w:rsidR="00000000" w:rsidRPr="00000000">
        <w:rPr>
          <w:rtl w:val="0"/>
        </w:rPr>
        <w:t xml:space="preserve">The pre-conditions are as in TR 22.887 V1.0.0. </w:t>
      </w:r>
    </w:p>
    <w:p w:rsidR="00000000" w:rsidDel="00000000" w:rsidP="00000000" w:rsidRDefault="00000000" w:rsidRPr="00000000" w14:paraId="00000016">
      <w:pPr>
        <w:jc w:val="both"/>
        <w:rPr/>
      </w:pPr>
      <w:bookmarkStart w:colFirst="0" w:colLast="0" w:name="_heading=h.taicnmpey7aw" w:id="8"/>
      <w:bookmarkEnd w:id="8"/>
      <w:r w:rsidDel="00000000" w:rsidR="00000000" w:rsidRPr="00000000">
        <w:rPr>
          <w:rtl w:val="0"/>
        </w:rPr>
        <w:t xml:space="preserve">Additionally, massive data transfer on the ground or near the ground (i.e., during aircraft  approach, taxing, parking, takeoff) is realized - example: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/>
        <w:ind w:left="720" w:hanging="360"/>
        <w:jc w:val="both"/>
        <w:rPr>
          <w:u w:val="none"/>
        </w:rPr>
      </w:pPr>
      <w:bookmarkStart w:colFirst="0" w:colLast="0" w:name="_heading=h.4uk2pkguv66l" w:id="9"/>
      <w:bookmarkEnd w:id="9"/>
      <w:r w:rsidDel="00000000" w:rsidR="00000000" w:rsidRPr="00000000">
        <w:rPr>
          <w:rtl w:val="0"/>
        </w:rPr>
        <w:t xml:space="preserve">Aircraft gathered data during flight for predictive maintenance, but cannot store more data than for 1 flight..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/>
        <w:ind w:left="720" w:hanging="360"/>
        <w:jc w:val="both"/>
        <w:rPr>
          <w:u w:val="none"/>
        </w:rPr>
      </w:pPr>
      <w:bookmarkStart w:colFirst="0" w:colLast="0" w:name="_heading=h.1kdrbiqwpf4j" w:id="10"/>
      <w:bookmarkEnd w:id="10"/>
      <w:r w:rsidDel="00000000" w:rsidR="00000000" w:rsidRPr="00000000">
        <w:rPr>
          <w:rtl w:val="0"/>
        </w:rPr>
        <w:t xml:space="preserve">Aircraft starts (at t1) to offload data from its local storage during approach or after touchdown with the help of a TN at high-rates.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/>
        <w:ind w:left="720" w:hanging="360"/>
        <w:jc w:val="both"/>
        <w:rPr>
          <w:u w:val="none"/>
        </w:rPr>
      </w:pPr>
      <w:bookmarkStart w:colFirst="0" w:colLast="0" w:name="_heading=h.2bhkv394u8at" w:id="11"/>
      <w:bookmarkEnd w:id="11"/>
      <w:r w:rsidDel="00000000" w:rsidR="00000000" w:rsidRPr="00000000">
        <w:rPr>
          <w:rtl w:val="0"/>
        </w:rPr>
        <w:t xml:space="preserve">Aircraft prepares for next take off and eventually stops the TN linkage (at t2).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jc w:val="both"/>
        <w:rPr>
          <w:u w:val="none"/>
        </w:rPr>
      </w:pPr>
      <w:bookmarkStart w:colFirst="0" w:colLast="0" w:name="_heading=h.j0czyst81im" w:id="12"/>
      <w:bookmarkEnd w:id="12"/>
      <w:r w:rsidDel="00000000" w:rsidR="00000000" w:rsidRPr="00000000">
        <w:rPr>
          <w:rtl w:val="0"/>
        </w:rPr>
        <w:t xml:space="preserve">Before t2 the gathered data of the flight is offloaded to a ground data storage system.</w:t>
      </w:r>
    </w:p>
    <w:p w:rsidR="00000000" w:rsidDel="00000000" w:rsidP="00000000" w:rsidRDefault="00000000" w:rsidRPr="00000000" w14:paraId="0000001B">
      <w:pPr>
        <w:ind w:hanging="2"/>
        <w:jc w:val="both"/>
        <w:rPr/>
      </w:pPr>
      <w:bookmarkStart w:colFirst="0" w:colLast="0" w:name="_heading=h.2s8eyo1" w:id="13"/>
      <w:bookmarkEnd w:id="13"/>
      <w:r w:rsidDel="00000000" w:rsidR="00000000" w:rsidRPr="00000000">
        <w:rPr>
          <w:rtl w:val="0"/>
        </w:rPr>
        <w:t xml:space="preserve">An analogous process follows in the case of data transfer from ground to the aircraft, e.g., for in-flight entertainment data.</w:t>
      </w:r>
    </w:p>
    <w:p w:rsidR="00000000" w:rsidDel="00000000" w:rsidP="00000000" w:rsidRDefault="00000000" w:rsidRPr="00000000" w14:paraId="0000001C">
      <w:pPr>
        <w:pStyle w:val="Heading3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x.1.4</w:t>
        <w:tab/>
        <w:t xml:space="preserve">Post-conditions</w:t>
      </w:r>
    </w:p>
    <w:p w:rsidR="00000000" w:rsidDel="00000000" w:rsidP="00000000" w:rsidRDefault="00000000" w:rsidRPr="00000000" w14:paraId="0000001D">
      <w:pPr>
        <w:rPr/>
      </w:pPr>
      <w:bookmarkStart w:colFirst="0" w:colLast="0" w:name="_heading=h.3znysh7" w:id="7"/>
      <w:bookmarkEnd w:id="7"/>
      <w:r w:rsidDel="00000000" w:rsidR="00000000" w:rsidRPr="00000000">
        <w:rPr>
          <w:rtl w:val="0"/>
        </w:rPr>
        <w:t xml:space="preserve">The pre-conditions are as described in Section 5.22 of TR 22.887 V1.0.0. </w:t>
      </w:r>
    </w:p>
    <w:p w:rsidR="00000000" w:rsidDel="00000000" w:rsidP="00000000" w:rsidRDefault="00000000" w:rsidRPr="00000000" w14:paraId="0000001E">
      <w:pPr>
        <w:ind w:hanging="2"/>
        <w:jc w:val="both"/>
        <w:rPr>
          <w:vertAlign w:val="baseline"/>
        </w:rPr>
      </w:pPr>
      <w:bookmarkStart w:colFirst="0" w:colLast="0" w:name="_heading=h.2s8eyo1" w:id="13"/>
      <w:bookmarkEnd w:id="13"/>
      <w:r w:rsidDel="00000000" w:rsidR="00000000" w:rsidRPr="00000000">
        <w:rPr>
          <w:rtl w:val="0"/>
        </w:rPr>
        <w:t xml:space="preserve">Additionally, in massive data transfer on the ground or near the ground, the complete data of the previous flight is offloaded to ground. In the reverse direction, the</w:t>
      </w:r>
      <w:r w:rsidDel="00000000" w:rsidR="00000000" w:rsidRPr="00000000">
        <w:rPr>
          <w:rtl w:val="0"/>
        </w:rPr>
        <w:t xml:space="preserve"> complete data before the next flight is transferred to the aircraft.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3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x.1.5</w:t>
        <w:tab/>
        <w:t xml:space="preserve">Existing features partly or fully covering the use case functionality</w:t>
      </w:r>
    </w:p>
    <w:p w:rsidR="00000000" w:rsidDel="00000000" w:rsidP="00000000" w:rsidRDefault="00000000" w:rsidRPr="00000000" w14:paraId="00000020">
      <w:pPr>
        <w:rPr/>
      </w:pPr>
      <w:bookmarkStart w:colFirst="0" w:colLast="0" w:name="_heading=h.3znysh7" w:id="7"/>
      <w:bookmarkEnd w:id="7"/>
      <w:r w:rsidDel="00000000" w:rsidR="00000000" w:rsidRPr="00000000">
        <w:rPr>
          <w:rtl w:val="0"/>
        </w:rPr>
        <w:t xml:space="preserve">See Section 5.22 of TR 22.887 V1.0.0 and </w:t>
      </w:r>
      <w:r w:rsidDel="00000000" w:rsidR="00000000" w:rsidRPr="00000000">
        <w:rPr>
          <w:rtl w:val="0"/>
        </w:rPr>
        <w:t xml:space="preserve">TS 22.261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21">
      <w:pPr>
        <w:pStyle w:val="Heading3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x.1.6</w:t>
        <w:tab/>
        <w:t xml:space="preserve">Potential New Requirements needed to support the use case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It is proposed to modify the KPIs defined in the Table 7.4.2-1 in </w:t>
      </w:r>
      <w:r w:rsidDel="00000000" w:rsidR="00000000" w:rsidRPr="00000000">
        <w:rPr>
          <w:rtl w:val="0"/>
        </w:rPr>
        <w:t xml:space="preserve">TS 22.261 </w:t>
      </w:r>
      <w:r w:rsidDel="00000000" w:rsidR="00000000" w:rsidRPr="00000000">
        <w:rPr>
          <w:rtl w:val="0"/>
        </w:rPr>
        <w:t xml:space="preserve">(“performance requirements for satellite access”)</w:t>
      </w:r>
      <w:r w:rsidDel="00000000" w:rsidR="00000000" w:rsidRPr="00000000">
        <w:rPr>
          <w:rtl w:val="0"/>
        </w:rPr>
        <w:t xml:space="preserve">, for </w:t>
      </w:r>
      <w:r w:rsidDel="00000000" w:rsidR="00000000" w:rsidRPr="00000000">
        <w:rPr>
          <w:rtl w:val="0"/>
        </w:rPr>
        <w:t xml:space="preserve">which TR 22.887 V1.0.0 proposes updates for 5G-advanced. The proposed KPIs are in the following table.</w:t>
        <w:br w:type="textWrapping"/>
      </w:r>
    </w:p>
    <w:p w:rsidR="00000000" w:rsidDel="00000000" w:rsidP="00000000" w:rsidRDefault="00000000" w:rsidRPr="00000000" w14:paraId="00000023">
      <w:pPr>
        <w:keepNext w:val="1"/>
        <w:keepLines w:val="1"/>
        <w:spacing w:before="60" w:lineRule="auto"/>
        <w:ind w:hanging="2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Table X.X.X-1: Performance requirements for satellite access</w:t>
      </w:r>
    </w:p>
    <w:tbl>
      <w:tblPr>
        <w:tblStyle w:val="Table1"/>
        <w:tblW w:w="9923.0" w:type="dxa"/>
        <w:jc w:val="left"/>
        <w:tblInd w:w="-5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  <w:tblGridChange w:id="0">
          <w:tblGrid>
            <w:gridCol w:w="1129"/>
            <w:gridCol w:w="1134"/>
            <w:gridCol w:w="1134"/>
            <w:gridCol w:w="1134"/>
            <w:gridCol w:w="997"/>
            <w:gridCol w:w="1134"/>
            <w:gridCol w:w="993"/>
            <w:gridCol w:w="1275"/>
            <w:gridCol w:w="993"/>
          </w:tblGrid>
        </w:tblGridChange>
      </w:tblGrid>
      <w:tr>
        <w:trPr>
          <w:cantSplit w:val="0"/>
          <w:tblHeader w:val="0"/>
        </w:trPr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24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Scenario</w:t>
            </w:r>
          </w:p>
        </w:tc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25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Experienced data rate (DL)</w:t>
            </w:r>
          </w:p>
        </w:tc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26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Experienced data rate (UL)</w:t>
            </w:r>
          </w:p>
        </w:tc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27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Area traffic capacity</w:t>
            </w:r>
          </w:p>
          <w:p w:rsidR="00000000" w:rsidDel="00000000" w:rsidP="00000000" w:rsidRDefault="00000000" w:rsidRPr="00000000" w14:paraId="00000028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(DL) </w:t>
            </w:r>
          </w:p>
          <w:p w:rsidR="00000000" w:rsidDel="00000000" w:rsidP="00000000" w:rsidRDefault="00000000" w:rsidRPr="00000000" w14:paraId="00000029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(note 1)</w:t>
            </w:r>
          </w:p>
        </w:tc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2A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Area traffic capacity</w:t>
            </w:r>
          </w:p>
          <w:p w:rsidR="00000000" w:rsidDel="00000000" w:rsidP="00000000" w:rsidRDefault="00000000" w:rsidRPr="00000000" w14:paraId="0000002B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(UL) </w:t>
            </w:r>
          </w:p>
          <w:p w:rsidR="00000000" w:rsidDel="00000000" w:rsidP="00000000" w:rsidRDefault="00000000" w:rsidRPr="00000000" w14:paraId="0000002C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(note 1)</w:t>
            </w:r>
          </w:p>
        </w:tc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2D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Overall user density </w:t>
            </w:r>
          </w:p>
        </w:tc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2E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Activity factor</w:t>
            </w:r>
          </w:p>
        </w:tc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2F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UE speed</w:t>
            </w:r>
          </w:p>
        </w:tc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30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UE type</w:t>
            </w:r>
          </w:p>
        </w:tc>
      </w:tr>
      <w:tr>
        <w:trPr>
          <w:cantSplit w:val="0"/>
          <w:tblHeader w:val="0"/>
        </w:trPr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31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Airplanes connectivity</w:t>
            </w:r>
          </w:p>
          <w:p w:rsidR="00000000" w:rsidDel="00000000" w:rsidP="00000000" w:rsidRDefault="00000000" w:rsidRPr="00000000" w14:paraId="00000032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(note 4)</w:t>
            </w:r>
          </w:p>
        </w:tc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33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3 Gbit/s</w:t>
            </w:r>
          </w:p>
          <w:p w:rsidR="00000000" w:rsidDel="00000000" w:rsidP="00000000" w:rsidRDefault="00000000" w:rsidRPr="00000000" w14:paraId="00000034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per plane</w:t>
            </w:r>
          </w:p>
          <w:p w:rsidR="00000000" w:rsidDel="00000000" w:rsidP="00000000" w:rsidRDefault="00000000" w:rsidRPr="00000000" w14:paraId="00000035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36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1.5 Gbit/s</w:t>
            </w:r>
          </w:p>
          <w:p w:rsidR="00000000" w:rsidDel="00000000" w:rsidP="00000000" w:rsidRDefault="00000000" w:rsidRPr="00000000" w14:paraId="00000037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per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 plane</w:t>
            </w:r>
          </w:p>
          <w:p w:rsidR="00000000" w:rsidDel="00000000" w:rsidP="00000000" w:rsidRDefault="00000000" w:rsidRPr="00000000" w14:paraId="00000038">
            <w:pPr>
              <w:keepNext w:val="1"/>
              <w:keepLines w:val="1"/>
              <w:spacing w:after="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39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3A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3B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3C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40%</w:t>
            </w:r>
          </w:p>
        </w:tc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3D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Up to 1500 km/h</w:t>
            </w:r>
          </w:p>
        </w:tc>
        <w:tc>
          <w:tcPr>
            <w:tcMar>
              <w:left w:w="57.0" w:type="dxa"/>
              <w:right w:w="57.0" w:type="dxa"/>
            </w:tcMar>
          </w:tcPr>
          <w:p w:rsidR="00000000" w:rsidDel="00000000" w:rsidP="00000000" w:rsidRDefault="00000000" w:rsidRPr="00000000" w14:paraId="0000003E">
            <w:pPr>
              <w:keepNext w:val="1"/>
              <w:keepLines w:val="1"/>
              <w:spacing w:after="0" w:lineRule="auto"/>
              <w:ind w:hanging="2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Airplane mounted</w:t>
            </w:r>
          </w:p>
        </w:tc>
      </w:tr>
      <w:tr>
        <w:trPr>
          <w:cantSplit w:val="0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3F">
            <w:pPr>
              <w:keepNext w:val="1"/>
              <w:keepLines w:val="1"/>
              <w:spacing w:after="0" w:lineRule="auto"/>
              <w:ind w:hanging="2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Note 4: </w:t>
            </w:r>
          </w:p>
          <w:p w:rsidR="00000000" w:rsidDel="00000000" w:rsidP="00000000" w:rsidRDefault="00000000" w:rsidRPr="00000000" w14:paraId="00000040">
            <w:pPr>
              <w:keepNext w:val="1"/>
              <w:keepLines w:val="1"/>
              <w:numPr>
                <w:ilvl w:val="0"/>
                <w:numId w:val="1"/>
              </w:numPr>
              <w:spacing w:after="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Required experienced peak data rate corresponding to the aggregated passenger traffic at aircraft level</w:t>
            </w:r>
          </w:p>
          <w:p w:rsidR="00000000" w:rsidDel="00000000" w:rsidP="00000000" w:rsidRDefault="00000000" w:rsidRPr="00000000" w14:paraId="00000041">
            <w:pPr>
              <w:keepNext w:val="1"/>
              <w:keepLines w:val="1"/>
              <w:numPr>
                <w:ilvl w:val="0"/>
                <w:numId w:val="1"/>
              </w:numPr>
              <w:spacing w:after="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Based on an assumption of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450 seats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, average take rate of 75% (free model) and load factor of 85%</w:t>
            </w:r>
          </w:p>
          <w:p w:rsidR="00000000" w:rsidDel="00000000" w:rsidP="00000000" w:rsidRDefault="00000000" w:rsidRPr="00000000" w14:paraId="00000042">
            <w:pPr>
              <w:keepNext w:val="1"/>
              <w:keepLines w:val="1"/>
              <w:numPr>
                <w:ilvl w:val="0"/>
                <w:numId w:val="1"/>
              </w:numPr>
              <w:spacing w:after="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Assumption of 2:1 Downlink / Uplink ratio, anticipating future usages</w:t>
            </w:r>
          </w:p>
          <w:p w:rsidR="00000000" w:rsidDel="00000000" w:rsidP="00000000" w:rsidRDefault="00000000" w:rsidRPr="00000000" w14:paraId="00000043">
            <w:pPr>
              <w:keepNext w:val="1"/>
              <w:keepLines w:val="1"/>
              <w:numPr>
                <w:ilvl w:val="0"/>
                <w:numId w:val="1"/>
              </w:numPr>
              <w:spacing w:after="0" w:lineRule="auto"/>
              <w:ind w:hanging="2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The Downlink &amp; Uplink throughput can be achieved using one or multiple links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4C">
      <w:pPr>
        <w:keepLines w:val="1"/>
        <w:ind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It is proposed to modify the KPIs defined in Table 7.1.1 of </w:t>
      </w:r>
      <w:r w:rsidDel="00000000" w:rsidR="00000000" w:rsidRPr="00000000">
        <w:rPr>
          <w:rtl w:val="0"/>
        </w:rPr>
        <w:t xml:space="preserve">TS 22.261.</w:t>
      </w:r>
      <w:r w:rsidDel="00000000" w:rsidR="00000000" w:rsidRPr="00000000">
        <w:rPr>
          <w:rtl w:val="0"/>
        </w:rPr>
        <w:t xml:space="preserve"> They enable, e.g., the case of XR UEs for applications in highly dynamic environments, where UEs offload processing to an edge-cloud. The proposed KPIs are in the following table. UE types may be defined as well.</w:t>
      </w:r>
    </w:p>
    <w:p w:rsidR="00000000" w:rsidDel="00000000" w:rsidP="00000000" w:rsidRDefault="00000000" w:rsidRPr="00000000" w14:paraId="0000004E">
      <w:pPr>
        <w:keepNext w:val="1"/>
        <w:keepLines w:val="1"/>
        <w:spacing w:before="60" w:lineRule="auto"/>
        <w:ind w:hanging="2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Table X.X.X-2: Performance requirements for on-board UEs</w:t>
      </w:r>
      <w:r w:rsidDel="00000000" w:rsidR="00000000" w:rsidRPr="00000000">
        <w:rPr>
          <w:rtl w:val="0"/>
        </w:rPr>
      </w:r>
    </w:p>
    <w:tbl>
      <w:tblPr>
        <w:tblStyle w:val="Table2"/>
        <w:tblW w:w="98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255"/>
        <w:gridCol w:w="990"/>
        <w:gridCol w:w="1095"/>
        <w:gridCol w:w="885"/>
        <w:gridCol w:w="1305"/>
        <w:gridCol w:w="1275"/>
        <w:gridCol w:w="915"/>
        <w:gridCol w:w="945"/>
        <w:gridCol w:w="1230"/>
        <w:gridCol w:w="945"/>
        <w:tblGridChange w:id="0">
          <w:tblGrid>
            <w:gridCol w:w="255"/>
            <w:gridCol w:w="990"/>
            <w:gridCol w:w="1095"/>
            <w:gridCol w:w="885"/>
            <w:gridCol w:w="1305"/>
            <w:gridCol w:w="1275"/>
            <w:gridCol w:w="915"/>
            <w:gridCol w:w="945"/>
            <w:gridCol w:w="1230"/>
            <w:gridCol w:w="945"/>
          </w:tblGrid>
        </w:tblGridChange>
      </w:tblGrid>
      <w:tr>
        <w:trPr>
          <w:cantSplit w:val="0"/>
          <w:trHeight w:val="660.6217616580311" w:hRule="atLeast"/>
          <w:tblHeader w:val="0"/>
        </w:trPr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Scenario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Experienced data rate (DL)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Experienced data rate (UL)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Area traffic capacity</w:t>
            </w:r>
          </w:p>
          <w:p w:rsidR="00000000" w:rsidDel="00000000" w:rsidP="00000000" w:rsidRDefault="00000000" w:rsidRPr="00000000" w14:paraId="00000054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(DL)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Area traffic capacity</w:t>
            </w:r>
          </w:p>
          <w:p w:rsidR="00000000" w:rsidDel="00000000" w:rsidP="00000000" w:rsidRDefault="00000000" w:rsidRPr="00000000" w14:paraId="00000056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(UL)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Overall user density 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Activity factor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UE speed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Coverage</w:t>
            </w:r>
          </w:p>
        </w:tc>
      </w:tr>
      <w:tr>
        <w:trPr>
          <w:cantSplit w:val="0"/>
          <w:trHeight w:val="942.357512953368" w:hRule="atLeast"/>
          <w:tblHeader w:val="0"/>
        </w:trPr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Airplanes connectivity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50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 Mbit/s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25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 Mbit/s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 Gbit/s/plane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3 G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bit/s/plane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400/plane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30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 %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after="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Users in airplanes (up to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1500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km/h)</w:t>
            </w:r>
          </w:p>
        </w:tc>
        <w:tc>
          <w:tcPr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(note 1)</w:t>
            </w:r>
          </w:p>
        </w:tc>
      </w:tr>
      <w:tr>
        <w:trPr>
          <w:cantSplit w:val="0"/>
          <w:trHeight w:val="272.020725388601" w:hRule="atLeast"/>
          <w:tblHeader w:val="0"/>
        </w:trPr>
        <w:tc>
          <w:tcPr>
            <w:gridSpan w:val="10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after="0" w:lineRule="auto"/>
              <w:ind w:left="851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NOTE 1: </w:t>
              <w:tab/>
              <w:t xml:space="preserve">For users in vehicles, the UE can be connected to</w:t>
            </w:r>
            <w:r w:rsidDel="00000000" w:rsidR="00000000" w:rsidRPr="00000000">
              <w:rPr>
                <w:rFonts w:ascii="Arial" w:cs="Arial" w:eastAsia="Arial" w:hAnsi="Arial"/>
                <w:strike w:val="1"/>
                <w:color w:val="ff0000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on-board moving base station.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Additionally, it is proposed to add the KPIs in the following table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Table X.X.X-3: Performance requirements for airport scenario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(massive data transfer on/near ground)</w:t>
      </w:r>
    </w:p>
    <w:sdt>
      <w:sdtPr>
        <w:lock w:val="contentLocked"/>
        <w:tag w:val="goog_rdk_1"/>
      </w:sdtPr>
      <w:sdtContent>
        <w:tbl>
          <w:tblPr>
            <w:tblStyle w:val="Table3"/>
            <w:tblW w:w="9923.0" w:type="dxa"/>
            <w:jc w:val="left"/>
            <w:tblInd w:w="-57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1129"/>
            <w:gridCol w:w="1134"/>
            <w:gridCol w:w="1134"/>
            <w:gridCol w:w="1134"/>
            <w:gridCol w:w="997"/>
            <w:gridCol w:w="1134"/>
            <w:gridCol w:w="993"/>
            <w:gridCol w:w="1275"/>
            <w:gridCol w:w="993"/>
            <w:tblGridChange w:id="0">
              <w:tblGrid>
                <w:gridCol w:w="1129"/>
                <w:gridCol w:w="1134"/>
                <w:gridCol w:w="1134"/>
                <w:gridCol w:w="1134"/>
                <w:gridCol w:w="997"/>
                <w:gridCol w:w="1134"/>
                <w:gridCol w:w="993"/>
                <w:gridCol w:w="1275"/>
                <w:gridCol w:w="993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Mar>
                  <w:left w:w="57.0" w:type="dxa"/>
                  <w:right w:w="57.0" w:type="dxa"/>
                </w:tcMar>
              </w:tcPr>
              <w:p w:rsidR="00000000" w:rsidDel="00000000" w:rsidP="00000000" w:rsidRDefault="00000000" w:rsidRPr="00000000" w14:paraId="00000072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Scenario</w:t>
                </w:r>
              </w:p>
            </w:tc>
            <w:tc>
              <w:tcPr>
                <w:tcMar>
                  <w:left w:w="57.0" w:type="dxa"/>
                  <w:right w:w="57.0" w:type="dxa"/>
                </w:tcMar>
              </w:tcPr>
              <w:p w:rsidR="00000000" w:rsidDel="00000000" w:rsidP="00000000" w:rsidRDefault="00000000" w:rsidRPr="00000000" w14:paraId="00000073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Experienced data rate (DL)</w:t>
                </w:r>
              </w:p>
            </w:tc>
            <w:tc>
              <w:tcPr>
                <w:tcMar>
                  <w:left w:w="57.0" w:type="dxa"/>
                  <w:right w:w="57.0" w:type="dxa"/>
                </w:tcMar>
              </w:tcPr>
              <w:p w:rsidR="00000000" w:rsidDel="00000000" w:rsidP="00000000" w:rsidRDefault="00000000" w:rsidRPr="00000000" w14:paraId="00000074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Experienced data rate (UL)</w:t>
                </w:r>
              </w:p>
            </w:tc>
            <w:tc>
              <w:tcPr>
                <w:tcMar>
                  <w:left w:w="57.0" w:type="dxa"/>
                  <w:right w:w="57.0" w:type="dxa"/>
                </w:tcMar>
              </w:tcPr>
              <w:p w:rsidR="00000000" w:rsidDel="00000000" w:rsidP="00000000" w:rsidRDefault="00000000" w:rsidRPr="00000000" w14:paraId="00000075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Area traffic capacity</w:t>
                </w:r>
              </w:p>
              <w:p w:rsidR="00000000" w:rsidDel="00000000" w:rsidP="00000000" w:rsidRDefault="00000000" w:rsidRPr="00000000" w14:paraId="00000076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(DL) </w:t>
                </w:r>
              </w:p>
              <w:p w:rsidR="00000000" w:rsidDel="00000000" w:rsidP="00000000" w:rsidRDefault="00000000" w:rsidRPr="00000000" w14:paraId="00000077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(note 1)</w:t>
                </w:r>
              </w:p>
            </w:tc>
            <w:tc>
              <w:tcPr>
                <w:tcMar>
                  <w:left w:w="57.0" w:type="dxa"/>
                  <w:right w:w="57.0" w:type="dxa"/>
                </w:tcMar>
              </w:tcPr>
              <w:p w:rsidR="00000000" w:rsidDel="00000000" w:rsidP="00000000" w:rsidRDefault="00000000" w:rsidRPr="00000000" w14:paraId="00000078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Area traffic capacity</w:t>
                </w:r>
              </w:p>
              <w:p w:rsidR="00000000" w:rsidDel="00000000" w:rsidP="00000000" w:rsidRDefault="00000000" w:rsidRPr="00000000" w14:paraId="00000079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(UL) </w:t>
                </w:r>
              </w:p>
              <w:p w:rsidR="00000000" w:rsidDel="00000000" w:rsidP="00000000" w:rsidRDefault="00000000" w:rsidRPr="00000000" w14:paraId="0000007A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(note 1)</w:t>
                </w:r>
              </w:p>
            </w:tc>
            <w:tc>
              <w:tcPr>
                <w:tcMar>
                  <w:left w:w="57.0" w:type="dxa"/>
                  <w:right w:w="57.0" w:type="dxa"/>
                </w:tcMar>
              </w:tcPr>
              <w:p w:rsidR="00000000" w:rsidDel="00000000" w:rsidP="00000000" w:rsidRDefault="00000000" w:rsidRPr="00000000" w14:paraId="0000007B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Overall user density </w:t>
                </w:r>
              </w:p>
            </w:tc>
            <w:tc>
              <w:tcPr>
                <w:tcMar>
                  <w:left w:w="57.0" w:type="dxa"/>
                  <w:right w:w="57.0" w:type="dxa"/>
                </w:tcMar>
              </w:tcPr>
              <w:p w:rsidR="00000000" w:rsidDel="00000000" w:rsidP="00000000" w:rsidRDefault="00000000" w:rsidRPr="00000000" w14:paraId="0000007C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Activity factor</w:t>
                </w:r>
              </w:p>
            </w:tc>
            <w:tc>
              <w:tcPr>
                <w:tcMar>
                  <w:left w:w="57.0" w:type="dxa"/>
                  <w:right w:w="57.0" w:type="dxa"/>
                </w:tcMar>
              </w:tcPr>
              <w:p w:rsidR="00000000" w:rsidDel="00000000" w:rsidP="00000000" w:rsidRDefault="00000000" w:rsidRPr="00000000" w14:paraId="0000007D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UE speed</w:t>
                </w:r>
              </w:p>
            </w:tc>
            <w:tc>
              <w:tcPr>
                <w:tcMar>
                  <w:left w:w="57.0" w:type="dxa"/>
                  <w:right w:w="57.0" w:type="dxa"/>
                </w:tcMar>
              </w:tcPr>
              <w:p w:rsidR="00000000" w:rsidDel="00000000" w:rsidP="00000000" w:rsidRDefault="00000000" w:rsidRPr="00000000" w14:paraId="0000007E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UE type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Mar>
                  <w:top w:w="0.0" w:type="dxa"/>
                  <w:left w:w="60.0" w:type="dxa"/>
                  <w:bottom w:w="0.0" w:type="dxa"/>
                  <w:right w:w="60.0" w:type="dxa"/>
                </w:tcMar>
                <w:vAlign w:val="top"/>
              </w:tcPr>
              <w:p w:rsidR="00000000" w:rsidDel="00000000" w:rsidP="00000000" w:rsidRDefault="00000000" w:rsidRPr="00000000" w14:paraId="0000007F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Airplanes connectivity in  airports vicinity (within 20 km airport radius, up to 1500 m)</w:t>
                </w:r>
              </w:p>
            </w:tc>
            <w:tc>
              <w:tcPr>
                <w:tcMar>
                  <w:top w:w="0.0" w:type="dxa"/>
                  <w:left w:w="60.0" w:type="dxa"/>
                  <w:bottom w:w="0.0" w:type="dxa"/>
                  <w:right w:w="60.0" w:type="dxa"/>
                </w:tcMar>
                <w:vAlign w:val="top"/>
              </w:tcPr>
              <w:p w:rsidR="00000000" w:rsidDel="00000000" w:rsidP="00000000" w:rsidRDefault="00000000" w:rsidRPr="00000000" w14:paraId="00000080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11 Gbit/s/ plane</w:t>
                </w:r>
              </w:p>
            </w:tc>
            <w:tc>
              <w:tcPr>
                <w:tcMar>
                  <w:top w:w="0.0" w:type="dxa"/>
                  <w:left w:w="60.0" w:type="dxa"/>
                  <w:bottom w:w="0.0" w:type="dxa"/>
                  <w:right w:w="60.0" w:type="dxa"/>
                </w:tcMar>
                <w:vAlign w:val="top"/>
              </w:tcPr>
              <w:p w:rsidR="00000000" w:rsidDel="00000000" w:rsidP="00000000" w:rsidRDefault="00000000" w:rsidRPr="00000000" w14:paraId="00000081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22 Gbit/s/ plane</w:t>
                </w:r>
              </w:p>
            </w:tc>
            <w:tc>
              <w:tcPr>
                <w:tcMar>
                  <w:top w:w="0.0" w:type="dxa"/>
                  <w:left w:w="60.0" w:type="dxa"/>
                  <w:bottom w:w="0.0" w:type="dxa"/>
                  <w:right w:w="60.0" w:type="dxa"/>
                </w:tcMar>
                <w:vAlign w:val="top"/>
              </w:tcPr>
              <w:p w:rsidR="00000000" w:rsidDel="00000000" w:rsidP="00000000" w:rsidRDefault="00000000" w:rsidRPr="00000000" w14:paraId="00000082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TBD</w:t>
                </w:r>
              </w:p>
            </w:tc>
            <w:tc>
              <w:tcPr>
                <w:tcMar>
                  <w:top w:w="0.0" w:type="dxa"/>
                  <w:left w:w="60.0" w:type="dxa"/>
                  <w:bottom w:w="0.0" w:type="dxa"/>
                  <w:right w:w="60.0" w:type="dxa"/>
                </w:tcMar>
                <w:vAlign w:val="top"/>
              </w:tcPr>
              <w:p w:rsidR="00000000" w:rsidDel="00000000" w:rsidP="00000000" w:rsidRDefault="00000000" w:rsidRPr="00000000" w14:paraId="00000083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TBD</w:t>
                </w:r>
              </w:p>
            </w:tc>
            <w:tc>
              <w:tcPr>
                <w:tcMar>
                  <w:top w:w="0.0" w:type="dxa"/>
                  <w:left w:w="60.0" w:type="dxa"/>
                  <w:bottom w:w="0.0" w:type="dxa"/>
                  <w:right w:w="60.0" w:type="dxa"/>
                </w:tcMar>
                <w:vAlign w:val="top"/>
              </w:tcPr>
              <w:p w:rsidR="00000000" w:rsidDel="00000000" w:rsidP="00000000" w:rsidRDefault="00000000" w:rsidRPr="00000000" w14:paraId="00000084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TBD</w:t>
                </w:r>
              </w:p>
            </w:tc>
            <w:tc>
              <w:tcPr>
                <w:tcMar>
                  <w:top w:w="0.0" w:type="dxa"/>
                  <w:left w:w="60.0" w:type="dxa"/>
                  <w:bottom w:w="0.0" w:type="dxa"/>
                  <w:right w:w="60.0" w:type="dxa"/>
                </w:tcMar>
                <w:vAlign w:val="top"/>
              </w:tcPr>
              <w:p w:rsidR="00000000" w:rsidDel="00000000" w:rsidP="00000000" w:rsidRDefault="00000000" w:rsidRPr="00000000" w14:paraId="00000085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N/A</w:t>
                </w:r>
              </w:p>
            </w:tc>
            <w:tc>
              <w:tcPr>
                <w:tcMar>
                  <w:top w:w="0.0" w:type="dxa"/>
                  <w:left w:w="60.0" w:type="dxa"/>
                  <w:bottom w:w="0.0" w:type="dxa"/>
                  <w:right w:w="60.0" w:type="dxa"/>
                </w:tcMar>
                <w:vAlign w:val="top"/>
              </w:tcPr>
              <w:p w:rsidR="00000000" w:rsidDel="00000000" w:rsidP="00000000" w:rsidRDefault="00000000" w:rsidRPr="00000000" w14:paraId="00000086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Up to 350km/h</w:t>
                </w:r>
              </w:p>
            </w:tc>
            <w:tc>
              <w:tcPr>
                <w:tcMar>
                  <w:top w:w="0.0" w:type="dxa"/>
                  <w:left w:w="60.0" w:type="dxa"/>
                  <w:bottom w:w="0.0" w:type="dxa"/>
                  <w:right w:w="60.0" w:type="dxa"/>
                </w:tcMar>
                <w:vAlign w:val="top"/>
              </w:tcPr>
              <w:p w:rsidR="00000000" w:rsidDel="00000000" w:rsidP="00000000" w:rsidRDefault="00000000" w:rsidRPr="00000000" w14:paraId="00000087">
                <w:pPr>
                  <w:keepNext w:val="1"/>
                  <w:keepLines w:val="1"/>
                  <w:spacing w:after="0" w:lineRule="auto"/>
                  <w:ind w:hanging="2"/>
                  <w:jc w:val="center"/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6"/>
                    <w:szCs w:val="16"/>
                    <w:rtl w:val="0"/>
                  </w:rPr>
                  <w:t xml:space="preserve">Airplane mounted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9"/>
              </w:tcPr>
              <w:p w:rsidR="00000000" w:rsidDel="00000000" w:rsidP="00000000" w:rsidRDefault="00000000" w:rsidRPr="00000000" w14:paraId="00000088">
                <w:pPr>
                  <w:keepNext w:val="1"/>
                  <w:keepLines w:val="1"/>
                  <w:spacing w:after="0" w:lineRule="auto"/>
                  <w:ind w:hanging="2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Note 1: </w:t>
                </w:r>
              </w:p>
              <w:p w:rsidR="00000000" w:rsidDel="00000000" w:rsidP="00000000" w:rsidRDefault="00000000" w:rsidRPr="00000000" w14:paraId="00000089">
                <w:pPr>
                  <w:keepNext w:val="1"/>
                  <w:keepLines w:val="1"/>
                  <w:numPr>
                    <w:ilvl w:val="0"/>
                    <w:numId w:val="1"/>
                  </w:numPr>
                  <w:spacing w:after="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sdt>
                  <w:sdtPr>
                    <w:tag w:val="goog_rdk_0"/>
                  </w:sdtPr>
                  <w:sdtContent>
                    <w:r w:rsidDel="00000000" w:rsidR="00000000" w:rsidRPr="00000000">
                      <w:rPr>
                        <w:rFonts w:ascii="Arial Unicode MS" w:cs="Arial Unicode MS" w:eastAsia="Arial Unicode MS" w:hAnsi="Arial Unicode MS"/>
                        <w:sz w:val="18"/>
                        <w:szCs w:val="18"/>
                        <w:rtl w:val="0"/>
                      </w:rPr>
                      <w:t xml:space="preserve">Goal to send 10 TByte from aircraft to ground (aircraft 1 hour in 20 km radius → 22 Gbit/s)</w:t>
                    </w:r>
                  </w:sdtContent>
                </w:sdt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92">
      <w:pPr>
        <w:keepLines w:val="1"/>
        <w:ind w:hanging="2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079" w:left="1080" w:right="110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18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38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58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78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598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18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38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58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78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GB"/>
      </w:rPr>
    </w:rPrDefault>
    <w:pPrDefault>
      <w:pPr>
        <w:spacing w:after="1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80" w:before="180" w:lineRule="auto"/>
      <w:ind w:left="1134" w:hanging="1134"/>
    </w:pPr>
    <w:rPr>
      <w:rFonts w:ascii="Arial" w:cs="Arial" w:eastAsia="Arial" w:hAnsi="Arial"/>
      <w:sz w:val="32"/>
      <w:szCs w:val="32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180" w:before="120" w:lineRule="auto"/>
      <w:ind w:left="1134" w:hanging="1134"/>
    </w:pPr>
    <w:rPr>
      <w:rFonts w:ascii="Arial" w:cs="Arial" w:eastAsia="Arial" w:hAnsi="Arial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after="18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GB"/>
    </w:rPr>
  </w:style>
  <w:style w:type="paragraph" w:styleId="Heading2">
    <w:name w:val="Heading 2"/>
    <w:basedOn w:val="Normal"/>
    <w:next w:val="Heading2"/>
    <w:autoRedefine w:val="0"/>
    <w:hidden w:val="0"/>
    <w:qFormat w:val="1"/>
    <w:pPr>
      <w:keepNext w:val="1"/>
      <w:keepLines w:val="1"/>
      <w:suppressAutoHyphens w:val="1"/>
      <w:overflowPunct w:val="0"/>
      <w:autoSpaceDE w:val="0"/>
      <w:autoSpaceDN w:val="0"/>
      <w:adjustRightInd w:val="0"/>
      <w:spacing w:after="180" w:before="180" w:line="1" w:lineRule="atLeast"/>
      <w:ind w:left="1134" w:leftChars="-1" w:rightChars="0" w:hanging="1134" w:firstLineChars="-1"/>
      <w:textDirection w:val="btLr"/>
      <w:textAlignment w:val="baseline"/>
      <w:outlineLvl w:val="1"/>
    </w:pPr>
    <w:rPr>
      <w:rFonts w:ascii="Arial" w:eastAsia="Times New Roman" w:hAnsi="Arial"/>
      <w:w w:val="100"/>
      <w:position w:val="-1"/>
      <w:sz w:val="32"/>
      <w:effect w:val="none"/>
      <w:vertAlign w:val="baseline"/>
      <w:cs w:val="0"/>
      <w:em w:val="none"/>
      <w:lang w:bidi="ar-SA" w:eastAsia="und" w:val="und"/>
    </w:rPr>
  </w:style>
  <w:style w:type="paragraph" w:styleId="Heading3">
    <w:name w:val="Heading 3"/>
    <w:basedOn w:val="Normal"/>
    <w:next w:val="Heading3"/>
    <w:autoRedefine w:val="0"/>
    <w:hidden w:val="0"/>
    <w:qFormat w:val="1"/>
    <w:pPr>
      <w:keepNext w:val="1"/>
      <w:keepLines w:val="1"/>
      <w:suppressAutoHyphens w:val="1"/>
      <w:overflowPunct w:val="0"/>
      <w:autoSpaceDE w:val="0"/>
      <w:autoSpaceDN w:val="0"/>
      <w:adjustRightInd w:val="0"/>
      <w:spacing w:after="180" w:before="120" w:line="1" w:lineRule="atLeast"/>
      <w:ind w:left="1134" w:leftChars="-1" w:rightChars="0" w:hanging="1134" w:firstLineChars="-1"/>
      <w:textDirection w:val="btLr"/>
      <w:textAlignment w:val="baseline"/>
      <w:outlineLvl w:val="2"/>
    </w:pPr>
    <w:rPr>
      <w:rFonts w:ascii="Arial" w:eastAsia="Times New Roman" w:hAnsi="Arial"/>
      <w:w w:val="100"/>
      <w:position w:val="-1"/>
      <w:sz w:val="28"/>
      <w:effect w:val="none"/>
      <w:vertAlign w:val="baseline"/>
      <w:cs w:val="0"/>
      <w:em w:val="none"/>
      <w:lang w:bidi="ar-SA" w:eastAsia="und" w:val="und"/>
    </w:rPr>
  </w:style>
  <w:style w:type="character" w:styleId="DefaultParagraphFont,CharChar">
    <w:name w:val="Default Paragraph Font, Char Char"/>
    <w:next w:val="DefaultParagraphFont,Cha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">
    <w:name w:val=""/>
    <w:basedOn w:val="Normal"/>
    <w:next w:val=""/>
    <w:autoRedefine w:val="0"/>
    <w:hidden w:val="0"/>
    <w:qFormat w:val="0"/>
    <w:pPr>
      <w:suppressAutoHyphens w:val="1"/>
      <w:spacing w:after="160" w:line="240" w:lineRule="atLeast"/>
      <w:ind w:leftChars="-1" w:rightChars="0" w:firstLineChars="-1"/>
      <w:textDirection w:val="btLr"/>
      <w:textAlignment w:val="top"/>
      <w:outlineLvl w:val="0"/>
    </w:pPr>
    <w:rPr>
      <w:rFonts w:ascii="Arial" w:eastAsia="SimSun" w:hAnsi="Arial"/>
      <w:w w:val="100"/>
      <w:position w:val="-1"/>
      <w:sz w:val="20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Heading2Char">
    <w:name w:val="Heading 2 Char"/>
    <w:next w:val="Heading2Char"/>
    <w:autoRedefine w:val="0"/>
    <w:hidden w:val="0"/>
    <w:qFormat w:val="0"/>
    <w:rPr>
      <w:rFonts w:ascii="Arial" w:eastAsia="Times New Roman" w:hAnsi="Arial"/>
      <w:w w:val="100"/>
      <w:position w:val="-1"/>
      <w:sz w:val="32"/>
      <w:effect w:val="none"/>
      <w:vertAlign w:val="baseline"/>
      <w:cs w:val="0"/>
      <w:em w:val="none"/>
      <w:lang/>
    </w:rPr>
  </w:style>
  <w:style w:type="character" w:styleId="Heading3Char">
    <w:name w:val="Heading 3 Char"/>
    <w:next w:val="Heading3Char"/>
    <w:autoRedefine w:val="0"/>
    <w:hidden w:val="0"/>
    <w:qFormat w:val="0"/>
    <w:rPr>
      <w:rFonts w:ascii="Arial" w:eastAsia="Times New Roman" w:hAnsi="Arial"/>
      <w:w w:val="100"/>
      <w:position w:val="-1"/>
      <w:sz w:val="28"/>
      <w:effect w:val="none"/>
      <w:vertAlign w:val="baseline"/>
      <w:cs w:val="0"/>
      <w:em w:val="none"/>
      <w:lang/>
    </w:rPr>
  </w:style>
  <w:style w:type="paragraph" w:styleId="B1">
    <w:name w:val="B1"/>
    <w:basedOn w:val="List"/>
    <w:next w:val="B1"/>
    <w:autoRedefine w:val="0"/>
    <w:hidden w:val="0"/>
    <w:qFormat w:val="0"/>
    <w:pPr>
      <w:suppressAutoHyphens w:val="1"/>
      <w:spacing w:after="180" w:line="1" w:lineRule="atLeast"/>
      <w:ind w:left="568" w:leftChars="-1" w:rightChars="0" w:hanging="284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GB"/>
    </w:rPr>
  </w:style>
  <w:style w:type="paragraph" w:styleId="List">
    <w:name w:val="List"/>
    <w:basedOn w:val="Normal"/>
    <w:next w:val="List"/>
    <w:autoRedefine w:val="0"/>
    <w:hidden w:val="0"/>
    <w:qFormat w:val="0"/>
    <w:pPr>
      <w:suppressAutoHyphens w:val="1"/>
      <w:spacing w:after="180" w:line="1" w:lineRule="atLeast"/>
      <w:ind w:left="283" w:leftChars="-1" w:rightChars="0" w:hanging="283" w:firstLineChars="-1"/>
      <w:contextualSpacing w:val="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/>
    <w:rPr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pPr/>
      <w:rPr/>
      <w:tcPr/>
    </w:tblStylePr>
    <w:tblStylePr w:type="band1Vert">
      <w:pPr/>
      <w:rPr/>
      <w:tcPr/>
    </w:tblStylePr>
    <w:tblStylePr w:type="band2Horz">
      <w:pPr/>
      <w:rPr/>
      <w:tcPr/>
    </w:tblStylePr>
    <w:tblStylePr w:type="band2Vert">
      <w:pPr/>
      <w:rPr/>
      <w:tcPr/>
    </w:tblStylePr>
    <w:tblStylePr w:type="firstCol">
      <w:pPr/>
      <w:rPr/>
      <w:tcPr/>
    </w:tblStylePr>
    <w:tblStylePr w:type="firstRow">
      <w:pPr/>
      <w:rPr/>
      <w:tcPr/>
    </w:tblStylePr>
    <w:tblStylePr w:type="lastCol">
      <w:pPr/>
      <w:rPr/>
      <w:tcPr/>
    </w:tblStylePr>
    <w:tblStylePr w:type="lastRow">
      <w:pPr/>
      <w:rPr/>
      <w:tcPr/>
    </w:tblStylePr>
    <w:tblStylePr w:type="neCell">
      <w:pPr/>
      <w:rPr/>
      <w:tcPr/>
    </w:tblStylePr>
    <w:tblStylePr w:type="nwCell">
      <w:pPr/>
      <w:rPr/>
      <w:tcPr/>
    </w:tblStylePr>
    <w:tblStylePr w:type="seCell">
      <w:pPr/>
      <w:rPr/>
      <w:tcPr/>
    </w:tblStylePr>
    <w:tblStylePr w:type="swCell">
      <w:pPr/>
      <w:rPr/>
      <w:tcPr/>
    </w:tblStyle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amina.boubendir@airbus.com" TargetMode="External"/><Relationship Id="rId8" Type="http://schemas.openxmlformats.org/officeDocument/2006/relationships/hyperlink" Target="mailto:jose_antonio.del_peral_rosado@airbu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ekci3QPaGjv5NN4aNyxqcUKMig==">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2018-08-24T04:38:00Z</dcterms:created>
  <dc:creator>Alain Sultan</dc:creator>
</cp:coreProperties>
</file>