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2CEE1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R5s240584</w:t>
      </w:r>
      <w:r>
        <w:rPr>
          <w:b/>
          <w:i/>
          <w:sz w:val="28"/>
        </w:rPr>
        <w:fldChar w:fldCharType="end"/>
      </w:r>
    </w:p>
    <w:p w14:paraId="46A733BA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Dec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2024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D2F333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77843EF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37B88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C8E163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6881C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317CA7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27F9E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EAD36B9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192B47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9E14FD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9811B8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3541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EC7138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C06615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190D51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0C687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E6CE450">
            <w:pPr>
              <w:pStyle w:val="83"/>
              <w:spacing w:after="0"/>
            </w:pPr>
          </w:p>
        </w:tc>
      </w:tr>
      <w:tr w14:paraId="72A77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4F1FDEF">
            <w:pPr>
              <w:pStyle w:val="83"/>
              <w:spacing w:after="0"/>
            </w:pPr>
          </w:p>
        </w:tc>
      </w:tr>
      <w:tr w14:paraId="1F8B24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ED65517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DF89F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80FB752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60716DE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3073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051930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A43EC7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F0900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771A91F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71D783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65A0D9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5D859A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45E0B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4C8B652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FABFD9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D5E1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C9E956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C0B6D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A3C238B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02C3C20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9.1.10.6</w:t>
            </w:r>
            <w:r>
              <w:fldChar w:fldCharType="end"/>
            </w:r>
          </w:p>
        </w:tc>
      </w:tr>
      <w:tr w14:paraId="098CC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631B88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E2416D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4CD5B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E798F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4E448E5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ROHDE &amp; SCHWARZ</w:t>
            </w:r>
            <w:r>
              <w:fldChar w:fldCharType="end"/>
            </w:r>
          </w:p>
        </w:tc>
      </w:tr>
      <w:tr w14:paraId="0AD7F0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2D9D9C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2045259">
            <w:pPr>
              <w:pStyle w:val="8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73FB4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382C15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AFFED4F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8F72B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20468C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33AE9F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TEI16_Test, eNS-UEConTest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BEE2ED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47DC8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22A39C6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2024-09-23</w:t>
            </w:r>
            <w:r>
              <w:fldChar w:fldCharType="end"/>
            </w:r>
          </w:p>
        </w:tc>
      </w:tr>
      <w:tr w14:paraId="5993F2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D57831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4D686C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ABA0E6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84ABC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067CF9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256DF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BD43EA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4B8DB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E46CC4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D98C9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E4B1AFB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078140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9C38D8A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1994B0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A0E90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DBD7013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8376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943FCD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0520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460C5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14FE63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A5A505">
            <w:pPr>
              <w:pStyle w:val="83"/>
              <w:spacing w:after="0"/>
            </w:pPr>
            <w:r>
              <w:t>In the current TTCN implementation of this testcase, at Steps 29 - 47, the Registration REQ is expected to be integrity protected even when in earlier Steps 28a1-28a21 the USIM has been removed, and the re-inserted (Step 28a25).</w:t>
            </w:r>
          </w:p>
          <w:p w14:paraId="34B8B43E">
            <w:pPr>
              <w:pStyle w:val="83"/>
              <w:spacing w:after="0"/>
            </w:pPr>
          </w:p>
          <w:p w14:paraId="2CE77914">
            <w:pPr>
              <w:pStyle w:val="83"/>
              <w:spacing w:after="0"/>
            </w:pPr>
            <w:r>
              <w:t xml:space="preserve">According to 33.501 cl </w:t>
            </w:r>
            <w:bookmarkStart w:id="0" w:name="OLE_LINK1"/>
            <w:r>
              <w:t>6.2.2.2</w:t>
            </w:r>
            <w:bookmarkEnd w:id="0"/>
            <w:r>
              <w:t xml:space="preserve"> :</w:t>
            </w:r>
          </w:p>
          <w:p w14:paraId="471CC3D7">
            <w:pPr>
              <w:pStyle w:val="83"/>
              <w:spacing w:after="0"/>
            </w:pPr>
            <w:r>
              <w:t>&lt;&lt;skipped text&gt;&gt;</w:t>
            </w:r>
          </w:p>
          <w:p w14:paraId="3591E533">
            <w:r>
              <w:t>The ME shall perform the generation of all other subsequent keys that are derived from the K</w:t>
            </w:r>
            <w:r>
              <w:rPr>
                <w:vertAlign w:val="subscript"/>
              </w:rPr>
              <w:t>AMF</w:t>
            </w:r>
            <w:r>
              <w:t xml:space="preserve">. </w:t>
            </w:r>
          </w:p>
          <w:p w14:paraId="3912A40E">
            <w:pPr>
              <w:rPr>
                <w:highlight w:val="yellow"/>
              </w:rPr>
            </w:pPr>
            <w:r>
              <w:rPr>
                <w:highlight w:val="yellow"/>
              </w:rPr>
              <w:t>Any 5G security context, K</w:t>
            </w:r>
            <w:r>
              <w:rPr>
                <w:highlight w:val="yellow"/>
                <w:vertAlign w:val="subscript"/>
              </w:rPr>
              <w:t>AUSF</w:t>
            </w:r>
            <w:r>
              <w:rPr>
                <w:highlight w:val="yellow"/>
              </w:rPr>
              <w:t xml:space="preserve"> and K</w:t>
            </w:r>
            <w:r>
              <w:rPr>
                <w:highlight w:val="yellow"/>
                <w:vertAlign w:val="subscript"/>
              </w:rPr>
              <w:t>SEAF</w:t>
            </w:r>
            <w:r>
              <w:rPr>
                <w:highlight w:val="yellow"/>
              </w:rPr>
              <w:t xml:space="preserve"> that are stored at the ME shall be deleted from the ME if:</w:t>
            </w:r>
          </w:p>
          <w:p w14:paraId="1B2C6E5A">
            <w:pPr>
              <w:pStyle w:val="77"/>
            </w:pPr>
            <w:r>
              <w:rPr>
                <w:highlight w:val="yellow"/>
              </w:rPr>
              <w:t>a)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the USIM is removed from the ME when the ME is in power on state;</w:t>
            </w:r>
          </w:p>
          <w:p w14:paraId="12922E31">
            <w:pPr>
              <w:pStyle w:val="77"/>
            </w:pPr>
            <w:r>
              <w:t>b)</w:t>
            </w:r>
            <w:r>
              <w:tab/>
            </w:r>
            <w:r>
              <w:t>the ME is powered up and the ME discovers that the USIM is different from the one which was used to create the 5G security context;</w:t>
            </w:r>
          </w:p>
          <w:p w14:paraId="0D02C9D2">
            <w:pPr>
              <w:pStyle w:val="83"/>
              <w:spacing w:after="0"/>
            </w:pPr>
            <w:r>
              <w:t>&lt;&lt;skipped text&gt;&gt;</w:t>
            </w:r>
          </w:p>
          <w:p w14:paraId="3F0543B9">
            <w:pPr>
              <w:pStyle w:val="83"/>
              <w:spacing w:after="0"/>
            </w:pPr>
          </w:p>
          <w:p w14:paraId="4803E028">
            <w:pPr>
              <w:pStyle w:val="83"/>
              <w:spacing w:after="0"/>
            </w:pPr>
            <w:r>
              <w:t>Thus, at Steps 29-47, depending on whether USIM was removed earlier the Registration REQ might come unprotected.</w:t>
            </w:r>
          </w:p>
          <w:p w14:paraId="713E76CF">
            <w:pPr>
              <w:pStyle w:val="83"/>
              <w:spacing w:after="0"/>
              <w:ind w:left="100"/>
            </w:pPr>
            <w:r>
              <w:t>This needs to be handled.</w:t>
            </w:r>
          </w:p>
        </w:tc>
      </w:tr>
      <w:tr w14:paraId="25D3B8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971675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4540C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53930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4A060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5792BA">
            <w:pPr>
              <w:pStyle w:val="83"/>
              <w:spacing w:after="0"/>
            </w:pPr>
            <w:r>
              <w:t>Re-worked TTCN implementation of Steps 29 – 47 to handle the USIM removal case.</w:t>
            </w:r>
          </w:p>
          <w:p w14:paraId="20D4F7F5">
            <w:pPr>
              <w:pStyle w:val="83"/>
              <w:spacing w:after="0"/>
              <w:ind w:left="100"/>
            </w:pPr>
            <w:r>
              <w:t>Please see below.</w:t>
            </w:r>
          </w:p>
        </w:tc>
      </w:tr>
      <w:tr w14:paraId="3594DC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FABEDD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78EFD0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A59F7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AC8B2E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835B7E">
            <w:pPr>
              <w:pStyle w:val="83"/>
              <w:spacing w:after="0"/>
              <w:ind w:left="100"/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14:paraId="6C99C1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872CD7F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27BF2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0D035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1A48D0E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C42BC7">
            <w:pPr>
              <w:pStyle w:val="83"/>
              <w:spacing w:after="0"/>
              <w:ind w:left="100"/>
            </w:pPr>
            <w:r>
              <w:t>9.1.10.6.NR5GC</w:t>
            </w:r>
          </w:p>
        </w:tc>
      </w:tr>
      <w:tr w14:paraId="4EBFFC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8F2F2D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11AA52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9AAB4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4B9B7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D97B1B9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F89ADFF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E4D46C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B60354">
            <w:pPr>
              <w:pStyle w:val="83"/>
              <w:spacing w:after="0"/>
              <w:ind w:left="99"/>
            </w:pPr>
          </w:p>
        </w:tc>
      </w:tr>
      <w:tr w14:paraId="6C133B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4D7120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DA9AA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6D221D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273A6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1DB7B3A">
            <w:pPr>
              <w:pStyle w:val="83"/>
              <w:spacing w:after="0"/>
              <w:ind w:left="99"/>
            </w:pPr>
          </w:p>
        </w:tc>
      </w:tr>
      <w:tr w14:paraId="43F91A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D80EDC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3BEE5D0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8338DF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29BAD3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F0F522">
            <w:pPr>
              <w:pStyle w:val="83"/>
              <w:spacing w:after="0"/>
              <w:ind w:left="99"/>
            </w:pPr>
          </w:p>
        </w:tc>
      </w:tr>
      <w:tr w14:paraId="39E5AB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2ED0A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FC7625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4D374C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4F0785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E059E7">
            <w:pPr>
              <w:pStyle w:val="83"/>
              <w:spacing w:after="0"/>
              <w:ind w:left="99"/>
            </w:pPr>
          </w:p>
        </w:tc>
      </w:tr>
      <w:tr w14:paraId="2830CD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AF39971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E525919">
            <w:pPr>
              <w:pStyle w:val="83"/>
              <w:spacing w:after="0"/>
            </w:pPr>
          </w:p>
        </w:tc>
      </w:tr>
      <w:tr w14:paraId="7BA3DA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3531FE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FB2413">
            <w:pPr>
              <w:pStyle w:val="83"/>
              <w:spacing w:after="0"/>
              <w:ind w:left="100"/>
            </w:pPr>
          </w:p>
        </w:tc>
      </w:tr>
      <w:tr w14:paraId="43C5C1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F7971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6B69C6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756A7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A7918A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B870EFB">
            <w:pPr>
              <w:pStyle w:val="83"/>
              <w:spacing w:after="0"/>
              <w:ind w:left="100"/>
            </w:pPr>
          </w:p>
        </w:tc>
      </w:tr>
    </w:tbl>
    <w:p w14:paraId="226C42E3">
      <w:pPr>
        <w:pStyle w:val="83"/>
        <w:spacing w:after="0"/>
        <w:rPr>
          <w:sz w:val="8"/>
          <w:szCs w:val="8"/>
        </w:rPr>
      </w:pPr>
    </w:p>
    <w:p w14:paraId="21629ECC"/>
    <w:p w14:paraId="1DE3C44B">
      <w:pPr>
        <w:pStyle w:val="83"/>
        <w:spacing w:after="0"/>
        <w:rPr>
          <w:sz w:val="8"/>
          <w:szCs w:val="8"/>
        </w:rPr>
      </w:pPr>
    </w:p>
    <w:p w14:paraId="5FEF7D76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00E7052">
      <w:pPr>
        <w:pStyle w:val="41"/>
        <w:jc w:val="left"/>
        <w:rPr>
          <w:rStyle w:val="46"/>
          <w:rFonts w:ascii="Arial" w:hAnsi="Arial" w:cs="Arial"/>
          <w:b w:val="0"/>
          <w:i w:val="0"/>
          <w:lang w:eastAsia="en-GB"/>
        </w:rPr>
      </w:pPr>
      <w:bookmarkStart w:id="1" w:name="_Toc177973098"/>
      <w:r>
        <w:rPr>
          <w:rStyle w:val="46"/>
          <w:rFonts w:ascii="Arial" w:hAnsi="Arial" w:cs="Arial"/>
          <w:b w:val="0"/>
          <w:i w:val="0"/>
        </w:rPr>
        <w:t>Table of Contents</w:t>
      </w:r>
      <w:bookmarkEnd w:id="1"/>
    </w:p>
    <w:p w14:paraId="219EDA10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_Toc177973098 \h </w:instrText>
      </w:r>
      <w:r>
        <w:fldChar w:fldCharType="separate"/>
      </w:r>
      <w:r>
        <w:t>3</w:t>
      </w:r>
      <w:r>
        <w:fldChar w:fldCharType="end"/>
      </w:r>
    </w:p>
    <w:p w14:paraId="66204ECF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t>1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_Toc177973099 \h </w:instrText>
      </w:r>
      <w:r>
        <w:fldChar w:fldCharType="separate"/>
      </w:r>
      <w:r>
        <w:t>4</w:t>
      </w:r>
      <w:r>
        <w:fldChar w:fldCharType="end"/>
      </w:r>
    </w:p>
    <w:p w14:paraId="007C417B">
      <w:pPr>
        <w:pStyle w:val="21"/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t>2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_Toc177973100 \h </w:instrText>
      </w:r>
      <w:r>
        <w:fldChar w:fldCharType="separate"/>
      </w:r>
      <w:r>
        <w:t>4</w:t>
      </w:r>
      <w:r>
        <w:fldChar w:fldCharType="end"/>
      </w:r>
    </w:p>
    <w:p w14:paraId="39E8BCD6">
      <w:pPr>
        <w:pStyle w:val="20"/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  <w:b/>
          <w:lang w:eastAsia="en-GB"/>
        </w:rPr>
        <w:t>2.1</w:t>
      </w:r>
      <w:r>
        <w:rPr>
          <w:rFonts w:asciiTheme="minorHAnsi" w:hAnsiTheme="minorHAnsi" w:eastAsiaTheme="minorEastAsia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_Toc177973101 \h </w:instrText>
      </w:r>
      <w:r>
        <w:fldChar w:fldCharType="separate"/>
      </w:r>
      <w:r>
        <w:t>4</w:t>
      </w:r>
      <w:r>
        <w:fldChar w:fldCharType="end"/>
      </w:r>
    </w:p>
    <w:p w14:paraId="133625EB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1F5973E7"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77973099"/>
      <w:r>
        <w:rPr>
          <w:rFonts w:cs="Arial"/>
        </w:rPr>
        <w:t>Overview</w:t>
      </w:r>
      <w:bookmarkEnd w:id="2"/>
      <w:bookmarkEnd w:id="3"/>
    </w:p>
    <w:p w14:paraId="45C01BFE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>
        <w:rPr>
          <w:rFonts w:cs="Arial"/>
        </w:rPr>
        <w:t xml:space="preserve">iwd-TTCN3-B2024-06_D24wk37 </w:t>
      </w:r>
      <w:r>
        <w:rPr>
          <w:rFonts w:cs="Arial"/>
          <w:sz w:val="24"/>
          <w:lang w:eastAsia="ja-JP"/>
        </w:rPr>
        <w:t>related to the title of this CR.</w:t>
      </w:r>
    </w:p>
    <w:p w14:paraId="75FEA627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Parikshit Bhise</w:t>
      </w:r>
    </w:p>
    <w:p w14:paraId="45391FED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>
        <w:fldChar w:fldCharType="begin"/>
      </w:r>
      <w:r>
        <w:instrText xml:space="preserve"> HYPERLINK "mailto:parikshit.bhise@rohde-schwarz.com" </w:instrText>
      </w:r>
      <w:r>
        <w:fldChar w:fldCharType="separate"/>
      </w:r>
      <w:r>
        <w:rPr>
          <w:rStyle w:val="47"/>
          <w:rFonts w:cs="Arial"/>
          <w:sz w:val="24"/>
          <w:lang w:eastAsia="ja-JP"/>
        </w:rPr>
        <w:t>parikshit.bhise@rohde-schwarz.com</w:t>
      </w:r>
      <w:r>
        <w:rPr>
          <w:rStyle w:val="47"/>
          <w:rFonts w:cs="Arial"/>
          <w:sz w:val="24"/>
          <w:lang w:eastAsia="ja-JP"/>
        </w:rPr>
        <w:fldChar w:fldCharType="end"/>
      </w:r>
      <w:r>
        <w:rPr>
          <w:rFonts w:cs="Arial"/>
          <w:sz w:val="24"/>
          <w:lang w:eastAsia="ja-JP"/>
        </w:rPr>
        <w:t xml:space="preserve"> </w:t>
      </w:r>
    </w:p>
    <w:p w14:paraId="3B8AA762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3D35ABE9"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6" w:name="_Toc177973100"/>
      <w:r>
        <w:rPr>
          <w:rFonts w:cs="Arial"/>
        </w:rPr>
        <w:t>Corrections required</w:t>
      </w:r>
      <w:bookmarkEnd w:id="4"/>
      <w:bookmarkEnd w:id="5"/>
      <w:bookmarkEnd w:id="6"/>
    </w:p>
    <w:p w14:paraId="4F10D1BA"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7973101"/>
      <w:bookmarkStart w:id="8" w:name="_Toc295288970"/>
      <w:bookmarkStart w:id="9" w:name="_Toc122434493"/>
      <w:bookmarkStart w:id="10" w:name="_Toc325725665"/>
      <w:r>
        <w:rPr>
          <w:rFonts w:cs="Arial"/>
          <w:b/>
          <w:color w:val="000000"/>
          <w:lang w:eastAsia="en-GB"/>
        </w:rPr>
        <w:t>Change 1</w:t>
      </w:r>
      <w:bookmarkEnd w:id="7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 w14:paraId="54C84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A9C5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DAD25">
            <w:pPr>
              <w:pStyle w:val="83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t>fl_TC_9_1_10_6_TestBody</w:t>
            </w:r>
          </w:p>
        </w:tc>
      </w:tr>
      <w:tr w14:paraId="47DD8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D888F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44738">
            <w:pPr>
              <w:pStyle w:val="83"/>
              <w:spacing w:after="0"/>
            </w:pPr>
            <w:r>
              <w:t>In the current TTCN implementation of this testcase, at Steps 29 - 47, the Registration REQ is expected to be integrity protected even when in earlier Steps 28a1-28a21 the USIM has been removed, and the re-inserted (Step 28a25).</w:t>
            </w:r>
          </w:p>
          <w:p w14:paraId="635CF77F">
            <w:pPr>
              <w:pStyle w:val="83"/>
              <w:spacing w:after="0"/>
            </w:pPr>
          </w:p>
          <w:p w14:paraId="008FC045">
            <w:pPr>
              <w:pStyle w:val="83"/>
              <w:spacing w:after="0"/>
            </w:pPr>
            <w:r>
              <w:t>According to 33.501 cl 6.2.2.2 :</w:t>
            </w:r>
          </w:p>
          <w:p w14:paraId="25CFD795">
            <w:pPr>
              <w:pStyle w:val="83"/>
              <w:spacing w:after="0"/>
            </w:pPr>
            <w:r>
              <w:t>&lt;&lt;skipped text&gt;&gt;</w:t>
            </w:r>
          </w:p>
          <w:p w14:paraId="318E31AB">
            <w:r>
              <w:t>The ME shall perform the generation of all other subsequent keys that are derived from the K</w:t>
            </w:r>
            <w:r>
              <w:rPr>
                <w:vertAlign w:val="subscript"/>
              </w:rPr>
              <w:t>AMF</w:t>
            </w:r>
            <w:r>
              <w:t xml:space="preserve">. </w:t>
            </w:r>
          </w:p>
          <w:p w14:paraId="3714377D">
            <w:pPr>
              <w:rPr>
                <w:highlight w:val="yellow"/>
              </w:rPr>
            </w:pPr>
            <w:r>
              <w:rPr>
                <w:highlight w:val="yellow"/>
              </w:rPr>
              <w:t>Any 5G security context, K</w:t>
            </w:r>
            <w:r>
              <w:rPr>
                <w:highlight w:val="yellow"/>
                <w:vertAlign w:val="subscript"/>
              </w:rPr>
              <w:t>AUSF</w:t>
            </w:r>
            <w:r>
              <w:rPr>
                <w:highlight w:val="yellow"/>
              </w:rPr>
              <w:t xml:space="preserve"> and K</w:t>
            </w:r>
            <w:r>
              <w:rPr>
                <w:highlight w:val="yellow"/>
                <w:vertAlign w:val="subscript"/>
              </w:rPr>
              <w:t>SEAF</w:t>
            </w:r>
            <w:r>
              <w:rPr>
                <w:highlight w:val="yellow"/>
              </w:rPr>
              <w:t xml:space="preserve"> that are stored at the ME shall be deleted from the ME if:</w:t>
            </w:r>
          </w:p>
          <w:p w14:paraId="1DA187BF">
            <w:pPr>
              <w:pStyle w:val="77"/>
            </w:pPr>
            <w:r>
              <w:rPr>
                <w:highlight w:val="yellow"/>
              </w:rPr>
              <w:t>a)</w:t>
            </w:r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the USIM is removed from the ME when the ME is in power on state;</w:t>
            </w:r>
          </w:p>
          <w:p w14:paraId="58E17790">
            <w:pPr>
              <w:pStyle w:val="77"/>
            </w:pPr>
            <w:r>
              <w:t>b)</w:t>
            </w:r>
            <w:r>
              <w:tab/>
            </w:r>
            <w:r>
              <w:t>the ME is powered up and the ME discovers that the USIM is different from the one which was used to create the 5G security context;</w:t>
            </w:r>
          </w:p>
          <w:p w14:paraId="5CB4AC99">
            <w:pPr>
              <w:pStyle w:val="83"/>
              <w:spacing w:after="0"/>
            </w:pPr>
            <w:r>
              <w:t>&lt;&lt;skipped text&gt;&gt;</w:t>
            </w:r>
          </w:p>
          <w:p w14:paraId="1A4E48E5">
            <w:pPr>
              <w:pStyle w:val="83"/>
              <w:spacing w:after="0"/>
            </w:pPr>
          </w:p>
          <w:p w14:paraId="484F2E77">
            <w:pPr>
              <w:pStyle w:val="83"/>
              <w:spacing w:after="0"/>
            </w:pPr>
            <w:r>
              <w:t>Thus, at Steps 29-47, depending on whether USIM was removed earlier the Registration REQ might come unprotected.</w:t>
            </w:r>
          </w:p>
          <w:p w14:paraId="66939C3C">
            <w:pPr>
              <w:pStyle w:val="83"/>
              <w:spacing w:after="0"/>
              <w:rPr>
                <w:lang w:eastAsia="zh-CN"/>
              </w:rPr>
            </w:pPr>
            <w:r>
              <w:t>This needs to be handled.</w:t>
            </w:r>
          </w:p>
        </w:tc>
      </w:tr>
      <w:tr w14:paraId="1DA8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E5033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06F9">
            <w:pPr>
              <w:pStyle w:val="83"/>
              <w:spacing w:after="0"/>
            </w:pPr>
            <w:r>
              <w:t>Re-worked TTCN implementation of Steps 29 – 47 to handle the USIM removal case.</w:t>
            </w:r>
          </w:p>
          <w:p w14:paraId="00CEEEB6">
            <w:pPr>
              <w:pStyle w:val="83"/>
              <w:spacing w:after="0"/>
            </w:pPr>
            <w:r>
              <w:t>Please see below.</w:t>
            </w:r>
          </w:p>
        </w:tc>
      </w:tr>
      <w:tr w14:paraId="6FA6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806CA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96577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NetworkSlicingEnh_NR5GC.ttcn</w:t>
            </w:r>
          </w:p>
        </w:tc>
      </w:tr>
      <w:tr w14:paraId="4027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8833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DD455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hint="eastAsia" w:ascii="Arial" w:hAnsi="Arial" w:cs="Arial"/>
                <w:highlight w:val="cyan"/>
                <w:lang w:eastAsia="zh-CN"/>
              </w:rPr>
              <w:t>Accepted.</w:t>
            </w:r>
            <w:bookmarkStart w:id="11" w:name="_GoBack"/>
            <w:bookmarkEnd w:id="11"/>
          </w:p>
        </w:tc>
      </w:tr>
    </w:tbl>
    <w:p w14:paraId="455CB095">
      <w:pPr>
        <w:rPr>
          <w:lang w:eastAsia="en-GB"/>
        </w:rPr>
      </w:pPr>
    </w:p>
    <w:p w14:paraId="0FEF26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 w14:paraId="4B32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256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3AD99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//@siclog "Step 29 - 47"</w:t>
            </w:r>
          </w:p>
          <w:p w14:paraId="45E493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2 to 20a1 of the generic procedure for NR RRC_IDLE specified in TS 38.508-1 subclause 4.5.2 are performed.</w:t>
            </w:r>
          </w:p>
          <w:p w14:paraId="6CF729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f_NR5GC_RRC_IdleState1N_Def(v_NGC_NASCellA);</w:t>
            </w:r>
          </w:p>
          <w:p w14:paraId="60F2EE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7364C3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}//End of Module</w:t>
            </w:r>
          </w:p>
          <w:p w14:paraId="4ECA8A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6BD430BA">
      <w:pPr>
        <w:spacing w:after="0"/>
        <w:rPr>
          <w:rFonts w:ascii="Arial" w:hAnsi="Arial"/>
          <w:color w:val="000000"/>
          <w:lang w:eastAsia="en-GB"/>
        </w:rPr>
      </w:pPr>
    </w:p>
    <w:p w14:paraId="465E4FD9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3"/>
      </w:tblGrid>
      <w:tr w14:paraId="6067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3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10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4042E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//@siclog "Step 29 - 47"</w:t>
            </w:r>
          </w:p>
          <w:p w14:paraId="0F8790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//Steps 2 to 20a1 of the generic procedure for NR RRC_IDLE specified in TS 38.508-1 subclause 4.5.2 are performed.</w:t>
            </w:r>
          </w:p>
          <w:p w14:paraId="091D3E0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if(pc_USIM_Removal) {    </w:t>
            </w:r>
          </w:p>
          <w:p w14:paraId="41E126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f_NR5GC_RRC_IdleState1N_Def(v_NGC_NASCellA, -, -, Initial_NoSecurity); //WA#WI1317003 WA#9_1_10_6</w:t>
            </w:r>
          </w:p>
          <w:p w14:paraId="758256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 else {</w:t>
            </w:r>
          </w:p>
          <w:p w14:paraId="243B6C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f_NR5GC_RRC_IdleState1N_Def(v_NGC_NASCellA);</w:t>
            </w:r>
          </w:p>
          <w:p w14:paraId="16B55B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4684E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49C6F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}//End of Module</w:t>
            </w:r>
          </w:p>
        </w:tc>
      </w:tr>
      <w:bookmarkEnd w:id="8"/>
      <w:bookmarkEnd w:id="9"/>
      <w:bookmarkEnd w:id="10"/>
    </w:tbl>
    <w:p w14:paraId="71E1A786">
      <w:pPr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05492"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6FD42"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82DD9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A6749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58BC4F5A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58BC4F5A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9D331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60FE3A27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60FE3A27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470E4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7EEE8696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7EEE8696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D45B9"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275EC1AA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275EC1AA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C1539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75F4B6A6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75F4B6A6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41D2B"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02563103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02563103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434A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link w:val="95"/>
    <w:qFormat/>
    <w:uiPriority w:val="0"/>
    <w:pPr>
      <w:outlineLvl w:val="6"/>
    </w:pPr>
  </w:style>
  <w:style w:type="paragraph" w:styleId="10">
    <w:name w:val="heading 8"/>
    <w:basedOn w:val="2"/>
    <w:next w:val="1"/>
    <w:link w:val="9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link w:val="104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02"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0"/>
    <w:uiPriority w:val="99"/>
    <w:pPr>
      <w:jc w:val="center"/>
    </w:pPr>
    <w:rPr>
      <w:i/>
    </w:rPr>
  </w:style>
  <w:style w:type="paragraph" w:styleId="34">
    <w:name w:val="header"/>
    <w:link w:val="98"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9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Title"/>
    <w:basedOn w:val="1"/>
    <w:next w:val="1"/>
    <w:link w:val="8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link w:val="103"/>
    <w:semiHidden/>
    <w:uiPriority w:val="0"/>
    <w:rPr>
      <w:b/>
      <w:bCs/>
    </w:rPr>
  </w:style>
  <w:style w:type="character" w:styleId="45">
    <w:name w:val="FollowedHyperlink"/>
    <w:uiPriority w:val="99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uiPriority w:val="0"/>
    <w:rPr>
      <w:color w:val="0000FF"/>
      <w:u w:val="single"/>
    </w:rPr>
  </w:style>
  <w:style w:type="character" w:styleId="48">
    <w:name w:val="annotation reference"/>
    <w:semiHidden/>
    <w:uiPriority w:val="0"/>
    <w:rPr>
      <w:sz w:val="16"/>
    </w:rPr>
  </w:style>
  <w:style w:type="character" w:styleId="49">
    <w:name w:val="footnote reference"/>
    <w:semiHidden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uiPriority w:val="0"/>
    <w:pPr>
      <w:keepNext w:val="0"/>
      <w:spacing w:before="0" w:after="240"/>
    </w:pPr>
  </w:style>
  <w:style w:type="paragraph" w:customStyle="1" w:styleId="57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uiPriority w:val="0"/>
    <w:pPr>
      <w:keepLines/>
      <w:ind w:left="1135" w:hanging="851"/>
    </w:pPr>
  </w:style>
  <w:style w:type="paragraph" w:customStyle="1" w:styleId="59">
    <w:name w:val="EX"/>
    <w:basedOn w:val="1"/>
    <w:uiPriority w:val="0"/>
    <w:pPr>
      <w:keepLines/>
      <w:ind w:left="1702" w:hanging="1418"/>
    </w:pPr>
  </w:style>
  <w:style w:type="paragraph" w:customStyle="1" w:styleId="60">
    <w:name w:val="FP"/>
    <w:basedOn w:val="1"/>
    <w:uiPriority w:val="0"/>
    <w:pPr>
      <w:spacing w:after="0"/>
    </w:pPr>
  </w:style>
  <w:style w:type="paragraph" w:customStyle="1" w:styleId="61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uiPriority w:val="0"/>
  </w:style>
  <w:style w:type="paragraph" w:customStyle="1" w:styleId="75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uiPriority w:val="0"/>
    <w:rPr>
      <w:color w:val="FF0000"/>
    </w:rPr>
  </w:style>
  <w:style w:type="paragraph" w:customStyle="1" w:styleId="77">
    <w:name w:val="B1"/>
    <w:basedOn w:val="14"/>
    <w:link w:val="111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uiPriority w:val="0"/>
  </w:style>
  <w:style w:type="paragraph" w:customStyle="1" w:styleId="80">
    <w:name w:val="B4"/>
    <w:basedOn w:val="37"/>
    <w:uiPriority w:val="0"/>
  </w:style>
  <w:style w:type="paragraph" w:customStyle="1" w:styleId="81">
    <w:name w:val="B5"/>
    <w:basedOn w:val="36"/>
    <w:uiPriority w:val="0"/>
  </w:style>
  <w:style w:type="paragraph" w:customStyle="1" w:styleId="82">
    <w:name w:val="ZTD"/>
    <w:basedOn w:val="70"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itle Char"/>
    <w:link w:val="41"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6">
    <w:name w:val="CR Cover Page Char"/>
    <w:link w:val="83"/>
    <w:qFormat/>
    <w:locked/>
    <w:uiPriority w:val="0"/>
    <w:rPr>
      <w:rFonts w:ascii="Arial" w:hAnsi="Arial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89">
    <w:name w:val="Heading 2 Char"/>
    <w:link w:val="3"/>
    <w:uiPriority w:val="0"/>
    <w:rPr>
      <w:rFonts w:ascii="Arial" w:hAnsi="Arial"/>
      <w:sz w:val="32"/>
      <w:lang w:val="en-GB"/>
    </w:rPr>
  </w:style>
  <w:style w:type="character" w:customStyle="1" w:styleId="90">
    <w:name w:val="Heading 1 Char"/>
    <w:link w:val="2"/>
    <w:uiPriority w:val="0"/>
    <w:rPr>
      <w:rFonts w:ascii="Arial" w:hAnsi="Arial"/>
      <w:sz w:val="36"/>
      <w:lang w:val="en-GB"/>
    </w:rPr>
  </w:style>
  <w:style w:type="character" w:customStyle="1" w:styleId="91">
    <w:name w:val="Heading 3 Char"/>
    <w:link w:val="4"/>
    <w:uiPriority w:val="0"/>
    <w:rPr>
      <w:rFonts w:ascii="Arial" w:hAnsi="Arial"/>
      <w:sz w:val="28"/>
      <w:lang w:val="en-GB"/>
    </w:rPr>
  </w:style>
  <w:style w:type="character" w:customStyle="1" w:styleId="92">
    <w:name w:val="Heading 4 Char"/>
    <w:link w:val="5"/>
    <w:uiPriority w:val="0"/>
    <w:rPr>
      <w:rFonts w:ascii="Arial" w:hAnsi="Arial"/>
      <w:sz w:val="24"/>
      <w:lang w:val="en-GB"/>
    </w:rPr>
  </w:style>
  <w:style w:type="character" w:customStyle="1" w:styleId="93">
    <w:name w:val="Heading 5 Char"/>
    <w:link w:val="6"/>
    <w:uiPriority w:val="0"/>
    <w:rPr>
      <w:rFonts w:ascii="Arial" w:hAnsi="Arial"/>
      <w:sz w:val="22"/>
      <w:lang w:val="en-GB"/>
    </w:rPr>
  </w:style>
  <w:style w:type="character" w:customStyle="1" w:styleId="94">
    <w:name w:val="Heading 6 Char"/>
    <w:link w:val="7"/>
    <w:uiPriority w:val="0"/>
    <w:rPr>
      <w:rFonts w:ascii="Arial" w:hAnsi="Arial"/>
      <w:lang w:val="en-GB"/>
    </w:rPr>
  </w:style>
  <w:style w:type="character" w:customStyle="1" w:styleId="95">
    <w:name w:val="Heading 7 Char"/>
    <w:link w:val="9"/>
    <w:uiPriority w:val="0"/>
    <w:rPr>
      <w:rFonts w:ascii="Arial" w:hAnsi="Arial"/>
      <w:lang w:val="en-GB"/>
    </w:rPr>
  </w:style>
  <w:style w:type="character" w:customStyle="1" w:styleId="96">
    <w:name w:val="Heading 8 Char"/>
    <w:link w:val="10"/>
    <w:uiPriority w:val="0"/>
    <w:rPr>
      <w:rFonts w:ascii="Arial" w:hAnsi="Arial"/>
      <w:sz w:val="36"/>
      <w:lang w:val="en-GB"/>
    </w:rPr>
  </w:style>
  <w:style w:type="character" w:customStyle="1" w:styleId="97">
    <w:name w:val="Heading 9 Char"/>
    <w:link w:val="11"/>
    <w:uiPriority w:val="0"/>
    <w:rPr>
      <w:rFonts w:ascii="Arial" w:hAnsi="Arial"/>
      <w:sz w:val="36"/>
      <w:lang w:val="en-GB"/>
    </w:rPr>
  </w:style>
  <w:style w:type="character" w:customStyle="1" w:styleId="98">
    <w:name w:val="Header Char"/>
    <w:link w:val="34"/>
    <w:uiPriority w:val="99"/>
    <w:rPr>
      <w:rFonts w:ascii="Arial" w:hAnsi="Arial"/>
      <w:b/>
      <w:sz w:val="18"/>
      <w:lang w:val="en-GB"/>
    </w:rPr>
  </w:style>
  <w:style w:type="character" w:customStyle="1" w:styleId="99">
    <w:name w:val="Footnote Text Char"/>
    <w:link w:val="35"/>
    <w:semiHidden/>
    <w:uiPriority w:val="0"/>
    <w:rPr>
      <w:rFonts w:ascii="Times New Roman" w:hAnsi="Times New Roman"/>
      <w:sz w:val="16"/>
      <w:lang w:val="en-GB"/>
    </w:rPr>
  </w:style>
  <w:style w:type="character" w:customStyle="1" w:styleId="100">
    <w:name w:val="Footer Char"/>
    <w:link w:val="33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101">
    <w:name w:val="Comment Text Char"/>
    <w:link w:val="29"/>
    <w:semiHidden/>
    <w:qFormat/>
    <w:uiPriority w:val="0"/>
    <w:rPr>
      <w:rFonts w:ascii="Times New Roman" w:hAnsi="Times New Roman"/>
      <w:lang w:val="en-GB"/>
    </w:rPr>
  </w:style>
  <w:style w:type="character" w:customStyle="1" w:styleId="102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3">
    <w:name w:val="Comment Subject Char"/>
    <w:link w:val="42"/>
    <w:semiHidden/>
    <w:qFormat/>
    <w:uiPriority w:val="0"/>
    <w:rPr>
      <w:rFonts w:ascii="Times New Roman" w:hAnsi="Times New Roman"/>
      <w:b/>
      <w:bCs/>
      <w:lang w:val="en-GB"/>
    </w:rPr>
  </w:style>
  <w:style w:type="character" w:customStyle="1" w:styleId="104">
    <w:name w:val="Document Map Char"/>
    <w:link w:val="28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5">
    <w:name w:val="Placeholder Classification"/>
    <w:basedOn w:val="44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106">
    <w:name w:val="Classification"/>
    <w:basedOn w:val="44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107">
    <w:name w:val="Placeholder Text"/>
    <w:basedOn w:val="44"/>
    <w:unhideWhenUsed/>
    <w:qFormat/>
    <w:uiPriority w:val="99"/>
    <w:rPr>
      <w:vanish/>
      <w:color w:val="AEB5BB"/>
    </w:rPr>
  </w:style>
  <w:style w:type="paragraph" w:styleId="108">
    <w:name w:val="No Spacing"/>
    <w:basedOn w:val="1"/>
    <w:link w:val="10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109">
    <w:name w:val="No Spacing Char"/>
    <w:basedOn w:val="44"/>
    <w:link w:val="108"/>
    <w:qFormat/>
    <w:uiPriority w:val="1"/>
    <w:rPr>
      <w:rFonts w:asciiTheme="minorHAnsi" w:hAnsiTheme="minorHAnsi" w:eastAsiaTheme="minorEastAsia" w:cstheme="minorBidi"/>
      <w:lang w:eastAsia="zh-CN"/>
    </w:rPr>
  </w:style>
  <w:style w:type="character" w:customStyle="1" w:styleId="110">
    <w:name w:val="ui-provider"/>
    <w:basedOn w:val="44"/>
    <w:qFormat/>
    <w:uiPriority w:val="0"/>
  </w:style>
  <w:style w:type="character" w:customStyle="1" w:styleId="111">
    <w:name w:val="B1 Char1"/>
    <w:link w:val="77"/>
    <w:qFormat/>
    <w:locked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0AE08D-1088-412A-BC42-A4216B3191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670</Words>
  <Characters>3559</Characters>
  <Lines>39</Lines>
  <Paragraphs>11</Paragraphs>
  <TotalTime>0</TotalTime>
  <ScaleCrop>false</ScaleCrop>
  <LinksUpToDate>false</LinksUpToDate>
  <CharactersWithSpaces>4176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2024-09-23T07:28:00Z</dcterms:created>
  <dc:creator>Michael Sanders, John M Meredith</dc:creator>
  <cp:lastModifiedBy>喵小激动</cp:lastModifiedBy>
  <cp:lastPrinted>1899-12-31T00:00:00Z</cp:lastPrinted>
  <dcterms:modified xsi:type="dcterms:W3CDTF">2024-10-09T06:00:03Z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2052-12.1.0.18276</vt:lpwstr>
  </property>
  <property fmtid="{D5CDD505-2E9C-101B-9397-08002B2CF9AE}" pid="30" name="ICV">
    <vt:lpwstr>E37383E634514F7EBB59019690C2ACF1_12</vt:lpwstr>
  </property>
</Properties>
</file>