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bCs/>
          <w:i/>
          <w:iCs/>
          <w:sz w:val="24"/>
          <w:szCs w:val="24"/>
        </w:rPr>
        <w:t>R5s221211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 w:val="24"/>
                <w:szCs w:val="24"/>
              </w:rPr>
              <w:t>2822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HELP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Correction to NR5GC CAG Testcase 6.5.2.3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lang w:eastAsia="zh-CN"/>
              </w:rPr>
              <w:t>Anritsu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NG_RAN_PRN_Vertical_LAN-UEConTest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2022-10-</w:t>
            </w:r>
            <w:r>
              <w:fldChar w:fldCharType="end"/>
            </w:r>
            <w: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Currently Step 42 configures the UE "CAG information list” with "indication that the MS is only allowed to access 5GS via CAG cells".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can have a persisting effect on some UEs since there is no mechanism in place for resetting this flag. On subsequent test runs, UE will not camp on a non-CAG cell due to the CAG-only indication.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</w:p>
          <w:p>
            <w:pPr>
              <w:pStyle w:val="84"/>
              <w:spacing w:after="0"/>
              <w:rPr>
                <w:iCs/>
              </w:rPr>
            </w:pPr>
            <w:r>
              <w:rPr>
                <w:lang w:val="en-SG"/>
              </w:rPr>
              <w:t>Following the added steps in Change 1, postamble will now be on NR Cell 2 in RRC_IDLE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1)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Add new power level T5 to facilitate new steps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2)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Added Steps 52 to 71a1 to make UE complete registration on CAG Cell NR Cell 2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3)</w:t>
            </w:r>
            <w:r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>Updated the Postamble to be completed on NR Cell 2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</w:p>
          <w:p>
            <w:pPr>
              <w:pStyle w:val="84"/>
              <w:spacing w:after="0"/>
            </w:pPr>
            <w:r>
              <w:rPr>
                <w:b/>
                <w:bCs/>
              </w:rPr>
              <w:t>Note:</w:t>
            </w:r>
            <w:r>
              <w:t xml:space="preserve"> An associated prose CR on 38.523-1 will be raised at RAN5#97</w:t>
            </w:r>
          </w:p>
          <w:p>
            <w:pPr>
              <w:pStyle w:val="84"/>
              <w:spacing w:after="0"/>
            </w:pPr>
          </w:p>
          <w:p>
            <w:pPr>
              <w:pStyle w:val="84"/>
              <w:spacing w:after="0"/>
            </w:pPr>
            <w:r>
              <w:rPr>
                <w:rFonts w:cs="Arial"/>
                <w:lang w:eastAsia="en-GB"/>
              </w:rPr>
              <w:t>Update postamble to happen on NR Cell 2 in RRC_IDLE state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t>A conformant UE will not be back to the original state before the start of the next testcase.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cs="Arial"/>
                <w:szCs w:val="18"/>
              </w:rPr>
              <w:t>6.5.2.3.NR5GC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   TS38-523-1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0" w:name="_Toc116040694"/>
      <w:r>
        <w:rPr>
          <w:rStyle w:val="47"/>
          <w:rFonts w:ascii="Arial" w:hAnsi="Arial" w:cs="Arial"/>
          <w:i w:val="0"/>
        </w:rPr>
        <w:t>Table of Contents</w:t>
      </w:r>
      <w:bookmarkEnd w:id="0"/>
    </w:p>
    <w:p>
      <w:pPr>
        <w:pStyle w:val="21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_Toc116040694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b/>
          <w:lang w:eastAsia="ja-JP"/>
        </w:rPr>
        <w:t>1</w:t>
      </w:r>
      <w:r>
        <w:rPr>
          <w:rFonts w:asciiTheme="minorHAnsi" w:hAnsiTheme="minorHAnsi" w:eastAsiaTheme="minorEastAsia" w:cstheme="minorBidi"/>
          <w:szCs w:val="22"/>
          <w:lang w:val="en-US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_Toc116040695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eastAsiaTheme="minorEastAsia" w:cstheme="minorBidi"/>
          <w:szCs w:val="22"/>
          <w:lang w:val="en-US"/>
        </w:rPr>
      </w:pPr>
      <w:r>
        <w:rPr>
          <w:b/>
        </w:rPr>
        <w:t>2</w:t>
      </w:r>
      <w:r>
        <w:rPr>
          <w:rFonts w:asciiTheme="minorHAnsi" w:hAnsiTheme="minorHAnsi" w:eastAsiaTheme="minorEastAsia" w:cstheme="minorBidi"/>
          <w:szCs w:val="22"/>
          <w:lang w:val="en-US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_Toc116040696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eastAsiaTheme="minorEastAsia" w:cstheme="minorBidi"/>
          <w:sz w:val="22"/>
          <w:szCs w:val="22"/>
          <w:lang w:val="en-US"/>
        </w:rPr>
      </w:pPr>
      <w:r>
        <w:rPr>
          <w:b/>
          <w:lang w:val="pt-BR"/>
        </w:rPr>
        <w:t>2.1</w:t>
      </w:r>
      <w:r>
        <w:rPr>
          <w:rFonts w:asciiTheme="minorHAnsi" w:hAnsiTheme="minorHAnsi" w:eastAsiaTheme="minorEastAsia" w:cstheme="minorBidi"/>
          <w:sz w:val="22"/>
          <w:szCs w:val="22"/>
          <w:lang w:val="en-US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_Toc116040697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eastAsiaTheme="minorEastAsia" w:cstheme="minorBidi"/>
          <w:sz w:val="22"/>
          <w:szCs w:val="22"/>
          <w:lang w:val="en-US"/>
        </w:rPr>
      </w:pPr>
      <w:r>
        <w:rPr>
          <w:b/>
          <w:lang w:val="pt-BR"/>
        </w:rPr>
        <w:t>2.2</w:t>
      </w:r>
      <w:r>
        <w:rPr>
          <w:rFonts w:asciiTheme="minorHAnsi" w:hAnsiTheme="minorHAnsi" w:eastAsiaTheme="minorEastAsia" w:cstheme="minorBidi"/>
          <w:sz w:val="22"/>
          <w:szCs w:val="22"/>
          <w:lang w:val="en-US"/>
        </w:rPr>
        <w:tab/>
      </w:r>
      <w:r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_Toc116040698 \h </w:instrText>
      </w:r>
      <w:r>
        <w:fldChar w:fldCharType="separate"/>
      </w:r>
      <w:r>
        <w:t>8</w:t>
      </w:r>
      <w:r>
        <w:fldChar w:fldCharType="end"/>
      </w:r>
    </w:p>
    <w:p>
      <w:pPr>
        <w:pStyle w:val="20"/>
        <w:rPr>
          <w:rFonts w:cs="Arial"/>
        </w:rPr>
      </w:pPr>
      <w:r>
        <w:rPr>
          <w:rFonts w:cs="Arial"/>
        </w:rPr>
        <w:fldChar w:fldCharType="end"/>
      </w: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pStyle w:val="20"/>
        <w:rPr>
          <w:rFonts w:cs="Arial"/>
        </w:rPr>
      </w:pPr>
    </w:p>
    <w:p>
      <w:pPr>
        <w:spacing w:after="0"/>
        <w:rPr>
          <w:rFonts w:cs="Arial"/>
        </w:rPr>
      </w:pPr>
      <w:r>
        <w:rPr>
          <w:rFonts w:cs="Arial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16040695"/>
      <w:r>
        <w:rPr>
          <w:b/>
          <w:lang w:eastAsia="ja-JP"/>
        </w:rPr>
        <w:t>Overview</w:t>
      </w:r>
      <w:bookmarkEnd w:id="1"/>
      <w:bookmarkEnd w:id="2"/>
      <w:bookmarkEnd w:id="3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</w:rPr>
      </w:pPr>
      <w:r>
        <w:rPr>
          <w:rFonts w:cs="Arial"/>
        </w:rPr>
        <w:t>This document lists all the changes needed to correct issues in the ATS iwd-TTCN3-B2020-09_D22wk37 related to the title of this CR.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en-GB"/>
        </w:rPr>
      </w:pPr>
      <w:bookmarkStart w:id="4" w:name="_Toc295288959"/>
      <w:bookmarkStart w:id="5" w:name="_Toc75963324"/>
      <w:bookmarkStart w:id="6" w:name="_Toc122434488"/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Narendra.Kalahasti@anritsu.com</w:t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16040696"/>
      <w:r>
        <w:rPr>
          <w:b/>
        </w:rPr>
        <w:t>Corrections required</w:t>
      </w:r>
      <w:bookmarkEnd w:id="4"/>
      <w:bookmarkEnd w:id="5"/>
      <w:bookmarkEnd w:id="6"/>
      <w:bookmarkEnd w:id="7"/>
    </w:p>
    <w:p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6040697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SG"/>
              </w:rPr>
            </w:pPr>
            <w:r>
              <w:rPr>
                <w:rFonts w:ascii="Arial" w:hAnsi="Arial" w:cs="Arial"/>
                <w:bCs/>
                <w:lang w:eastAsia="de-DE"/>
              </w:rPr>
              <w:t>function f_TC_6_5_2_3_TestBody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lang w:val="en-SG"/>
              </w:rPr>
            </w:pPr>
            <w:r>
              <w:rPr>
                <w:rFonts w:ascii="Arial" w:hAnsi="Arial"/>
                <w:lang w:val="en-SG"/>
              </w:rPr>
              <w:t>Currently Step 42 configures the UE "CAG information list” with "indication that the MS is only allowed to access 5GS via CAG cells".</w:t>
            </w:r>
          </w:p>
          <w:p>
            <w:pPr>
              <w:rPr>
                <w:rFonts w:ascii="Arial" w:hAnsi="Arial"/>
                <w:lang w:val="en-SG"/>
              </w:rPr>
            </w:pPr>
            <w:r>
              <w:rPr>
                <w:rFonts w:ascii="Arial" w:hAnsi="Arial"/>
                <w:lang w:val="en-SG"/>
              </w:rPr>
              <w:t>This can have a persisting effect on some UEs since there is no mechanism in place for resetting this flag. On subsequent test runs, UE will not camp on a non-CAG cell due to the CAG-only indication.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2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>
              <w:rPr>
                <w:rFonts w:cs="Arial"/>
                <w:highlight w:val="yellow"/>
                <w:lang w:eastAsia="en-GB"/>
              </w:rPr>
              <w:t>Add new power level T5 to facilitate new steps</w:t>
            </w:r>
          </w:p>
          <w:p>
            <w:pPr>
              <w:pStyle w:val="84"/>
              <w:numPr>
                <w:ilvl w:val="0"/>
                <w:numId w:val="2"/>
              </w:numPr>
              <w:spacing w:after="0"/>
              <w:rPr>
                <w:rFonts w:cs="Arial"/>
                <w:highlight w:val="green"/>
                <w:lang w:eastAsia="en-GB"/>
              </w:rPr>
            </w:pPr>
            <w:r>
              <w:rPr>
                <w:rFonts w:cs="Arial"/>
                <w:highlight w:val="green"/>
                <w:lang w:eastAsia="en-GB"/>
              </w:rPr>
              <w:t>Added Steps 52 to 71a1 to make UE complete registration on CAG Cell NR Cell 2</w:t>
            </w:r>
          </w:p>
          <w:p>
            <w:pPr>
              <w:pStyle w:val="84"/>
              <w:spacing w:after="0"/>
              <w:rPr>
                <w:rFonts w:cs="Arial"/>
                <w:lang w:eastAsia="en-GB"/>
              </w:rPr>
            </w:pPr>
          </w:p>
          <w:p>
            <w:pPr>
              <w:pStyle w:val="84"/>
              <w:spacing w:after="0"/>
            </w:pPr>
            <w:r>
              <w:rPr>
                <w:rFonts w:cs="Arial"/>
                <w:b/>
                <w:bCs/>
                <w:lang w:eastAsia="en-GB"/>
              </w:rPr>
              <w:t>Note:</w:t>
            </w:r>
            <w:r>
              <w:rPr>
                <w:rFonts w:cs="Arial"/>
                <w:lang w:eastAsia="en-GB"/>
              </w:rPr>
              <w:t xml:space="preserve"> An associated prose CR on 38.523-1 will be raised at 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 w:eastAsiaTheme="minorEastAsia"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Accepted conditional to prose CR agreement at RAN5#9</w:t>
            </w:r>
            <w:r>
              <w:rPr>
                <w:rFonts w:hint="eastAsia" w:ascii="Arial" w:hAnsi="Arial" w:cs="Arial"/>
                <w:highlight w:val="cyan"/>
                <w:lang w:eastAsia="zh-CN"/>
              </w:rPr>
              <w:t>7</w:t>
            </w:r>
          </w:p>
        </w:tc>
      </w:tr>
    </w:tbl>
    <w:p>
      <w:pPr>
        <w:spacing w:after="0"/>
        <w:rPr>
          <w:rFonts w:ascii="Arial" w:hAnsi="Arial"/>
          <w:b/>
          <w:sz w:val="32"/>
          <w:lang w:val="pt-BR"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fl_TC_6_5_2_3_TestBody()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NAS_PlmnId v_PlmnID_2 := f_NR_Asn2Nas_PlmnId(f_NR_CellInfo_GetPLMN (nr_Cell2));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NAS_PlmnId v_PlmnID_11 := f_NR_Asn2Nas_PlmnId(f_NR_CellInfo_GetPLMN (nr_Cell11));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v_CellPowerList_AtT3;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v_CellPowerList_AtT4;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t_Watchdog := 60.0;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v_CellPowerList_AtT1 := {cs_NR_CellPower(nr_Cell4,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cs_NR_CellPower(nr_Cell1,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v_CellPowerList_AtT2 := {cs_NR_CellPower(nr_Cell1,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cs_NR_CellPower(nr_Cell4,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v_CellPowerList_AtT3 := {cs_NR_CellPower(nr_Cell4,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cs_NR_CellPower(nr_Cell2,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v_CellPowerList_AtT4 := {cs_NR_CellPower(nr_Cell2,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cs_NR_CellPower(nr_Cell11,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RRCSetupRequest on NR Cell 4 within the next 60 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t_Watchdog.start;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SRB.check(receive(car_NR_SRB0_RrcPdu_IND(nr_Cell4, cr_38508_RRCSetupRequest))){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t_Watchdog.stop;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f_NR_SetVerdictFailOrInconc(__FILE__,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t_Watchdog.timeout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T1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4-16"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13 of the registration procedure described in TS 38.508-1 [4] subclause 4.5.2.2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DLInformationTransfer message and a REGISTRATION ACCEPT message containing the CAG information list with the CAG ID of NR Cell 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18-23a1"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15 to 20a1 of the registration procedure described in TS 38.508-1 [4] subclause 4.5.2.2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f_NR_RRC_ConnEst_DefWithNas (nr_Cell1, tsc_NR_RRC_TI_Def, ?, tsc_SHT_IntegrityProtected);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v_ReceivedMsg, -, -, cs_CAGInfoList_oneEntry(cs_CAGInfo_oneID(v_PlmnID_2,'0'B, int2oct(1,4))));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24"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f_NR_UE_DeRegisterOnSwitchOff (nr_Cell1, STATE_IDLE_1A);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25"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T2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RRCSetupRequest on NR Cell 4 within the next 60 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t_Watchdog.start;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SRB.check(receive(car_NR_SRB0_RrcPdu_IND(nr_Cell4, cr_38508_RRCSetupRequest))){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t_Watchdog.stop;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f_NR_SetVerdictFailOrInconc(__FILE__, __LINE__, "Step 27");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t_Watchdog.timeout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f_NR_PreliminaryPass(__FILE__, __LINE__, "Step 27");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T3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f_NR_SetCellPowerList(v_CellPowerList_AtT3);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29-47a1"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20a1 of the registration procedure described in TS 38.508-1 [4] subclause 4.5.2.2 are performed on NR Cell 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f_NR_RRC_ConnEst_DefWithNas (nr_Cell2, tsc_NR_RRC_TI_Def, ?, tsc_SHT_IntegrityProtected);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fl_NR5GC_RRC_IdleSteps4_20_withCAGInfoList(nr_Cell2, v_ReceivedMsg, -, -, cs_CAGInfoList_oneEntry(cs_CAGInfo_oneID(v_PlmnID_11,'1'B, int2oct(1,4))));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f_NR_UE_DeRegisterOnSwitchOff (nr_Cell2, STATE_IDLE_1A);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T4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f_NR_SetCellPowerList(v_CellPowerList_AtT4);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RRCSetupRequest on NR Cell 11 within the next 60 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t_Watchdog.start;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SRB.check(receive(car_NR_SRB0_RrcPdu_IND(nr_Cell11, cr_38508_RRCSetupRequest))){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t_Watchdog.stop;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f_NR_SetVerdictFailOrInconc(__FILE__, __LINE__, "Step 51");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t_Watchdog.timeout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f_NR_PreliminaryPass(__FILE__, __LINE__, "Step 51");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}//End of f_TC_6_5_2_3_TestBody</w:t>
            </w:r>
          </w:p>
        </w:tc>
      </w:tr>
    </w:tbl>
    <w:p>
      <w:pPr>
        <w:spacing w:after="0"/>
        <w:rPr>
          <w:rFonts w:ascii="Arial" w:hAnsi="Arial" w:cs="Arial"/>
          <w:b/>
        </w:rPr>
      </w:pPr>
    </w:p>
    <w:p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fl_TC_6_5_2_3_TestBody()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NAS_PlmnId v_PlmnID_2 := f_NR_Asn2Nas_PlmnId(f_NR_CellInfo_GetPLMN (nr_Cell2));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NAS_PlmnId v_PlmnID_11 := f_NR_Asn2Nas_PlmnId(f_NR_CellInfo_GetPLMN (nr_Cell11));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v_CellPowerList_AtT2;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v_CellPowerList_AtT3;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v_CellPowerList_AtT4;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var template(value) NR_CellPowerList_Type v_CellPowerList_AtT5;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t_Watchdog := 60.0;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v_CellPowerList_AtT1 := {cs_NR_CellPower(nr_Cell4,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cs_NR_CellPower(nr_Cell1,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v_CellPowerList_AtT2 := {cs_NR_CellPower(nr_Cell1,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cs_NR_CellPower(nr_Cell4,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v_CellPowerList_AtT3 := {cs_NR_CellPower(nr_Cell4,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cs_NR_CellPower(nr_Cell2,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v_CellPowerList_AtT4 := {cs_NR_CellPower(nr_Cell2,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cs_NR_CellPower(nr_Cell11,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v_CellPowerList_AtT5 := {cs_NR_CellPower(nr_Cell2, tsc_NR_ServingCellSSS_EPRE_FR1, tsc_NR_ServingCellSSS_EPRE_FR1),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cs_NR_CellPower(nr_Cell11, tsc_NR_NonSuitableOffCellSSS_EPRE, tsc_NR_NonSuitableOffCellSSS_EPRE)};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RRCSetupRequest on NR Cell 4 within the next 60 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t_Watchdog.start;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SRB.check(receive(car_NR_SRB0_RrcPdu_IND(nr_Cell4, cr_38508_RRCSetupRequest))){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t_Watchdog.stop;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f_NR_SetVerdictFailOrInconc(__FILE__,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t_Watchdog.timeout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f_NR_PreliminaryPass(__FILE__, __LINE__, "Step 2");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3"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T1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4-16"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13 of the registration procedure described in TS 38.508-1 [4] subclause 4.5.2.2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DLInformationTransfer message and a REGISTRATION ACCEPT message containing the CAG information list with the CAG ID of NR Cell 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18-23a1"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15 to 20a1 of the registration procedure described in TS 38.508-1 [4] subclause 4.5.2.2 are performed on NR Cell 1.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f_NR_RRC_ConnEst_DefWithNas (nr_Cell1, tsc_NR_RRC_TI_Def, ?, tsc_SHT_IntegrityProtected);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v_ReceivedMsg, -, -, cs_CAGInfoList_oneEntry(cs_CAGInfo_oneID(v_PlmnID_2,'0'B, int2oct(1,4))));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24"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f_NR_UE_DeRegisterOnSwitchOff (nr_Cell1, STATE_IDLE_1A);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25"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T2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26"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27"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RRCSetupRequest on NR Cell 4 within the next 60 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t_Watchdog.start;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SRB.check(receive(car_NR_SRB0_RrcPdu_IND(nr_Cell4, cr_38508_RRCSetupRequest))){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t_Watchdog.stop;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f_NR_SetVerdictFailOrInconc(__FILE__, __LINE__, "Step 27");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t_Watchdog.timeout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f_NR_PreliminaryPass(__FILE__, __LINE__, "Step 27");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T3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f_NR_SetCellPowerList(v_CellPowerList_AtT3);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29-47a1"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20a1 of the registration procedure described in TS 38.508-1 [4] subclause 4.5.2.2 are performed on NR Cell 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f_NR_RRC_ConnEst_DefWithNas (nr_Cell2, tsc_NR_RRC_TI_Def, ?, tsc_SHT_IntegrityProtected);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fl_NR5GC_RRC_IdleSteps4_20_withCAGInfoList(nr_Cell2, v_ReceivedMsg, -, -, cs_CAGInfoList_oneEntry(cs_CAGInfo_oneID(v_PlmnID_11,'1'B, int2oct(1,4))));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48"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f_NR_UE_DeRegisterOnSwitchOff (nr_Cell2, STATE_IDLE_1A);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49"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T4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f_NR_SetCellPowerList(v_CellPowerList_AtT4);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50"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RRCSetupRequest on NR Cell 11 within the next 60 s?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t_Watchdog.start;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SRB.check(receive(car_NR_SRB0_RrcPdu_IND(nr_Cell11, cr_38508_RRCSetupRequest))){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t_Watchdog.stop;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f_NR_SetVerdictFailOrInconc(__FILE__, __LINE__, "Step 51");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t_Watchdog.timeout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f_NR_PreliminaryPass(__FILE__, __LINE__, "Step 51");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//@siclog "Step 52"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//SS adjusts cell levels according to row T5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f_NR_SetCellPowerList(v_CellPowerList_AtT5);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//@siclog "Step 53-71a1" siclog@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//</w:t>
            </w:r>
            <w:r>
              <w:rPr>
                <w:highlight w:val="green"/>
              </w:rPr>
              <w:t xml:space="preserve"> </w:t>
            </w: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Steps 1 to 20a1 of the registration procedure described in TS 38.508-1 [4] subclause 4.5.2.2 are performed on NR Cell 2.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v_ReceivedMsg := f_NR_RRC_ConnEst_DefWithNas (nr_Cell2, tsc_NR_RRC_TI_Def, ?, tsc_SHT_IntegrityProtected);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fl_NR5GC_RRC_IdleSteps4_20_withCAGInfoList(nr_Cell2, v_ReceivedMsg, -, -, cs_CAGInfoList_oneEntry(cs_CAGInfo_oneID(v_PlmnID_2,'0'B, int2oct(1,4))));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Style w:val="47"/>
                <w:rFonts w:ascii="Arial" w:hAnsi="Arial" w:cs="Arial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}//End of f_TC_6_5_2_3_TestBody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Style w:val="47"/>
                <w:rFonts w:ascii="Arial" w:hAnsi="Arial" w:cs="Arial"/>
              </w:rPr>
            </w:pPr>
          </w:p>
        </w:tc>
      </w:tr>
    </w:tbl>
    <w:p>
      <w:pPr>
        <w:spacing w:after="0"/>
        <w:rPr>
          <w:b/>
          <w:lang w:val="pt-BR"/>
        </w:rPr>
      </w:pPr>
    </w:p>
    <w:p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16040698"/>
      <w:r>
        <w:rPr>
          <w:b/>
          <w:lang w:val="pt-BR"/>
        </w:rPr>
        <w:t>Change 2</w:t>
      </w:r>
      <w:bookmarkEnd w:id="11"/>
    </w:p>
    <w:tbl>
      <w:tblPr>
        <w:tblStyle w:val="43"/>
        <w:tblW w:w="9645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6"/>
        <w:gridCol w:w="7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lang w:val="en-SG"/>
              </w:rPr>
            </w:pPr>
            <w:r>
              <w:rPr>
                <w:rFonts w:ascii="Arial" w:hAnsi="Arial" w:cs="Arial"/>
                <w:bCs/>
                <w:lang w:eastAsia="de-DE"/>
              </w:rPr>
              <w:t>function f_TC_6_5_2_3_NR5GC()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lang w:val="en-SG"/>
              </w:rPr>
            </w:pPr>
            <w:r>
              <w:rPr>
                <w:rFonts w:ascii="Arial" w:hAnsi="Arial"/>
                <w:lang w:val="en-SG"/>
              </w:rPr>
              <w:t>Following the added steps in Change 1, postamble will now be on NR Cell 2 in RRC_IDLE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  <w:r>
              <w:rPr>
                <w:rFonts w:cs="Arial"/>
                <w:lang w:eastAsia="en-GB"/>
              </w:rPr>
              <w:t>Update postamble to happen on NR Cell 2 in RRC_IDLE state</w:t>
            </w:r>
          </w:p>
          <w:p>
            <w:pPr>
              <w:pStyle w:val="84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 w:eastAsiaTheme="minorEastAsia"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CAG_Selection_NR5GC.ttcn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ascii="Arial" w:hAnsi="Arial" w:cs="Arial"/>
                <w:highlight w:val="cyan"/>
              </w:rPr>
              <w:t>Accepted conditional to prose CR agreement at RAN5#9</w:t>
            </w:r>
            <w:r>
              <w:rPr>
                <w:rFonts w:hint="eastAsia" w:ascii="Arial" w:hAnsi="Arial" w:cs="Arial"/>
                <w:highlight w:val="cyan"/>
                <w:lang w:eastAsia="zh-CN"/>
              </w:rPr>
              <w:t>7</w:t>
            </w:r>
            <w:bookmarkStart w:id="12" w:name="_GoBack"/>
            <w:bookmarkEnd w:id="12"/>
          </w:p>
        </w:tc>
      </w:tr>
    </w:tbl>
    <w:p>
      <w:pPr>
        <w:spacing w:after="0"/>
        <w:rPr>
          <w:rFonts w:ascii="Arial" w:hAnsi="Arial"/>
          <w:b/>
          <w:sz w:val="32"/>
          <w:lang w:val="pt-BR"/>
        </w:rPr>
      </w:pPr>
    </w:p>
    <w:p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f_TC_6_5_2_3_NR5GC()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/ Limited Service / No Suitable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v_CellPowerList_AtT0 := {cs_NR_CellPower(nr_Cell1,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cs_NR_CellPower(nr_Cell4,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//Cell2 and Cell4 are CAG Cells. default CAG-ID value used for Cell2, value 2 used for Cell4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f_NR_CellInfo_SetSIB1_SetPNI_NPN_IdentityInfoList(nr_Cell4, 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f_NR_CellInfo_SetSIB1_CellReservedForOtherUse(nr_Cell4, true_);//@sic R5s221013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f_NR_CellInfo_SetSIB1_CellReservedForOtherUse(nr_Cell2, true_);//@sic R5s221013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f_NR_CellConfig_Def(nr_Cell2); //CAG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f_NR_CellConfig_Def(nr_Cell4); //CAG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f_UT_AutomaticPLMN_Select (UT);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f_NR5GC_Preamble_Steps1_4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an empty CAG information list before it is in state Switched OFF (State 0N-B).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v_ReceivedMsg, Initial_NoSecurity, -, cs_EmptyCAGInfoList);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f_NR_UE_DeRegisterOnSwitchOff (nr_Cell1, STATE_IDLE_1A);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f_NR_TestBody_Set(true);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fl_TC_6_5_2_3_TestBody();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f_NR_TestBody_Set(false);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f_NR_Postamble(</w:t>
            </w: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nr_Cell11,STATE_DEREGISTERED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>
      <w:pPr>
        <w:spacing w:after="0"/>
        <w:rPr>
          <w:rFonts w:ascii="Arial" w:hAnsi="Arial" w:cs="Arial"/>
          <w:b/>
        </w:rPr>
      </w:pPr>
    </w:p>
    <w:p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f_TC_6_5_2_3_NR5GC() runs on NR5GC_PTC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/ Limited Service / No Suitable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NG_NAS_MSG_Indication_Type v_ReceivedMsg;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NR_CellPowerList_Type v_CellPowerList_AtT0;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v_CellPowerList_AtT0 := {cs_NR_CellPower(nr_Cell1, tsc_NR_NonSuitableOffCellSSS_EPRE, tsc_NR_NonSuitableOffCellSSS_EPRE),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cs_NR_CellPower(nr_Cell4, tsc_NR_ServingCellSSS_EPRE_FR1, tsc_NR_ServingCellSSS_EPRE_FR1)};            //FR2 FFS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//Cell2 and Cell4 are CAG Cells. default CAG-ID value used for Cell2, value 2 used for Cell4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f_NR_CellInfo_SetSIB1_SetPNI_NPN_IdentityInfoList(nr_Cell4, 2);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f_NR_CellInfo_SetSIB1_CellReservedForOtherUse(nr_Cell4, true_);//@sic R5s221013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f_NR_CellInfo_SetSIB1_CellReservedForOtherUse(nr_Cell2, true_);//@sic R5s221013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f_NR_CellConfig_Def(nr_Cell2); //CAG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f_NR_CellConfig_Def(nr_Cell4); //CAG Cell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f_NR_CellConfig_Def(nr_Cell11);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f_UT_AutomaticPLMN_Select (UT);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v_ReceivedMsg := f_NR5GC_Preamble_Steps1_4 (nr_Cell1);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an empty CAG information list before it is in state Switched OFF (State 0N-B).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v_ReceivedMsg, Initial_NoSecurity, -, cs_EmptyCAGInfoList);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f_NR_UE_DeRegisterOnSwitchOff (nr_Cell1, STATE_IDLE_1A);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6.5.2.3.3.2-1 for FR1 and table 6.5.2.3.3.2-2 for FR2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f_NR_SetCellPowerList(v_CellPowerList_AtT0);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f_NR_TestBody_Set(true);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fl_TC_6_5_2_3_TestBody();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f_NR_TestBody_Set(false);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f_NR_Postamble(</w:t>
            </w:r>
            <w:r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nr_Cell2,STATE_IDLE_1A</w:t>
            </w: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Style w:val="47"/>
                <w:rFonts w:ascii="Arial" w:hAnsi="Arial" w:cs="Arial"/>
              </w:rPr>
            </w:pPr>
            <w:r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Style w:val="47"/>
                <w:rFonts w:ascii="Arial" w:hAnsi="Arial" w:cs="Arial"/>
              </w:rPr>
            </w:pPr>
          </w:p>
        </w:tc>
      </w:tr>
    </w:tbl>
    <w:p>
      <w:pPr>
        <w:spacing w:after="0"/>
        <w:rPr>
          <w:b/>
          <w:lang w:val="pt-BR"/>
        </w:rPr>
      </w:pPr>
    </w:p>
    <w:p>
      <w:pPr>
        <w:spacing w:after="0"/>
        <w:rPr>
          <w:b/>
          <w:lang w:val="pt-BR"/>
        </w:rPr>
      </w:pPr>
    </w:p>
    <w:p>
      <w:pPr>
        <w:spacing w:after="0"/>
        <w:rPr>
          <w:b/>
          <w:lang w:val="pt-BR"/>
        </w:rPr>
      </w:pPr>
    </w:p>
    <w:p>
      <w:pPr>
        <w:spacing w:after="0"/>
        <w:rPr>
          <w:b/>
          <w:lang w:val="pt-BR"/>
        </w:rPr>
      </w:pPr>
    </w:p>
    <w:p>
      <w:pPr>
        <w:spacing w:after="0"/>
        <w:rPr>
          <w:b/>
          <w:lang w:val="pt-BR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游明朝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2D753B"/>
    <w:multiLevelType w:val="multilevel"/>
    <w:tmpl w:val="3F2D753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A7E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14B9"/>
    <w:rsid w:val="00262085"/>
    <w:rsid w:val="00263668"/>
    <w:rsid w:val="002640DD"/>
    <w:rsid w:val="0026741D"/>
    <w:rsid w:val="00273E8B"/>
    <w:rsid w:val="00275B14"/>
    <w:rsid w:val="00275D12"/>
    <w:rsid w:val="00280375"/>
    <w:rsid w:val="0028474D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B7F16"/>
    <w:rsid w:val="003C2766"/>
    <w:rsid w:val="003C6AD0"/>
    <w:rsid w:val="003D1466"/>
    <w:rsid w:val="003D5C48"/>
    <w:rsid w:val="003E1A36"/>
    <w:rsid w:val="003E29AC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065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2FC7"/>
    <w:rsid w:val="00446488"/>
    <w:rsid w:val="00447337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4A38"/>
    <w:rsid w:val="00547111"/>
    <w:rsid w:val="00550D1E"/>
    <w:rsid w:val="00550D59"/>
    <w:rsid w:val="00552878"/>
    <w:rsid w:val="005534A8"/>
    <w:rsid w:val="005543BC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13A7F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44697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5943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1A08"/>
    <w:rsid w:val="007D5276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44C7D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31E2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044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5F4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CD5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46F9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580F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3F3B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345"/>
    <w:rsid w:val="00F324F8"/>
    <w:rsid w:val="00F371BD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  <w:rsid w:val="09CC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uiPriority w:val="0"/>
    <w:pPr>
      <w:spacing w:after="0"/>
    </w:pPr>
  </w:style>
  <w:style w:type="paragraph" w:customStyle="1" w:styleId="62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uiPriority w:val="0"/>
    <w:rPr>
      <w:color w:val="FF0000"/>
    </w:rPr>
  </w:style>
  <w:style w:type="paragraph" w:customStyle="1" w:styleId="78">
    <w:name w:val="B1"/>
    <w:basedOn w:val="14"/>
    <w:link w:val="90"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标题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标题 2 Char"/>
    <w:link w:val="3"/>
    <w:uiPriority w:val="0"/>
    <w:rPr>
      <w:rFonts w:ascii="Arial" w:hAnsi="Arial"/>
      <w:sz w:val="32"/>
      <w:lang w:val="en-GB" w:eastAsia="en-US"/>
    </w:rPr>
  </w:style>
  <w:style w:type="paragraph" w:customStyle="1" w:styleId="9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DA511-0BAA-433E-B645-179FAB94478E}">
  <ds:schemaRefs/>
</ds:datastoreItem>
</file>

<file path=customXml/itemProps2.xml><?xml version="1.0" encoding="utf-8"?>
<ds:datastoreItem xmlns:ds="http://schemas.openxmlformats.org/officeDocument/2006/customXml" ds:itemID="{B6AA23EF-268E-468A-8CEE-C2A1F1878970}">
  <ds:schemaRefs/>
</ds:datastoreItem>
</file>

<file path=customXml/itemProps3.xml><?xml version="1.0" encoding="utf-8"?>
<ds:datastoreItem xmlns:ds="http://schemas.openxmlformats.org/officeDocument/2006/customXml" ds:itemID="{70B06F22-F55B-4A1F-9317-E3C74A50FB3C}">
  <ds:schemaRefs/>
</ds:datastoreItem>
</file>

<file path=customXml/itemProps4.xml><?xml version="1.0" encoding="utf-8"?>
<ds:datastoreItem xmlns:ds="http://schemas.openxmlformats.org/officeDocument/2006/customXml" ds:itemID="{1F4C249E-4E91-406B-9566-CC44B02212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2004</Words>
  <Characters>16423</Characters>
  <Lines>151</Lines>
  <Paragraphs>42</Paragraphs>
  <TotalTime>0</TotalTime>
  <ScaleCrop>false</ScaleCrop>
  <LinksUpToDate>false</LinksUpToDate>
  <CharactersWithSpaces>19836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2022-10-13T02:52:00Z</dcterms:created>
  <dc:creator>Michael Sanders, John M Meredith</dc:creator>
  <cp:lastModifiedBy>WANGYUFEI</cp:lastModifiedBy>
  <cp:lastPrinted>1900-12-31T16:00:00Z</cp:lastPrinted>
  <dcterms:modified xsi:type="dcterms:W3CDTF">2022-10-13T03:02:45Z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  <property fmtid="{D5CDD505-2E9C-101B-9397-08002B2CF9AE}" pid="22" name="KSOProductBuildVer">
    <vt:lpwstr>2052-11.1.0.12598</vt:lpwstr>
  </property>
  <property fmtid="{D5CDD505-2E9C-101B-9397-08002B2CF9AE}" pid="23" name="ICV">
    <vt:lpwstr>A3B24157667D4FDF89D4B6DD71A698CC</vt:lpwstr>
  </property>
</Properties>
</file>