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069B3B32"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0048346C" w:rsidRPr="0048346C">
        <w:rPr>
          <w:b/>
          <w:i/>
          <w:noProof/>
          <w:sz w:val="28"/>
        </w:rPr>
        <w:t>R5-22732</w:t>
      </w:r>
      <w:r w:rsidR="0048346C">
        <w:rPr>
          <w:b/>
          <w:i/>
          <w:noProof/>
          <w:sz w:val="28"/>
        </w:rPr>
        <w:t>2</w:t>
      </w:r>
      <w:r w:rsidR="001D09A9" w:rsidRPr="001D09A9">
        <w:rPr>
          <w:b/>
          <w:i/>
          <w:noProof/>
          <w:sz w:val="28"/>
          <w:highlight w:val="yellow"/>
        </w:rPr>
        <w:t>r1</w:t>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r w:rsidR="002A7755">
        <w:fldChar w:fldCharType="begin"/>
      </w:r>
      <w:r w:rsidR="002A7755">
        <w:instrText xml:space="preserve"> DOCPROPERTY  EndDate  \* MERGEFORMAT </w:instrText>
      </w:r>
      <w:r w:rsidR="002A7755">
        <w:fldChar w:fldCharType="separate"/>
      </w:r>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r w:rsidR="002A7755">
        <w:rPr>
          <w:b/>
          <w:noProof/>
          <w:sz w:val="24"/>
        </w:rPr>
        <w:fldChar w:fldCharType="end"/>
      </w:r>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14A35C22"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AE00AD">
              <w:rPr>
                <w:b/>
                <w:noProof/>
                <w:sz w:val="28"/>
              </w:rPr>
              <w:t>21</w:t>
            </w:r>
            <w:r w:rsidR="007D2BD2">
              <w:rPr>
                <w:b/>
                <w:noProof/>
                <w:sz w:val="28"/>
              </w:rPr>
              <w:t>-1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00BA3A75" w:rsidR="009974F8" w:rsidRPr="00410371" w:rsidRDefault="002A7755" w:rsidP="00486C6B">
            <w:pPr>
              <w:pStyle w:val="CRCoverPage"/>
              <w:spacing w:after="0"/>
              <w:jc w:val="center"/>
              <w:rPr>
                <w:noProof/>
              </w:rPr>
            </w:pPr>
            <w:r>
              <w:fldChar w:fldCharType="begin"/>
            </w:r>
            <w:r>
              <w:instrText xml:space="preserve"> DOCPROPERTY  Cr#  \* MERGEFORMAT </w:instrText>
            </w:r>
            <w:r>
              <w:fldChar w:fldCharType="separate"/>
            </w:r>
            <w:r w:rsidR="00486C6B" w:rsidRPr="00486C6B">
              <w:rPr>
                <w:b/>
                <w:noProof/>
                <w:sz w:val="28"/>
              </w:rPr>
              <w:t>2054</w:t>
            </w:r>
            <w:r>
              <w:rPr>
                <w:b/>
                <w:noProof/>
                <w:sz w:val="28"/>
              </w:rPr>
              <w:fldChar w:fldCharType="end"/>
            </w:r>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2A7755"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B9AB94" w:rsidR="009974F8" w:rsidRPr="00410371" w:rsidRDefault="002A7755"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w:t>
            </w:r>
            <w:r w:rsidR="00AE00AD">
              <w:rPr>
                <w:b/>
                <w:noProof/>
                <w:sz w:val="28"/>
              </w:rPr>
              <w:t>1</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9B8BEC" w:rsidR="001E41F3" w:rsidRDefault="009E18E0">
            <w:pPr>
              <w:pStyle w:val="CRCoverPage"/>
              <w:spacing w:after="0"/>
              <w:ind w:left="100"/>
              <w:rPr>
                <w:noProof/>
              </w:rPr>
            </w:pPr>
            <w:r>
              <w:t>Updates to</w:t>
            </w:r>
            <w:r w:rsidR="00646F93">
              <w:t xml:space="preserve"> annex I </w:t>
            </w:r>
            <w:proofErr w:type="spellStart"/>
            <w:r w:rsidR="002145C2" w:rsidRPr="002145C2">
              <w:t>ModifiedMPR-Behavior</w:t>
            </w:r>
            <w:proofErr w:type="spellEnd"/>
            <w:r>
              <w:t xml:space="preserve"> for</w:t>
            </w:r>
            <w:r w:rsidR="008F4BA9">
              <w:t xml:space="preserve"> band</w:t>
            </w:r>
            <w:r w:rsidR="009F41E1">
              <w:t xml:space="preserve"> n</w:t>
            </w:r>
            <w:r w:rsidR="006D3C97">
              <w:t>41</w:t>
            </w:r>
            <w:r w:rsidR="008B4B83">
              <w:t xml:space="preserve"> power class 1.5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2A7755">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2A7755"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A01DC0" w:rsidR="001E41F3" w:rsidRDefault="00F50756">
            <w:pPr>
              <w:pStyle w:val="CRCoverPage"/>
              <w:spacing w:after="0"/>
              <w:ind w:left="100"/>
              <w:rPr>
                <w:noProof/>
              </w:rPr>
            </w:pPr>
            <w:r w:rsidRPr="00F50756">
              <w:rPr>
                <w:noProof/>
                <w:highlight w:val="yellow"/>
              </w:rPr>
              <w:t>LTE_NR_B41_Bn41_PC29dBm-UEConTest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2A7755">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2A7755"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2A7755">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43313">
        <w:trPr>
          <w:trHeight w:val="57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1675F5" w:rsidR="00967E32" w:rsidRDefault="009D5BF3" w:rsidP="00004CC6">
            <w:pPr>
              <w:pStyle w:val="CRCoverPage"/>
              <w:spacing w:after="0"/>
              <w:rPr>
                <w:noProof/>
              </w:rPr>
            </w:pPr>
            <w:r>
              <w:rPr>
                <w:noProof/>
              </w:rPr>
              <w:t xml:space="preserve">TS 38.521-1 does not contain </w:t>
            </w:r>
            <w:r>
              <w:t xml:space="preserve">information needed for understanding </w:t>
            </w:r>
            <w:proofErr w:type="spellStart"/>
            <w:r w:rsidR="002145C2" w:rsidRPr="002145C2">
              <w:t>ModifiedMPR-Behavior</w:t>
            </w:r>
            <w:proofErr w:type="spellEnd"/>
            <w:r>
              <w:t xml:space="preserve"> as described in core specifications TS 38.101-1 Annex L</w:t>
            </w:r>
            <w:r w:rsidR="008F4BA9">
              <w:t xml:space="preserve"> for band</w:t>
            </w:r>
            <w:r w:rsidR="009F41E1">
              <w:t xml:space="preserve"> n</w:t>
            </w:r>
            <w:r w:rsidR="006D3C97">
              <w:t>41</w:t>
            </w:r>
            <w:r w:rsidR="0043622F">
              <w:t xml:space="preserve"> power class 1,5</w:t>
            </w:r>
            <w:r w:rsidR="008F4BA9">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5B04E9" w:rsidR="00A81188" w:rsidRDefault="004F7146" w:rsidP="00004CC6">
            <w:pPr>
              <w:pStyle w:val="CRCoverPage"/>
              <w:spacing w:after="0"/>
              <w:rPr>
                <w:noProof/>
              </w:rPr>
            </w:pPr>
            <w:r>
              <w:rPr>
                <w:noProof/>
              </w:rPr>
              <w:t xml:space="preserve">Add </w:t>
            </w:r>
            <w:r w:rsidR="008F4BA9">
              <w:rPr>
                <w:noProof/>
              </w:rPr>
              <w:t>rows to table I.1</w:t>
            </w:r>
            <w:r w:rsidR="00F12F9F">
              <w:rPr>
                <w:noProof/>
              </w:rPr>
              <w:t>-1</w:t>
            </w:r>
            <w:r>
              <w:rPr>
                <w:noProof/>
              </w:rPr>
              <w:t xml:space="preserve"> </w:t>
            </w:r>
            <w:r w:rsidR="00F12F9F">
              <w:rPr>
                <w:noProof/>
              </w:rPr>
              <w:t>for band</w:t>
            </w:r>
            <w:r w:rsidR="009F41E1">
              <w:rPr>
                <w:noProof/>
              </w:rPr>
              <w:t xml:space="preserve"> n</w:t>
            </w:r>
            <w:r w:rsidR="0043622F">
              <w:rPr>
                <w:noProof/>
              </w:rPr>
              <w:t>41 for power class 1.5</w:t>
            </w:r>
            <w:r w:rsidR="002145C2">
              <w:rPr>
                <w:noProof/>
              </w:rPr>
              <w:t>, aligned with core specifications TS 38.101-1.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31356" w:rsidR="001E41F3" w:rsidRDefault="00E2128F">
            <w:pPr>
              <w:pStyle w:val="CRCoverPage"/>
              <w:spacing w:after="0"/>
              <w:ind w:left="100"/>
              <w:rPr>
                <w:noProof/>
              </w:rPr>
            </w:pPr>
            <w:r w:rsidRPr="002145C2">
              <w:rPr>
                <w:noProof/>
              </w:rPr>
              <w:t>ModifiedMPR-Behavior</w:t>
            </w:r>
            <w:r>
              <w:rPr>
                <w:noProof/>
              </w:rPr>
              <w:t xml:space="preserve"> will not be clear</w:t>
            </w:r>
            <w:r w:rsidR="00F12F9F">
              <w:rPr>
                <w:noProof/>
              </w:rPr>
              <w:t xml:space="preserve"> for band</w:t>
            </w:r>
            <w:r w:rsidR="009F41E1">
              <w:rPr>
                <w:noProof/>
              </w:rPr>
              <w:t xml:space="preserve"> n</w:t>
            </w:r>
            <w:r w:rsidR="0043622F">
              <w:rPr>
                <w:noProof/>
              </w:rPr>
              <w:t>41 power class 1.5</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D8324F" w:rsidR="001E41F3" w:rsidRDefault="007362E6">
            <w:pPr>
              <w:pStyle w:val="CRCoverPage"/>
              <w:spacing w:after="0"/>
              <w:ind w:left="100"/>
              <w:rPr>
                <w:noProof/>
              </w:rPr>
            </w:pPr>
            <w:r>
              <w:rPr>
                <w:noProof/>
              </w:rPr>
              <w:t>Annex 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CCEC9B" w:rsidR="001E41F3" w:rsidRDefault="00F12F9F">
            <w:pPr>
              <w:pStyle w:val="CRCoverPage"/>
              <w:spacing w:after="0"/>
              <w:ind w:left="100"/>
              <w:rPr>
                <w:noProof/>
              </w:rPr>
            </w:pPr>
            <w:r>
              <w:rPr>
                <w:noProof/>
              </w:rPr>
              <w:t xml:space="preserve">This CR depends on </w:t>
            </w:r>
            <w:r w:rsidR="00486C6B" w:rsidRPr="00486C6B">
              <w:rPr>
                <w:noProof/>
              </w:rPr>
              <w:t>R5-227320</w:t>
            </w:r>
            <w:r>
              <w:rPr>
                <w:noProof/>
              </w:rPr>
              <w:t>. Once agreed</w:t>
            </w:r>
            <w:r w:rsidR="0054332A">
              <w:rPr>
                <w:noProof/>
              </w:rPr>
              <w:t xml:space="preserve">, this CR should be implemented after </w:t>
            </w:r>
            <w:r w:rsidR="00486C6B" w:rsidRPr="00486C6B">
              <w:rPr>
                <w:noProof/>
              </w:rPr>
              <w:t>R5-227320</w:t>
            </w:r>
            <w:r w:rsidR="00E15B3F">
              <w:rPr>
                <w:noProof/>
              </w:rPr>
              <w:t xml:space="preserve">and </w:t>
            </w:r>
            <w:r w:rsidR="00486C6B" w:rsidRPr="00486C6B">
              <w:rPr>
                <w:noProof/>
              </w:rPr>
              <w:t>R5-22732</w:t>
            </w:r>
            <w:r w:rsidR="00486C6B">
              <w:rPr>
                <w:noProof/>
              </w:rPr>
              <w:t>1</w:t>
            </w:r>
            <w:r w:rsidR="0054332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2E510BE" w:rsidR="008863B9" w:rsidRDefault="00F50756">
            <w:pPr>
              <w:pStyle w:val="CRCoverPage"/>
              <w:spacing w:after="0"/>
              <w:ind w:left="100"/>
              <w:rPr>
                <w:noProof/>
              </w:rPr>
            </w:pPr>
            <w:r w:rsidRPr="00F50756">
              <w:rPr>
                <w:noProof/>
                <w:highlight w:val="yellow"/>
              </w:rPr>
              <w:t>Revision 1: Work item Code update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E380B1" w14:textId="6CF2C673" w:rsidR="00D54730" w:rsidRDefault="00D54730" w:rsidP="00D54730">
      <w:pPr>
        <w:pStyle w:val="Heading2"/>
        <w:rPr>
          <w:color w:val="FF0000"/>
        </w:rPr>
      </w:pPr>
      <w:r w:rsidRPr="00874CC0">
        <w:rPr>
          <w:color w:val="FF0000"/>
        </w:rPr>
        <w:lastRenderedPageBreak/>
        <w:t>&lt;&lt;&lt; START OF CHANGES &gt;&gt;&gt;</w:t>
      </w:r>
    </w:p>
    <w:p w14:paraId="3C5CE9D0" w14:textId="77777777" w:rsidR="000A2704" w:rsidRDefault="000A2704" w:rsidP="000A2704">
      <w:pPr>
        <w:pStyle w:val="Heading2"/>
      </w:pPr>
      <w:bookmarkStart w:id="2" w:name="_Toc36227523"/>
      <w:r>
        <w:t>H.2A.4</w:t>
      </w:r>
      <w:r>
        <w:tab/>
        <w:t>Pass fail decision rules</w:t>
      </w:r>
      <w:bookmarkEnd w:id="2"/>
    </w:p>
    <w:p w14:paraId="53829EDD" w14:textId="77777777" w:rsidR="000A2704" w:rsidRDefault="000A2704" w:rsidP="000A2704">
      <w:r>
        <w:t>Apply 1003 samples to the DUT per CC.</w:t>
      </w:r>
    </w:p>
    <w:p w14:paraId="55155701" w14:textId="77777777" w:rsidR="000A2704" w:rsidRDefault="000A2704" w:rsidP="000A2704">
      <w:r>
        <w:t>Decide pass per CC in case of ≤ 62 errors, otherwise fail.</w:t>
      </w:r>
    </w:p>
    <w:p w14:paraId="2EB7AF96" w14:textId="77777777" w:rsidR="000A2704" w:rsidRDefault="000A2704" w:rsidP="000A2704">
      <w:pPr>
        <w:pStyle w:val="NO"/>
      </w:pPr>
      <w:r>
        <w:t>NOTE 1:</w:t>
      </w:r>
      <w:r>
        <w:tab/>
        <w:t xml:space="preserve">The </w:t>
      </w:r>
      <w:proofErr w:type="gramStart"/>
      <w:r>
        <w:t>pass fail</w:t>
      </w:r>
      <w:proofErr w:type="gramEnd"/>
      <w:r>
        <w:t xml:space="preserve"> decision is done individually for each CC. The </w:t>
      </w:r>
      <w:proofErr w:type="gramStart"/>
      <w:r>
        <w:t>pass fail</w:t>
      </w:r>
      <w:proofErr w:type="gramEnd"/>
      <w:r>
        <w:t xml:space="preserve"> decision for one measurement is as follows: pass if all CCs or SCC only according to the test cases pass, otherwise fail. A</w:t>
      </w:r>
      <w:r>
        <w:rPr>
          <w:lang w:eastAsia="zh-CN"/>
        </w:rPr>
        <w:t xml:space="preserve"> test case is passed only when all the measurements in the test case are passed.</w:t>
      </w:r>
    </w:p>
    <w:p w14:paraId="57D7C862" w14:textId="77777777" w:rsidR="000A2704" w:rsidRDefault="000A2704" w:rsidP="000A2704">
      <w:pPr>
        <w:pStyle w:val="NO"/>
      </w:pPr>
      <w:r>
        <w:t>NOTE 2:</w:t>
      </w:r>
      <w:r>
        <w:tab/>
        <w:t>It is allowed to apply more samples to the DUT, common for all CCs, (</w:t>
      </w:r>
      <w:proofErr w:type="gramStart"/>
      <w:r>
        <w:t>e.g.</w:t>
      </w:r>
      <w:proofErr w:type="gramEnd"/>
      <w:r>
        <w:t xml:space="preserve"> up to an integer number of frames). Use the ratio (62/1003) for the </w:t>
      </w:r>
      <w:proofErr w:type="gramStart"/>
      <w:r>
        <w:t>pass fail</w:t>
      </w:r>
      <w:proofErr w:type="gramEnd"/>
      <w:r>
        <w:t xml:space="preserve"> decision.</w:t>
      </w:r>
    </w:p>
    <w:p w14:paraId="0C2F4EF7" w14:textId="77777777" w:rsidR="000A2704" w:rsidRDefault="000A2704" w:rsidP="000A2704">
      <w:pPr>
        <w:pStyle w:val="NO"/>
      </w:pPr>
      <w:r>
        <w:t>NOTE 3:</w:t>
      </w:r>
      <w:r>
        <w:tab/>
        <w:t>62/1003 = 0.0618, the same test limit is used at the end of Table H.2.4-1</w:t>
      </w:r>
    </w:p>
    <w:p w14:paraId="65E1D89F" w14:textId="3813D33F" w:rsidR="00E336C8" w:rsidRPr="00E336C8" w:rsidRDefault="000A2704" w:rsidP="00807125">
      <w:pPr>
        <w:pStyle w:val="Heading1"/>
        <w:overflowPunct w:val="0"/>
        <w:autoSpaceDE w:val="0"/>
        <w:autoSpaceDN w:val="0"/>
        <w:adjustRightInd w:val="0"/>
        <w:textAlignment w:val="baseline"/>
      </w:pPr>
      <w:r>
        <w:br w:type="page"/>
      </w:r>
      <w:bookmarkStart w:id="3" w:name="_Toc21343237"/>
      <w:bookmarkStart w:id="4" w:name="_Toc29770203"/>
      <w:bookmarkStart w:id="5" w:name="_Toc29799702"/>
      <w:bookmarkStart w:id="6" w:name="_Toc61367931"/>
      <w:bookmarkStart w:id="7" w:name="_Toc61373314"/>
      <w:bookmarkStart w:id="8" w:name="_Toc68231264"/>
      <w:bookmarkStart w:id="9" w:name="_Toc69084677"/>
      <w:bookmarkStart w:id="10" w:name="_Toc75467690"/>
      <w:bookmarkStart w:id="11" w:name="_Toc76509712"/>
      <w:bookmarkStart w:id="12" w:name="_Toc76718702"/>
      <w:bookmarkStart w:id="13" w:name="_Toc83581050"/>
      <w:bookmarkStart w:id="14" w:name="_Toc84405559"/>
      <w:bookmarkStart w:id="15" w:name="_Toc84414168"/>
      <w:bookmarkStart w:id="16" w:name="_Toc27478805"/>
      <w:bookmarkStart w:id="17" w:name="_Toc36227524"/>
      <w:r w:rsidR="00CA7A9A">
        <w:rPr>
          <w:lang w:eastAsia="ja-JP"/>
        </w:rPr>
        <w:lastRenderedPageBreak/>
        <w:t>Annex I (normative):</w:t>
      </w:r>
      <w:bookmarkEnd w:id="3"/>
      <w:bookmarkEnd w:id="4"/>
      <w:bookmarkEnd w:id="5"/>
      <w:r w:rsidR="001B5260">
        <w:rPr>
          <w:lang w:eastAsia="ja-JP"/>
        </w:rPr>
        <w:t xml:space="preserve"> </w:t>
      </w:r>
      <w:proofErr w:type="spellStart"/>
      <w:r w:rsidR="00CA7A9A">
        <w:rPr>
          <w:lang w:eastAsia="ja-JP"/>
        </w:rPr>
        <w:t>ModifiedMPR-Behavior</w:t>
      </w:r>
      <w:bookmarkEnd w:id="6"/>
      <w:bookmarkEnd w:id="7"/>
      <w:bookmarkEnd w:id="8"/>
      <w:bookmarkEnd w:id="9"/>
      <w:bookmarkEnd w:id="10"/>
      <w:bookmarkEnd w:id="11"/>
      <w:bookmarkEnd w:id="12"/>
      <w:bookmarkEnd w:id="13"/>
      <w:bookmarkEnd w:id="14"/>
      <w:bookmarkEnd w:id="15"/>
      <w:proofErr w:type="spellEnd"/>
    </w:p>
    <w:p w14:paraId="13F919C7" w14:textId="28A8C3DA" w:rsidR="00CA7A9A" w:rsidRDefault="00CA7A9A" w:rsidP="00CA7A9A">
      <w:pPr>
        <w:pStyle w:val="Heading1"/>
      </w:pPr>
      <w:bookmarkStart w:id="18" w:name="_Toc21345705"/>
      <w:bookmarkStart w:id="19" w:name="_Toc29806554"/>
      <w:bookmarkStart w:id="20" w:name="_Toc61367932"/>
      <w:bookmarkStart w:id="21" w:name="_Toc61373315"/>
      <w:bookmarkStart w:id="22" w:name="_Toc68231265"/>
      <w:bookmarkStart w:id="23" w:name="_Toc69084678"/>
      <w:bookmarkStart w:id="24" w:name="_Toc75467691"/>
      <w:bookmarkStart w:id="25" w:name="_Toc76509713"/>
      <w:bookmarkStart w:id="26" w:name="_Toc76718703"/>
      <w:bookmarkStart w:id="27" w:name="_Toc83581051"/>
      <w:bookmarkStart w:id="28" w:name="_Toc84405560"/>
      <w:bookmarkStart w:id="29" w:name="_Toc84414169"/>
      <w:r>
        <w:t>I.1</w:t>
      </w:r>
      <w:r>
        <w:tab/>
        <w:t xml:space="preserve">Indication of modified MPR </w:t>
      </w:r>
      <w:proofErr w:type="spellStart"/>
      <w:r>
        <w:t>behavior</w:t>
      </w:r>
      <w:bookmarkEnd w:id="18"/>
      <w:bookmarkEnd w:id="19"/>
      <w:bookmarkEnd w:id="20"/>
      <w:bookmarkEnd w:id="21"/>
      <w:bookmarkEnd w:id="22"/>
      <w:bookmarkEnd w:id="23"/>
      <w:bookmarkEnd w:id="24"/>
      <w:bookmarkEnd w:id="25"/>
      <w:bookmarkEnd w:id="26"/>
      <w:bookmarkEnd w:id="27"/>
      <w:bookmarkEnd w:id="28"/>
      <w:bookmarkEnd w:id="29"/>
      <w:proofErr w:type="spellEnd"/>
    </w:p>
    <w:p w14:paraId="565EAD5A" w14:textId="09EAB387" w:rsidR="00CA7A9A" w:rsidRDefault="00CA7A9A" w:rsidP="00CA7A9A">
      <w:r>
        <w:t xml:space="preserve">This annex contains the definitions of the bits in the field </w:t>
      </w:r>
      <w:proofErr w:type="spellStart"/>
      <w:r>
        <w:rPr>
          <w:i/>
        </w:rPr>
        <w:t>modifiedMPR-Behavior</w:t>
      </w:r>
      <w:proofErr w:type="spellEnd"/>
      <w:r>
        <w:t xml:space="preserve"> indicated per supported NR band in the IE </w:t>
      </w:r>
      <w:r>
        <w:rPr>
          <w:i/>
          <w:iCs/>
        </w:rPr>
        <w:t>RF-Parameters</w:t>
      </w:r>
      <w:r>
        <w:t xml:space="preserve"> [</w:t>
      </w:r>
      <w:r w:rsidR="003E165C">
        <w:t>6</w:t>
      </w:r>
      <w:r>
        <w:t xml:space="preserve">] by a UE supporting an MPR or A-MPR modified </w:t>
      </w:r>
      <w:proofErr w:type="gramStart"/>
      <w:r>
        <w:t>in a given</w:t>
      </w:r>
      <w:proofErr w:type="gramEnd"/>
      <w:r>
        <w:t xml:space="preserve"> version of this specification. A modified MPR or A-MPR behaviour can apply to a supported NR band in stand-alone operation (including CA and NN-DC operation) or in non-standalone operation with the said NR band as part of an EN-DC or NE-DC band combination.</w:t>
      </w:r>
    </w:p>
    <w:p w14:paraId="092D292B" w14:textId="764BBBD0" w:rsidR="00CA7A9A" w:rsidRDefault="00CA7A9A" w:rsidP="00CA7A9A">
      <w:pPr>
        <w:pStyle w:val="NO"/>
      </w:pPr>
      <w:r>
        <w:t>NOTE 1:</w:t>
      </w:r>
      <w:r>
        <w:tab/>
        <w:t xml:space="preserve">In the present release, the </w:t>
      </w:r>
      <w:proofErr w:type="spellStart"/>
      <w:r>
        <w:rPr>
          <w:i/>
        </w:rPr>
        <w:t>modifiedMPR-Behavior</w:t>
      </w:r>
      <w:proofErr w:type="spellEnd"/>
      <w:r>
        <w:t xml:space="preserve"> is indicated [</w:t>
      </w:r>
      <w:r w:rsidR="003E165C">
        <w:t>6</w:t>
      </w:r>
      <w:r>
        <w:t>] by an 8-bit bitmap per supported NR band.</w:t>
      </w:r>
    </w:p>
    <w:p w14:paraId="24911770" w14:textId="3BD3ADB4" w:rsidR="00CA7A9A" w:rsidRDefault="00CA7A9A" w:rsidP="00CA7A9A">
      <w:pPr>
        <w:pStyle w:val="TH"/>
      </w:pPr>
      <w:r>
        <w:t xml:space="preserve">Table I.1-1: Definitions of the bits in the field </w:t>
      </w:r>
      <w:proofErr w:type="spellStart"/>
      <w:r>
        <w:rPr>
          <w:i/>
        </w:rPr>
        <w:t>modifiedMPR-Behavior</w:t>
      </w:r>
      <w:proofErr w:type="spellEnd"/>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08"/>
        <w:gridCol w:w="4386"/>
        <w:gridCol w:w="2440"/>
      </w:tblGrid>
      <w:tr w:rsidR="00CA7A9A" w14:paraId="60FACC23" w14:textId="77777777" w:rsidTr="001440D8">
        <w:trPr>
          <w:jc w:val="center"/>
        </w:trPr>
        <w:tc>
          <w:tcPr>
            <w:tcW w:w="1396" w:type="dxa"/>
            <w:tcBorders>
              <w:top w:val="single" w:sz="4" w:space="0" w:color="auto"/>
              <w:left w:val="single" w:sz="4" w:space="0" w:color="auto"/>
              <w:bottom w:val="single" w:sz="4" w:space="0" w:color="auto"/>
              <w:right w:val="single" w:sz="4" w:space="0" w:color="auto"/>
            </w:tcBorders>
            <w:hideMark/>
          </w:tcPr>
          <w:p w14:paraId="6D3CDBBB" w14:textId="77777777" w:rsidR="00CA7A9A" w:rsidRDefault="00CA7A9A">
            <w:pPr>
              <w:pStyle w:val="TAH"/>
              <w:rPr>
                <w:rFonts w:cs="Arial"/>
                <w:lang w:eastAsia="en-GB"/>
              </w:rPr>
            </w:pPr>
            <w:r>
              <w:rPr>
                <w:rFonts w:cs="Arial"/>
                <w:lang w:eastAsia="en-GB"/>
              </w:rPr>
              <w:t>NR Band</w:t>
            </w:r>
          </w:p>
        </w:tc>
        <w:tc>
          <w:tcPr>
            <w:tcW w:w="1408" w:type="dxa"/>
            <w:tcBorders>
              <w:top w:val="single" w:sz="4" w:space="0" w:color="auto"/>
              <w:left w:val="single" w:sz="4" w:space="0" w:color="auto"/>
              <w:bottom w:val="single" w:sz="4" w:space="0" w:color="auto"/>
              <w:right w:val="single" w:sz="4" w:space="0" w:color="auto"/>
            </w:tcBorders>
            <w:hideMark/>
          </w:tcPr>
          <w:p w14:paraId="52C6900A" w14:textId="77777777" w:rsidR="00CA7A9A" w:rsidRDefault="00CA7A9A">
            <w:pPr>
              <w:pStyle w:val="TAH"/>
              <w:rPr>
                <w:rFonts w:cs="Arial"/>
                <w:i/>
                <w:lang w:eastAsia="en-GB"/>
              </w:rPr>
            </w:pPr>
            <w:r>
              <w:rPr>
                <w:rFonts w:cs="Arial"/>
                <w:lang w:eastAsia="en-GB"/>
              </w:rPr>
              <w:t>Index of field</w:t>
            </w:r>
          </w:p>
          <w:p w14:paraId="2690BA42" w14:textId="77777777" w:rsidR="00CA7A9A" w:rsidRDefault="00CA7A9A">
            <w:pPr>
              <w:pStyle w:val="TAH"/>
              <w:rPr>
                <w:rFonts w:cs="Arial"/>
                <w:lang w:eastAsia="en-GB"/>
              </w:rPr>
            </w:pPr>
            <w:r>
              <w:rPr>
                <w:rFonts w:cs="Arial"/>
                <w:b w:val="0"/>
                <w:bCs/>
                <w:lang w:eastAsia="en-GB"/>
              </w:rPr>
              <w:t>(</w:t>
            </w:r>
            <w:proofErr w:type="gramStart"/>
            <w:r>
              <w:rPr>
                <w:rFonts w:cs="Arial"/>
                <w:b w:val="0"/>
                <w:bCs/>
                <w:lang w:eastAsia="en-GB"/>
              </w:rPr>
              <w:t>bit</w:t>
            </w:r>
            <w:proofErr w:type="gramEnd"/>
            <w:r>
              <w:rPr>
                <w:rFonts w:cs="Arial"/>
                <w:b w:val="0"/>
                <w:bCs/>
                <w:lang w:eastAsia="en-GB"/>
              </w:rPr>
              <w:t xml:space="preserve"> number)</w:t>
            </w:r>
          </w:p>
        </w:tc>
        <w:tc>
          <w:tcPr>
            <w:tcW w:w="4386" w:type="dxa"/>
            <w:tcBorders>
              <w:top w:val="single" w:sz="4" w:space="0" w:color="auto"/>
              <w:left w:val="single" w:sz="4" w:space="0" w:color="auto"/>
              <w:bottom w:val="single" w:sz="4" w:space="0" w:color="auto"/>
              <w:right w:val="single" w:sz="4" w:space="0" w:color="auto"/>
            </w:tcBorders>
            <w:hideMark/>
          </w:tcPr>
          <w:p w14:paraId="19463BAA" w14:textId="77777777" w:rsidR="00CA7A9A" w:rsidRDefault="00CA7A9A">
            <w:pPr>
              <w:pStyle w:val="TAH"/>
              <w:rPr>
                <w:rFonts w:cs="Arial"/>
                <w:lang w:eastAsia="en-GB"/>
              </w:rPr>
            </w:pPr>
            <w:r>
              <w:rPr>
                <w:rFonts w:cs="Arial"/>
                <w:lang w:eastAsia="en-GB"/>
              </w:rPr>
              <w:t>Definition</w:t>
            </w:r>
          </w:p>
          <w:p w14:paraId="366B9963" w14:textId="77777777" w:rsidR="00CA7A9A" w:rsidRDefault="00CA7A9A">
            <w:pPr>
              <w:pStyle w:val="TAH"/>
              <w:rPr>
                <w:rFonts w:cs="Arial"/>
                <w:b w:val="0"/>
                <w:bCs/>
                <w:lang w:eastAsia="en-GB"/>
              </w:rPr>
            </w:pPr>
            <w:r>
              <w:rPr>
                <w:rFonts w:cs="Arial"/>
                <w:b w:val="0"/>
                <w:bCs/>
                <w:lang w:eastAsia="en-GB"/>
              </w:rPr>
              <w:t>(</w:t>
            </w:r>
            <w:proofErr w:type="gramStart"/>
            <w:r>
              <w:rPr>
                <w:rFonts w:cs="Arial"/>
                <w:b w:val="0"/>
                <w:bCs/>
                <w:lang w:eastAsia="en-GB"/>
              </w:rPr>
              <w:t>description</w:t>
            </w:r>
            <w:proofErr w:type="gramEnd"/>
            <w:r>
              <w:rPr>
                <w:rFonts w:cs="Arial"/>
                <w:b w:val="0"/>
                <w:bCs/>
                <w:lang w:eastAsia="en-GB"/>
              </w:rPr>
              <w:t xml:space="preserve"> of the supported functionality if indicator set to one)</w:t>
            </w:r>
          </w:p>
        </w:tc>
        <w:tc>
          <w:tcPr>
            <w:tcW w:w="2440" w:type="dxa"/>
            <w:tcBorders>
              <w:top w:val="single" w:sz="4" w:space="0" w:color="auto"/>
              <w:left w:val="single" w:sz="4" w:space="0" w:color="auto"/>
              <w:bottom w:val="single" w:sz="4" w:space="0" w:color="auto"/>
              <w:right w:val="single" w:sz="4" w:space="0" w:color="auto"/>
            </w:tcBorders>
            <w:hideMark/>
          </w:tcPr>
          <w:p w14:paraId="58E84062" w14:textId="77777777" w:rsidR="00CA7A9A" w:rsidRDefault="00CA7A9A">
            <w:pPr>
              <w:pStyle w:val="TAH"/>
              <w:rPr>
                <w:rFonts w:cs="Arial"/>
                <w:lang w:eastAsia="en-GB"/>
              </w:rPr>
            </w:pPr>
            <w:r>
              <w:rPr>
                <w:rFonts w:cs="Arial"/>
                <w:lang w:eastAsia="en-GB"/>
              </w:rPr>
              <w:t>Notes</w:t>
            </w:r>
          </w:p>
        </w:tc>
      </w:tr>
      <w:tr w:rsidR="00F36FF1" w14:paraId="22304AB7" w14:textId="77777777" w:rsidTr="001440D8">
        <w:trPr>
          <w:jc w:val="center"/>
        </w:trPr>
        <w:tc>
          <w:tcPr>
            <w:tcW w:w="1396" w:type="dxa"/>
            <w:tcBorders>
              <w:top w:val="single" w:sz="4" w:space="0" w:color="auto"/>
              <w:left w:val="single" w:sz="4" w:space="0" w:color="auto"/>
              <w:bottom w:val="nil"/>
              <w:right w:val="single" w:sz="4" w:space="0" w:color="auto"/>
            </w:tcBorders>
          </w:tcPr>
          <w:p w14:paraId="647F58AB" w14:textId="13CA850E" w:rsidR="00F36FF1" w:rsidRDefault="00F36FF1" w:rsidP="00F36FF1">
            <w:pPr>
              <w:pStyle w:val="TAC"/>
              <w:rPr>
                <w:lang w:eastAsia="en-GB"/>
              </w:rPr>
            </w:pPr>
            <w:r>
              <w:rPr>
                <w:lang w:eastAsia="en-GB"/>
              </w:rPr>
              <w:t>n30</w:t>
            </w:r>
          </w:p>
        </w:tc>
        <w:tc>
          <w:tcPr>
            <w:tcW w:w="1408" w:type="dxa"/>
            <w:tcBorders>
              <w:top w:val="single" w:sz="4" w:space="0" w:color="auto"/>
              <w:left w:val="single" w:sz="4" w:space="0" w:color="auto"/>
              <w:bottom w:val="single" w:sz="4" w:space="0" w:color="auto"/>
              <w:right w:val="single" w:sz="4" w:space="0" w:color="auto"/>
            </w:tcBorders>
          </w:tcPr>
          <w:p w14:paraId="04797FC0" w14:textId="5B5F189D" w:rsidR="00F36FF1" w:rsidRDefault="00F36FF1" w:rsidP="00F36FF1">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tcPr>
          <w:p w14:paraId="4426A43E" w14:textId="6A403785" w:rsidR="00F36FF1" w:rsidRDefault="00F36FF1" w:rsidP="00F36FF1">
            <w:pPr>
              <w:pStyle w:val="TAL"/>
              <w:rPr>
                <w:rFonts w:cs="Arial"/>
                <w:lang w:eastAsia="en-GB"/>
              </w:rPr>
            </w:pPr>
            <w:r>
              <w:rPr>
                <w:rFonts w:cs="Arial"/>
                <w:lang w:eastAsia="en-GB"/>
              </w:rPr>
              <w:t>Requirements for network signalling value NS_21 as defined in Clause 6.5.2.3.y of 38.101-1 v17.6.0 and A-MPR as defined in Clause 6.2.3.14 of 38.101-1 v17.6.0.</w:t>
            </w:r>
          </w:p>
        </w:tc>
        <w:tc>
          <w:tcPr>
            <w:tcW w:w="2440" w:type="dxa"/>
            <w:tcBorders>
              <w:top w:val="single" w:sz="4" w:space="0" w:color="auto"/>
              <w:left w:val="single" w:sz="4" w:space="0" w:color="auto"/>
              <w:bottom w:val="single" w:sz="4" w:space="0" w:color="auto"/>
              <w:right w:val="single" w:sz="4" w:space="0" w:color="auto"/>
            </w:tcBorders>
          </w:tcPr>
          <w:p w14:paraId="3C9EC627" w14:textId="77777777" w:rsidR="00F36FF1" w:rsidRDefault="00F36FF1" w:rsidP="00F36FF1">
            <w:pPr>
              <w:pStyle w:val="TAL"/>
              <w:rPr>
                <w:rFonts w:cs="Arial"/>
                <w:lang w:eastAsia="en-GB"/>
              </w:rPr>
            </w:pPr>
            <w:r>
              <w:rPr>
                <w:rFonts w:cs="Arial"/>
                <w:lang w:eastAsia="en-GB"/>
              </w:rPr>
              <w:t>This bit shall be set to 1 by a UE supporting the Rel-17 version of the specification.</w:t>
            </w:r>
          </w:p>
          <w:p w14:paraId="1977C0E8" w14:textId="3224A208" w:rsidR="00F36FF1" w:rsidRDefault="00F36FF1" w:rsidP="00F36FF1">
            <w:pPr>
              <w:pStyle w:val="TAL"/>
              <w:rPr>
                <w:rFonts w:cs="Arial"/>
                <w:lang w:eastAsia="en-GB"/>
              </w:rPr>
            </w:pPr>
            <w:r>
              <w:rPr>
                <w:rFonts w:cs="Arial"/>
                <w:lang w:eastAsia="en-GB"/>
              </w:rPr>
              <w:t>If the bit is not set, then requirements for NS_21 as defined in Clause 6.5.2.3.3 of 38.101-1 v16.11.0 and A-MPR as defined in Clause 6.2.3.14 of 38.101-1 v16.11.0 apply.</w:t>
            </w:r>
          </w:p>
        </w:tc>
      </w:tr>
      <w:tr w:rsidR="00CA7A9A" w14:paraId="169EAF5F" w14:textId="77777777" w:rsidTr="001440D8">
        <w:trPr>
          <w:jc w:val="center"/>
        </w:trPr>
        <w:tc>
          <w:tcPr>
            <w:tcW w:w="1396" w:type="dxa"/>
            <w:tcBorders>
              <w:top w:val="single" w:sz="4" w:space="0" w:color="auto"/>
              <w:left w:val="single" w:sz="4" w:space="0" w:color="auto"/>
              <w:bottom w:val="nil"/>
              <w:right w:val="single" w:sz="4" w:space="0" w:color="auto"/>
            </w:tcBorders>
            <w:hideMark/>
          </w:tcPr>
          <w:p w14:paraId="00A74DCD" w14:textId="77777777" w:rsidR="00CA7A9A" w:rsidRDefault="00CA7A9A">
            <w:pPr>
              <w:pStyle w:val="TAC"/>
              <w:rPr>
                <w:lang w:eastAsia="en-GB"/>
              </w:rPr>
            </w:pPr>
            <w:r>
              <w:rPr>
                <w:lang w:eastAsia="en-GB"/>
              </w:rPr>
              <w:t>n41</w:t>
            </w:r>
          </w:p>
        </w:tc>
        <w:tc>
          <w:tcPr>
            <w:tcW w:w="1408" w:type="dxa"/>
            <w:tcBorders>
              <w:top w:val="single" w:sz="4" w:space="0" w:color="auto"/>
              <w:left w:val="single" w:sz="4" w:space="0" w:color="auto"/>
              <w:bottom w:val="single" w:sz="4" w:space="0" w:color="auto"/>
              <w:right w:val="single" w:sz="4" w:space="0" w:color="auto"/>
            </w:tcBorders>
            <w:hideMark/>
          </w:tcPr>
          <w:p w14:paraId="2D606D6B" w14:textId="77777777" w:rsidR="00CA7A9A" w:rsidRDefault="00CA7A9A">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67526156" w14:textId="77777777" w:rsidR="00CA7A9A" w:rsidRDefault="00CA7A9A">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5E6CFFD0" w14:textId="77777777" w:rsidR="00CA7A9A" w:rsidRDefault="00CA7A9A">
            <w:pPr>
              <w:pStyle w:val="TAL"/>
              <w:rPr>
                <w:rFonts w:cs="Arial"/>
                <w:lang w:eastAsia="en-GB"/>
              </w:rPr>
            </w:pPr>
            <w:r>
              <w:rPr>
                <w:rFonts w:cs="Arial"/>
                <w:lang w:eastAsia="en-GB"/>
              </w:rPr>
              <w:t xml:space="preserve">- This bit shall be set to 1 by a UE supporting DC_(n)41AA UE EN-DC </w:t>
            </w:r>
          </w:p>
        </w:tc>
      </w:tr>
      <w:tr w:rsidR="00CA7A9A" w14:paraId="3C14AE88" w14:textId="77777777" w:rsidTr="001440D8">
        <w:trPr>
          <w:jc w:val="center"/>
        </w:trPr>
        <w:tc>
          <w:tcPr>
            <w:tcW w:w="1396" w:type="dxa"/>
            <w:tcBorders>
              <w:top w:val="nil"/>
              <w:left w:val="single" w:sz="4" w:space="0" w:color="auto"/>
              <w:bottom w:val="nil"/>
              <w:right w:val="single" w:sz="4" w:space="0" w:color="auto"/>
            </w:tcBorders>
          </w:tcPr>
          <w:p w14:paraId="60BA9D10" w14:textId="77777777" w:rsidR="00CA7A9A" w:rsidRDefault="00CA7A9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72284893" w14:textId="77777777" w:rsidR="00CA7A9A" w:rsidRDefault="00CA7A9A">
            <w:pPr>
              <w:pStyle w:val="TAL"/>
              <w:rPr>
                <w:rFonts w:cs="Arial"/>
                <w:lang w:eastAsia="en-GB"/>
              </w:rPr>
            </w:pPr>
            <w:r>
              <w:rPr>
                <w:rFonts w:cs="Arial"/>
                <w:lang w:eastAsia="en-GB"/>
              </w:rPr>
              <w:t>1</w:t>
            </w:r>
          </w:p>
        </w:tc>
        <w:tc>
          <w:tcPr>
            <w:tcW w:w="4386" w:type="dxa"/>
            <w:tcBorders>
              <w:top w:val="single" w:sz="4" w:space="0" w:color="auto"/>
              <w:left w:val="single" w:sz="4" w:space="0" w:color="auto"/>
              <w:bottom w:val="single" w:sz="4" w:space="0" w:color="auto"/>
              <w:right w:val="single" w:sz="4" w:space="0" w:color="auto"/>
            </w:tcBorders>
            <w:hideMark/>
          </w:tcPr>
          <w:p w14:paraId="0E752079" w14:textId="77777777" w:rsidR="00CA7A9A" w:rsidRDefault="00CA7A9A">
            <w:pPr>
              <w:pStyle w:val="TAL"/>
              <w:rPr>
                <w:rFonts w:cs="Arial"/>
                <w:lang w:eastAsia="en-GB"/>
              </w:rPr>
            </w:pPr>
            <w:r>
              <w:rPr>
                <w:rFonts w:cs="Arial"/>
                <w:lang w:eastAsia="en-GB"/>
              </w:rPr>
              <w:t xml:space="preserve">EN-DC non-contiguous </w:t>
            </w:r>
            <w:proofErr w:type="spellStart"/>
            <w:r>
              <w:rPr>
                <w:rFonts w:cs="Arial"/>
                <w:lang w:eastAsia="en-GB"/>
              </w:rPr>
              <w:t>intraband</w:t>
            </w:r>
            <w:proofErr w:type="spellEnd"/>
            <w:r>
              <w:rPr>
                <w:rFonts w:cs="Arial"/>
                <w:lang w:eastAsia="en-GB"/>
              </w:rPr>
              <w:t xml:space="preserve"> MPR as defined in clause 6.2B.2.2 of 38.101-3 v15.5.0</w:t>
            </w:r>
          </w:p>
        </w:tc>
        <w:tc>
          <w:tcPr>
            <w:tcW w:w="2440" w:type="dxa"/>
            <w:tcBorders>
              <w:top w:val="single" w:sz="4" w:space="0" w:color="auto"/>
              <w:left w:val="single" w:sz="4" w:space="0" w:color="auto"/>
              <w:bottom w:val="single" w:sz="4" w:space="0" w:color="auto"/>
              <w:right w:val="single" w:sz="4" w:space="0" w:color="auto"/>
            </w:tcBorders>
            <w:hideMark/>
          </w:tcPr>
          <w:p w14:paraId="3E6B792E" w14:textId="77777777" w:rsidR="00CA7A9A" w:rsidRDefault="00CA7A9A">
            <w:pPr>
              <w:pStyle w:val="TAL"/>
              <w:rPr>
                <w:rFonts w:cs="Arial"/>
                <w:lang w:eastAsia="en-GB"/>
              </w:rPr>
            </w:pPr>
            <w:r>
              <w:rPr>
                <w:rFonts w:cs="Arial"/>
                <w:lang w:eastAsia="en-GB"/>
              </w:rPr>
              <w:t xml:space="preserve">- This bit shall be set to 1 by a UE supporting DC_41A_n41A EN-DC </w:t>
            </w:r>
          </w:p>
        </w:tc>
      </w:tr>
      <w:tr w:rsidR="00CA7A9A" w14:paraId="162D73FF" w14:textId="77777777" w:rsidTr="001440D8">
        <w:trPr>
          <w:jc w:val="center"/>
        </w:trPr>
        <w:tc>
          <w:tcPr>
            <w:tcW w:w="1396" w:type="dxa"/>
            <w:tcBorders>
              <w:top w:val="nil"/>
              <w:left w:val="single" w:sz="4" w:space="0" w:color="auto"/>
              <w:bottom w:val="nil"/>
              <w:right w:val="single" w:sz="4" w:space="0" w:color="auto"/>
            </w:tcBorders>
          </w:tcPr>
          <w:p w14:paraId="00786290" w14:textId="77777777" w:rsidR="00CA7A9A" w:rsidRDefault="00CA7A9A">
            <w:pPr>
              <w:pStyle w:val="TAC"/>
              <w:rPr>
                <w:lang w:eastAsia="en-GB"/>
              </w:rPr>
            </w:pPr>
          </w:p>
        </w:tc>
        <w:tc>
          <w:tcPr>
            <w:tcW w:w="1408" w:type="dxa"/>
            <w:tcBorders>
              <w:top w:val="single" w:sz="4" w:space="0" w:color="auto"/>
              <w:left w:val="single" w:sz="4" w:space="0" w:color="auto"/>
              <w:bottom w:val="single" w:sz="4" w:space="0" w:color="auto"/>
              <w:right w:val="single" w:sz="4" w:space="0" w:color="auto"/>
            </w:tcBorders>
            <w:hideMark/>
          </w:tcPr>
          <w:p w14:paraId="2569E8E9" w14:textId="77777777" w:rsidR="00CA7A9A" w:rsidRDefault="00CA7A9A">
            <w:pPr>
              <w:pStyle w:val="TAL"/>
              <w:rPr>
                <w:rFonts w:cs="Arial"/>
                <w:lang w:eastAsia="en-GB"/>
              </w:rPr>
            </w:pPr>
            <w:r>
              <w:rPr>
                <w:rFonts w:cs="Arial"/>
                <w:lang w:eastAsia="en-GB"/>
              </w:rPr>
              <w:t>2</w:t>
            </w:r>
          </w:p>
        </w:tc>
        <w:tc>
          <w:tcPr>
            <w:tcW w:w="4386" w:type="dxa"/>
            <w:tcBorders>
              <w:top w:val="single" w:sz="4" w:space="0" w:color="auto"/>
              <w:left w:val="single" w:sz="4" w:space="0" w:color="auto"/>
              <w:bottom w:val="single" w:sz="4" w:space="0" w:color="auto"/>
              <w:right w:val="single" w:sz="4" w:space="0" w:color="auto"/>
            </w:tcBorders>
            <w:hideMark/>
          </w:tcPr>
          <w:p w14:paraId="6B18E7C4" w14:textId="77777777" w:rsidR="00CA7A9A" w:rsidRDefault="00CA7A9A">
            <w:pPr>
              <w:pStyle w:val="TAL"/>
              <w:rPr>
                <w:rFonts w:cs="Arial"/>
                <w:lang w:eastAsia="en-GB"/>
              </w:rPr>
            </w:pPr>
            <w:r>
              <w:rPr>
                <w:lang w:eastAsia="en-GB"/>
              </w:rPr>
              <w:t xml:space="preserve">EN-DC contiguous and non-contiguous </w:t>
            </w:r>
            <w:proofErr w:type="spellStart"/>
            <w:r>
              <w:rPr>
                <w:lang w:eastAsia="en-GB"/>
              </w:rPr>
              <w:t>intraband</w:t>
            </w:r>
            <w:proofErr w:type="spellEnd"/>
            <w:r>
              <w:rPr>
                <w:lang w:eastAsia="en-GB"/>
              </w:rPr>
              <w:t xml:space="preserve"> MPR and A-MPR as defined in 38.101-3 v16.4.0. If this bit is not set the UE uses Rel-15 MPR or A-MPR for EN-DC contiguous and non-contiguous </w:t>
            </w:r>
            <w:proofErr w:type="spellStart"/>
            <w:r>
              <w:rPr>
                <w:lang w:eastAsia="en-GB"/>
              </w:rPr>
              <w:t>intraband</w:t>
            </w:r>
            <w:proofErr w:type="spellEnd"/>
            <w:r>
              <w:rPr>
                <w:lang w:eastAsia="en-GB"/>
              </w:rPr>
              <w:t xml:space="preserve"> MPR and A-MPR </w:t>
            </w:r>
          </w:p>
        </w:tc>
        <w:tc>
          <w:tcPr>
            <w:tcW w:w="2440" w:type="dxa"/>
            <w:tcBorders>
              <w:top w:val="single" w:sz="4" w:space="0" w:color="auto"/>
              <w:left w:val="single" w:sz="4" w:space="0" w:color="auto"/>
              <w:bottom w:val="single" w:sz="4" w:space="0" w:color="auto"/>
              <w:right w:val="single" w:sz="4" w:space="0" w:color="auto"/>
            </w:tcBorders>
            <w:hideMark/>
          </w:tcPr>
          <w:p w14:paraId="35804D97" w14:textId="77777777" w:rsidR="00CA7A9A" w:rsidRDefault="00CA7A9A">
            <w:pPr>
              <w:pStyle w:val="TAL"/>
              <w:rPr>
                <w:rFonts w:cs="Arial"/>
                <w:lang w:eastAsia="en-GB"/>
              </w:rPr>
            </w:pPr>
            <w:r>
              <w:rPr>
                <w:lang w:eastAsia="en-GB"/>
              </w:rPr>
              <w:t xml:space="preserve">-This bit may be set to 1 by a UE supporting DC_(n)41AA or DC_41A_n41A EN-DC </w:t>
            </w:r>
          </w:p>
        </w:tc>
      </w:tr>
      <w:tr w:rsidR="00FF41EA" w14:paraId="548DE78F" w14:textId="77777777" w:rsidTr="001440D8">
        <w:trPr>
          <w:jc w:val="center"/>
          <w:ins w:id="30" w:author="Flores Fernandez" w:date="2022-11-04T19:03:00Z"/>
        </w:trPr>
        <w:tc>
          <w:tcPr>
            <w:tcW w:w="1396" w:type="dxa"/>
            <w:tcBorders>
              <w:top w:val="nil"/>
              <w:left w:val="single" w:sz="4" w:space="0" w:color="auto"/>
              <w:bottom w:val="nil"/>
              <w:right w:val="single" w:sz="4" w:space="0" w:color="auto"/>
            </w:tcBorders>
          </w:tcPr>
          <w:p w14:paraId="34D7BB33" w14:textId="77777777" w:rsidR="00FF41EA" w:rsidRDefault="00FF41EA" w:rsidP="00FF41EA">
            <w:pPr>
              <w:pStyle w:val="TAC"/>
              <w:rPr>
                <w:ins w:id="31" w:author="Flores Fernandez" w:date="2022-11-04T19:03:00Z"/>
                <w:lang w:eastAsia="en-GB"/>
              </w:rPr>
            </w:pPr>
          </w:p>
        </w:tc>
        <w:tc>
          <w:tcPr>
            <w:tcW w:w="1408" w:type="dxa"/>
            <w:tcBorders>
              <w:top w:val="single" w:sz="4" w:space="0" w:color="auto"/>
              <w:left w:val="single" w:sz="4" w:space="0" w:color="auto"/>
              <w:bottom w:val="single" w:sz="4" w:space="0" w:color="auto"/>
              <w:right w:val="single" w:sz="4" w:space="0" w:color="auto"/>
            </w:tcBorders>
          </w:tcPr>
          <w:p w14:paraId="533570BD" w14:textId="6628A6C9" w:rsidR="00FF41EA" w:rsidRDefault="00FF41EA" w:rsidP="00FF41EA">
            <w:pPr>
              <w:pStyle w:val="TAL"/>
              <w:rPr>
                <w:ins w:id="32" w:author="Flores Fernandez" w:date="2022-11-04T19:03:00Z"/>
                <w:rFonts w:cs="Arial"/>
                <w:lang w:eastAsia="en-GB"/>
              </w:rPr>
            </w:pPr>
            <w:ins w:id="33" w:author="Flores Fernandez" w:date="2022-11-04T19:03:00Z">
              <w:r>
                <w:rPr>
                  <w:rFonts w:cs="Arial"/>
                  <w:lang w:eastAsia="en-GB"/>
                </w:rPr>
                <w:t>3</w:t>
              </w:r>
            </w:ins>
          </w:p>
        </w:tc>
        <w:tc>
          <w:tcPr>
            <w:tcW w:w="4386" w:type="dxa"/>
            <w:tcBorders>
              <w:top w:val="single" w:sz="4" w:space="0" w:color="auto"/>
              <w:left w:val="single" w:sz="4" w:space="0" w:color="auto"/>
              <w:bottom w:val="single" w:sz="4" w:space="0" w:color="auto"/>
              <w:right w:val="single" w:sz="4" w:space="0" w:color="auto"/>
            </w:tcBorders>
          </w:tcPr>
          <w:p w14:paraId="4432DB00" w14:textId="62779C16" w:rsidR="00FF41EA" w:rsidRDefault="00FF41EA" w:rsidP="00FF41EA">
            <w:pPr>
              <w:pStyle w:val="TAL"/>
              <w:rPr>
                <w:ins w:id="34" w:author="Flores Fernandez" w:date="2022-11-04T19:03:00Z"/>
                <w:lang w:eastAsia="en-GB"/>
              </w:rPr>
            </w:pPr>
            <w:ins w:id="35" w:author="Flores Fernandez" w:date="2022-11-04T19:03:00Z">
              <w:r>
                <w:rPr>
                  <w:rFonts w:cs="Arial"/>
                  <w:lang w:eastAsia="en-GB"/>
                </w:rPr>
                <w:t xml:space="preserve">PC 1.5 MPR as defined in </w:t>
              </w:r>
              <w:r>
                <w:rPr>
                  <w:lang w:eastAsia="en-GB"/>
                </w:rPr>
                <w:t>Table 6.2D.2.3-3</w:t>
              </w:r>
            </w:ins>
          </w:p>
        </w:tc>
        <w:tc>
          <w:tcPr>
            <w:tcW w:w="2440" w:type="dxa"/>
            <w:tcBorders>
              <w:top w:val="single" w:sz="4" w:space="0" w:color="auto"/>
              <w:left w:val="single" w:sz="4" w:space="0" w:color="auto"/>
              <w:bottom w:val="single" w:sz="4" w:space="0" w:color="auto"/>
              <w:right w:val="single" w:sz="4" w:space="0" w:color="auto"/>
            </w:tcBorders>
          </w:tcPr>
          <w:p w14:paraId="6E086EC2" w14:textId="57DA0755" w:rsidR="00FF41EA" w:rsidRDefault="00FF41EA" w:rsidP="00FF41EA">
            <w:pPr>
              <w:pStyle w:val="TAL"/>
              <w:rPr>
                <w:ins w:id="36" w:author="Flores Fernandez" w:date="2022-11-04T19:03:00Z"/>
                <w:lang w:eastAsia="en-GB"/>
              </w:rPr>
            </w:pPr>
            <w:ins w:id="37" w:author="Flores Fernandez" w:date="2022-11-04T19:03:00Z">
              <w:r>
                <w:rPr>
                  <w:rFonts w:cs="Arial"/>
                  <w:lang w:eastAsia="en-GB"/>
                </w:rPr>
                <w:t>This bit may be set to 1 by a UE of any release supporting power class 1.5. This bit is intended to be set by larger form factor FWA devices. If the bit is not set for a Rel-17 and later UE, PC 1.5 MPR</w:t>
              </w:r>
              <w:r>
                <w:rPr>
                  <w:lang w:eastAsia="en-GB"/>
                </w:rPr>
                <w:t xml:space="preserve"> </w:t>
              </w:r>
              <w:r>
                <w:rPr>
                  <w:rFonts w:cs="Arial"/>
                  <w:lang w:eastAsia="en-GB"/>
                </w:rPr>
                <w:t>as defined in Table 6.2D.2.3-2 applies. If the bit is not set for a Rel-16 and earlier UE, MPR in Table 6.2.2-4 of 38.101-1 v16.5.0 applies.</w:t>
              </w:r>
            </w:ins>
          </w:p>
        </w:tc>
      </w:tr>
      <w:tr w:rsidR="00CA7A9A" w14:paraId="269718DF" w14:textId="77777777" w:rsidTr="001440D8">
        <w:trPr>
          <w:jc w:val="center"/>
        </w:trPr>
        <w:tc>
          <w:tcPr>
            <w:tcW w:w="1396" w:type="dxa"/>
            <w:tcBorders>
              <w:top w:val="single" w:sz="4" w:space="0" w:color="auto"/>
              <w:left w:val="single" w:sz="4" w:space="0" w:color="auto"/>
              <w:bottom w:val="single" w:sz="4" w:space="0" w:color="auto"/>
              <w:right w:val="single" w:sz="4" w:space="0" w:color="auto"/>
            </w:tcBorders>
            <w:hideMark/>
          </w:tcPr>
          <w:p w14:paraId="2410F540" w14:textId="77777777" w:rsidR="00CA7A9A" w:rsidRDefault="00CA7A9A">
            <w:pPr>
              <w:pStyle w:val="TAC"/>
              <w:rPr>
                <w:lang w:eastAsia="en-GB"/>
              </w:rPr>
            </w:pPr>
            <w:r>
              <w:rPr>
                <w:lang w:eastAsia="en-GB"/>
              </w:rPr>
              <w:t>n71</w:t>
            </w:r>
          </w:p>
        </w:tc>
        <w:tc>
          <w:tcPr>
            <w:tcW w:w="1408" w:type="dxa"/>
            <w:tcBorders>
              <w:top w:val="single" w:sz="4" w:space="0" w:color="auto"/>
              <w:left w:val="single" w:sz="4" w:space="0" w:color="auto"/>
              <w:bottom w:val="single" w:sz="4" w:space="0" w:color="auto"/>
              <w:right w:val="single" w:sz="4" w:space="0" w:color="auto"/>
            </w:tcBorders>
            <w:hideMark/>
          </w:tcPr>
          <w:p w14:paraId="399D4CB3" w14:textId="77777777" w:rsidR="00CA7A9A" w:rsidRDefault="00CA7A9A">
            <w:pPr>
              <w:pStyle w:val="TAL"/>
              <w:rPr>
                <w:rFonts w:cs="Arial"/>
                <w:lang w:eastAsia="en-GB"/>
              </w:rPr>
            </w:pPr>
            <w:r>
              <w:rPr>
                <w:rFonts w:cs="Arial"/>
                <w:lang w:eastAsia="en-GB"/>
              </w:rPr>
              <w:t>0 (leftmost bit)</w:t>
            </w:r>
          </w:p>
        </w:tc>
        <w:tc>
          <w:tcPr>
            <w:tcW w:w="4386" w:type="dxa"/>
            <w:tcBorders>
              <w:top w:val="single" w:sz="4" w:space="0" w:color="auto"/>
              <w:left w:val="single" w:sz="4" w:space="0" w:color="auto"/>
              <w:bottom w:val="single" w:sz="4" w:space="0" w:color="auto"/>
              <w:right w:val="single" w:sz="4" w:space="0" w:color="auto"/>
            </w:tcBorders>
            <w:hideMark/>
          </w:tcPr>
          <w:p w14:paraId="62944E8F" w14:textId="77777777" w:rsidR="00CA7A9A" w:rsidRDefault="00CA7A9A">
            <w:pPr>
              <w:pStyle w:val="TAL"/>
              <w:rPr>
                <w:rFonts w:cs="Arial"/>
                <w:lang w:eastAsia="en-GB"/>
              </w:rPr>
            </w:pPr>
            <w:r>
              <w:rPr>
                <w:rFonts w:cs="Arial"/>
                <w:lang w:eastAsia="en-GB"/>
              </w:rPr>
              <w:t xml:space="preserve">EN-DC contiguous </w:t>
            </w:r>
            <w:proofErr w:type="spellStart"/>
            <w:r>
              <w:rPr>
                <w:rFonts w:cs="Arial"/>
                <w:lang w:eastAsia="en-GB"/>
              </w:rPr>
              <w:t>intraband</w:t>
            </w:r>
            <w:proofErr w:type="spellEnd"/>
            <w:r>
              <w:rPr>
                <w:rFonts w:cs="Arial"/>
                <w:lang w:eastAsia="en-GB"/>
              </w:rPr>
              <w:t xml:space="preserve"> MPR as defined in clause 6.2B.2.1 of 38.101-3 v15.5.0</w:t>
            </w:r>
          </w:p>
        </w:tc>
        <w:tc>
          <w:tcPr>
            <w:tcW w:w="2440" w:type="dxa"/>
            <w:tcBorders>
              <w:top w:val="single" w:sz="4" w:space="0" w:color="auto"/>
              <w:left w:val="single" w:sz="4" w:space="0" w:color="auto"/>
              <w:bottom w:val="single" w:sz="4" w:space="0" w:color="auto"/>
              <w:right w:val="single" w:sz="4" w:space="0" w:color="auto"/>
            </w:tcBorders>
            <w:hideMark/>
          </w:tcPr>
          <w:p w14:paraId="6E96B47D" w14:textId="77777777" w:rsidR="00CA7A9A" w:rsidRDefault="00CA7A9A">
            <w:pPr>
              <w:pStyle w:val="TAL"/>
              <w:rPr>
                <w:rFonts w:cs="Arial"/>
                <w:lang w:eastAsia="en-GB"/>
              </w:rPr>
            </w:pPr>
            <w:r>
              <w:rPr>
                <w:rFonts w:cs="Arial"/>
                <w:lang w:eastAsia="en-GB"/>
              </w:rPr>
              <w:t xml:space="preserve">- This bit shall be set to 1 by a UE supporting DC_(n)71AA UE EN-DC </w:t>
            </w:r>
          </w:p>
        </w:tc>
      </w:tr>
    </w:tbl>
    <w:bookmarkEnd w:id="16"/>
    <w:bookmarkEnd w:id="17"/>
    <w:p w14:paraId="37CCE097" w14:textId="54949DFD" w:rsidR="00D54730" w:rsidRPr="00D03EA9" w:rsidRDefault="00D54730" w:rsidP="00D03EA9">
      <w:pPr>
        <w:pStyle w:val="Heading2"/>
        <w:rPr>
          <w:color w:val="FF0000"/>
        </w:rPr>
      </w:pPr>
      <w:r w:rsidRPr="00874CC0">
        <w:rPr>
          <w:color w:val="FF0000"/>
        </w:rPr>
        <w:t xml:space="preserve">&lt;&lt;&lt; </w:t>
      </w:r>
      <w:r>
        <w:rPr>
          <w:color w:val="FF0000"/>
        </w:rPr>
        <w:t>END</w:t>
      </w:r>
      <w:r w:rsidRPr="00874CC0">
        <w:rPr>
          <w:color w:val="FF0000"/>
        </w:rPr>
        <w:t xml:space="preserve"> OF CHANGES &gt;&gt;&gt;</w:t>
      </w:r>
    </w:p>
    <w:sectPr w:rsidR="00D54730" w:rsidRPr="00D03EA9" w:rsidSect="00E315E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02BE0" w14:textId="77777777" w:rsidR="002A7755" w:rsidRDefault="002A7755">
      <w:r>
        <w:separator/>
      </w:r>
    </w:p>
  </w:endnote>
  <w:endnote w:type="continuationSeparator" w:id="0">
    <w:p w14:paraId="1F9ACCAB" w14:textId="77777777" w:rsidR="002A7755" w:rsidRDefault="002A77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061FCE" w14:textId="77777777" w:rsidR="002A7755" w:rsidRDefault="002A7755">
      <w:r>
        <w:separator/>
      </w:r>
    </w:p>
  </w:footnote>
  <w:footnote w:type="continuationSeparator" w:id="0">
    <w:p w14:paraId="2860D7AE" w14:textId="77777777" w:rsidR="002A7755" w:rsidRDefault="002A77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36B60"/>
    <w:rsid w:val="00041509"/>
    <w:rsid w:val="00043313"/>
    <w:rsid w:val="00052D6F"/>
    <w:rsid w:val="00073783"/>
    <w:rsid w:val="00073872"/>
    <w:rsid w:val="000A2704"/>
    <w:rsid w:val="000A6394"/>
    <w:rsid w:val="000B0FAA"/>
    <w:rsid w:val="000B7F70"/>
    <w:rsid w:val="000B7FED"/>
    <w:rsid w:val="000C038A"/>
    <w:rsid w:val="000C6598"/>
    <w:rsid w:val="000D0054"/>
    <w:rsid w:val="000D2D4E"/>
    <w:rsid w:val="000D44B3"/>
    <w:rsid w:val="000F44FB"/>
    <w:rsid w:val="000F5A76"/>
    <w:rsid w:val="0010029F"/>
    <w:rsid w:val="00110ABA"/>
    <w:rsid w:val="00125C3A"/>
    <w:rsid w:val="00131118"/>
    <w:rsid w:val="001440D8"/>
    <w:rsid w:val="00145D43"/>
    <w:rsid w:val="0015085F"/>
    <w:rsid w:val="00151327"/>
    <w:rsid w:val="00152ED8"/>
    <w:rsid w:val="00163913"/>
    <w:rsid w:val="001816FF"/>
    <w:rsid w:val="00192C46"/>
    <w:rsid w:val="001A08B3"/>
    <w:rsid w:val="001A2CA0"/>
    <w:rsid w:val="001A7B60"/>
    <w:rsid w:val="001B05F9"/>
    <w:rsid w:val="001B5260"/>
    <w:rsid w:val="001B52F0"/>
    <w:rsid w:val="001B7A65"/>
    <w:rsid w:val="001C1DE2"/>
    <w:rsid w:val="001C685F"/>
    <w:rsid w:val="001D09A9"/>
    <w:rsid w:val="001E41F3"/>
    <w:rsid w:val="001F64AF"/>
    <w:rsid w:val="001F7FBE"/>
    <w:rsid w:val="00202FAC"/>
    <w:rsid w:val="00204C87"/>
    <w:rsid w:val="002145C2"/>
    <w:rsid w:val="00215933"/>
    <w:rsid w:val="00223B16"/>
    <w:rsid w:val="00225C87"/>
    <w:rsid w:val="00225E1B"/>
    <w:rsid w:val="00236828"/>
    <w:rsid w:val="002463C6"/>
    <w:rsid w:val="00257FD2"/>
    <w:rsid w:val="0026004D"/>
    <w:rsid w:val="00262A81"/>
    <w:rsid w:val="002640DD"/>
    <w:rsid w:val="00275D12"/>
    <w:rsid w:val="00283E73"/>
    <w:rsid w:val="00284FEB"/>
    <w:rsid w:val="002860C4"/>
    <w:rsid w:val="0028665B"/>
    <w:rsid w:val="002A4B6B"/>
    <w:rsid w:val="002A5F00"/>
    <w:rsid w:val="002A7755"/>
    <w:rsid w:val="002B2C97"/>
    <w:rsid w:val="002B3F9F"/>
    <w:rsid w:val="002B5741"/>
    <w:rsid w:val="002C3A9A"/>
    <w:rsid w:val="002C6D26"/>
    <w:rsid w:val="002E472E"/>
    <w:rsid w:val="002F0217"/>
    <w:rsid w:val="002F7883"/>
    <w:rsid w:val="003024EE"/>
    <w:rsid w:val="00303962"/>
    <w:rsid w:val="00305409"/>
    <w:rsid w:val="003121FA"/>
    <w:rsid w:val="00316C9F"/>
    <w:rsid w:val="00323170"/>
    <w:rsid w:val="0032392C"/>
    <w:rsid w:val="00327AD6"/>
    <w:rsid w:val="003334CA"/>
    <w:rsid w:val="00343C64"/>
    <w:rsid w:val="00353952"/>
    <w:rsid w:val="003609EF"/>
    <w:rsid w:val="0036231A"/>
    <w:rsid w:val="00365C1E"/>
    <w:rsid w:val="00371071"/>
    <w:rsid w:val="00374468"/>
    <w:rsid w:val="00374DD4"/>
    <w:rsid w:val="003A0B84"/>
    <w:rsid w:val="003A4639"/>
    <w:rsid w:val="003B7FA8"/>
    <w:rsid w:val="003C0D3E"/>
    <w:rsid w:val="003C7F43"/>
    <w:rsid w:val="003D71E9"/>
    <w:rsid w:val="003E165C"/>
    <w:rsid w:val="003E1A36"/>
    <w:rsid w:val="00410371"/>
    <w:rsid w:val="00423097"/>
    <w:rsid w:val="004242F1"/>
    <w:rsid w:val="0043622F"/>
    <w:rsid w:val="004449D7"/>
    <w:rsid w:val="00446046"/>
    <w:rsid w:val="0044680D"/>
    <w:rsid w:val="00465274"/>
    <w:rsid w:val="004818E5"/>
    <w:rsid w:val="0048346C"/>
    <w:rsid w:val="00486C6B"/>
    <w:rsid w:val="004A00B9"/>
    <w:rsid w:val="004A4AD1"/>
    <w:rsid w:val="004B75B7"/>
    <w:rsid w:val="004E2954"/>
    <w:rsid w:val="004F2FE4"/>
    <w:rsid w:val="004F4948"/>
    <w:rsid w:val="004F7146"/>
    <w:rsid w:val="00502CDB"/>
    <w:rsid w:val="0051580D"/>
    <w:rsid w:val="0054332A"/>
    <w:rsid w:val="00547111"/>
    <w:rsid w:val="00561E0C"/>
    <w:rsid w:val="0056516A"/>
    <w:rsid w:val="0057312B"/>
    <w:rsid w:val="0058291D"/>
    <w:rsid w:val="00592D74"/>
    <w:rsid w:val="0059430F"/>
    <w:rsid w:val="00596FA9"/>
    <w:rsid w:val="00597CF6"/>
    <w:rsid w:val="005C3E77"/>
    <w:rsid w:val="005E2C44"/>
    <w:rsid w:val="00601A1B"/>
    <w:rsid w:val="00613E45"/>
    <w:rsid w:val="00621188"/>
    <w:rsid w:val="006257ED"/>
    <w:rsid w:val="00631848"/>
    <w:rsid w:val="00634F16"/>
    <w:rsid w:val="006376C6"/>
    <w:rsid w:val="0064120B"/>
    <w:rsid w:val="00641377"/>
    <w:rsid w:val="006459D2"/>
    <w:rsid w:val="00646F93"/>
    <w:rsid w:val="00657BA6"/>
    <w:rsid w:val="00662FCB"/>
    <w:rsid w:val="00663C76"/>
    <w:rsid w:val="00665C47"/>
    <w:rsid w:val="00671915"/>
    <w:rsid w:val="00695808"/>
    <w:rsid w:val="00697F4C"/>
    <w:rsid w:val="006B46FB"/>
    <w:rsid w:val="006B4A22"/>
    <w:rsid w:val="006C0620"/>
    <w:rsid w:val="006C6BB2"/>
    <w:rsid w:val="006D0F8E"/>
    <w:rsid w:val="006D3476"/>
    <w:rsid w:val="006D3C97"/>
    <w:rsid w:val="006E21FB"/>
    <w:rsid w:val="006F3B47"/>
    <w:rsid w:val="0070580C"/>
    <w:rsid w:val="00714BEA"/>
    <w:rsid w:val="0071505B"/>
    <w:rsid w:val="007176FF"/>
    <w:rsid w:val="007258B2"/>
    <w:rsid w:val="0073384B"/>
    <w:rsid w:val="007362E6"/>
    <w:rsid w:val="0074403F"/>
    <w:rsid w:val="00752A96"/>
    <w:rsid w:val="0075358F"/>
    <w:rsid w:val="00772EFB"/>
    <w:rsid w:val="00792342"/>
    <w:rsid w:val="0079469A"/>
    <w:rsid w:val="007977A8"/>
    <w:rsid w:val="007A1A23"/>
    <w:rsid w:val="007A497B"/>
    <w:rsid w:val="007A5148"/>
    <w:rsid w:val="007A6792"/>
    <w:rsid w:val="007B4167"/>
    <w:rsid w:val="007B512A"/>
    <w:rsid w:val="007B5D43"/>
    <w:rsid w:val="007C2097"/>
    <w:rsid w:val="007C539E"/>
    <w:rsid w:val="007D2BD2"/>
    <w:rsid w:val="007D6A07"/>
    <w:rsid w:val="007E07A4"/>
    <w:rsid w:val="007E2E12"/>
    <w:rsid w:val="007E32F1"/>
    <w:rsid w:val="007F31EC"/>
    <w:rsid w:val="007F7259"/>
    <w:rsid w:val="00802009"/>
    <w:rsid w:val="008040A8"/>
    <w:rsid w:val="00807125"/>
    <w:rsid w:val="00814BA9"/>
    <w:rsid w:val="0082377F"/>
    <w:rsid w:val="008279FA"/>
    <w:rsid w:val="00841A9D"/>
    <w:rsid w:val="00861B72"/>
    <w:rsid w:val="008626E7"/>
    <w:rsid w:val="00870EE7"/>
    <w:rsid w:val="00886318"/>
    <w:rsid w:val="008863B9"/>
    <w:rsid w:val="0089685C"/>
    <w:rsid w:val="00896FD1"/>
    <w:rsid w:val="008A09D4"/>
    <w:rsid w:val="008A45A6"/>
    <w:rsid w:val="008A5EB7"/>
    <w:rsid w:val="008A7B42"/>
    <w:rsid w:val="008B4B83"/>
    <w:rsid w:val="008B56DD"/>
    <w:rsid w:val="008F3789"/>
    <w:rsid w:val="008F4BA9"/>
    <w:rsid w:val="008F686C"/>
    <w:rsid w:val="009048B1"/>
    <w:rsid w:val="0091182B"/>
    <w:rsid w:val="0091266C"/>
    <w:rsid w:val="009148DE"/>
    <w:rsid w:val="009157E8"/>
    <w:rsid w:val="00924768"/>
    <w:rsid w:val="0092483E"/>
    <w:rsid w:val="009304D4"/>
    <w:rsid w:val="0093488F"/>
    <w:rsid w:val="00941E30"/>
    <w:rsid w:val="00967E32"/>
    <w:rsid w:val="009717B6"/>
    <w:rsid w:val="009777D9"/>
    <w:rsid w:val="00983AEC"/>
    <w:rsid w:val="00991B88"/>
    <w:rsid w:val="00995D15"/>
    <w:rsid w:val="009974F8"/>
    <w:rsid w:val="009A5753"/>
    <w:rsid w:val="009A579D"/>
    <w:rsid w:val="009B0819"/>
    <w:rsid w:val="009B189C"/>
    <w:rsid w:val="009B4299"/>
    <w:rsid w:val="009D5BF3"/>
    <w:rsid w:val="009E18E0"/>
    <w:rsid w:val="009E1C19"/>
    <w:rsid w:val="009E3297"/>
    <w:rsid w:val="009F41E1"/>
    <w:rsid w:val="009F734F"/>
    <w:rsid w:val="00A14B4B"/>
    <w:rsid w:val="00A246B6"/>
    <w:rsid w:val="00A26026"/>
    <w:rsid w:val="00A30CBD"/>
    <w:rsid w:val="00A47E70"/>
    <w:rsid w:val="00A50CF0"/>
    <w:rsid w:val="00A51D25"/>
    <w:rsid w:val="00A602A4"/>
    <w:rsid w:val="00A63E4C"/>
    <w:rsid w:val="00A7619A"/>
    <w:rsid w:val="00A7671C"/>
    <w:rsid w:val="00A81188"/>
    <w:rsid w:val="00A87554"/>
    <w:rsid w:val="00A92792"/>
    <w:rsid w:val="00A968A6"/>
    <w:rsid w:val="00AA2CBC"/>
    <w:rsid w:val="00AB1870"/>
    <w:rsid w:val="00AB3E04"/>
    <w:rsid w:val="00AB6F6D"/>
    <w:rsid w:val="00AC5820"/>
    <w:rsid w:val="00AD1CD8"/>
    <w:rsid w:val="00AD1E7C"/>
    <w:rsid w:val="00AE00AD"/>
    <w:rsid w:val="00AF6AAF"/>
    <w:rsid w:val="00B07080"/>
    <w:rsid w:val="00B11256"/>
    <w:rsid w:val="00B1634B"/>
    <w:rsid w:val="00B21ADA"/>
    <w:rsid w:val="00B258BB"/>
    <w:rsid w:val="00B30B7C"/>
    <w:rsid w:val="00B319E7"/>
    <w:rsid w:val="00B41AF5"/>
    <w:rsid w:val="00B42928"/>
    <w:rsid w:val="00B45B18"/>
    <w:rsid w:val="00B521CB"/>
    <w:rsid w:val="00B62DA2"/>
    <w:rsid w:val="00B656A3"/>
    <w:rsid w:val="00B67B97"/>
    <w:rsid w:val="00B71719"/>
    <w:rsid w:val="00B80DD1"/>
    <w:rsid w:val="00B878DA"/>
    <w:rsid w:val="00B9054D"/>
    <w:rsid w:val="00B968C8"/>
    <w:rsid w:val="00BA0246"/>
    <w:rsid w:val="00BA3EC5"/>
    <w:rsid w:val="00BA51D9"/>
    <w:rsid w:val="00BA7983"/>
    <w:rsid w:val="00BB5DFC"/>
    <w:rsid w:val="00BD279D"/>
    <w:rsid w:val="00BD6BB8"/>
    <w:rsid w:val="00BE0217"/>
    <w:rsid w:val="00BE37E4"/>
    <w:rsid w:val="00C02FEC"/>
    <w:rsid w:val="00C0622F"/>
    <w:rsid w:val="00C27EAC"/>
    <w:rsid w:val="00C50A3A"/>
    <w:rsid w:val="00C528FD"/>
    <w:rsid w:val="00C54D2F"/>
    <w:rsid w:val="00C573FF"/>
    <w:rsid w:val="00C66BA2"/>
    <w:rsid w:val="00C80AD6"/>
    <w:rsid w:val="00C81487"/>
    <w:rsid w:val="00C95985"/>
    <w:rsid w:val="00CA7A9A"/>
    <w:rsid w:val="00CB29DC"/>
    <w:rsid w:val="00CB3676"/>
    <w:rsid w:val="00CC14EC"/>
    <w:rsid w:val="00CC5026"/>
    <w:rsid w:val="00CC68D0"/>
    <w:rsid w:val="00CE2DBA"/>
    <w:rsid w:val="00D01830"/>
    <w:rsid w:val="00D03EA9"/>
    <w:rsid w:val="00D03F9A"/>
    <w:rsid w:val="00D06D51"/>
    <w:rsid w:val="00D20987"/>
    <w:rsid w:val="00D2115E"/>
    <w:rsid w:val="00D24991"/>
    <w:rsid w:val="00D317A9"/>
    <w:rsid w:val="00D31815"/>
    <w:rsid w:val="00D377CE"/>
    <w:rsid w:val="00D41584"/>
    <w:rsid w:val="00D435B7"/>
    <w:rsid w:val="00D443FC"/>
    <w:rsid w:val="00D447A1"/>
    <w:rsid w:val="00D50255"/>
    <w:rsid w:val="00D54730"/>
    <w:rsid w:val="00D65D1A"/>
    <w:rsid w:val="00D66520"/>
    <w:rsid w:val="00D70EF3"/>
    <w:rsid w:val="00D81B31"/>
    <w:rsid w:val="00D87F16"/>
    <w:rsid w:val="00D927DB"/>
    <w:rsid w:val="00DA6B23"/>
    <w:rsid w:val="00DA6E23"/>
    <w:rsid w:val="00DA7B30"/>
    <w:rsid w:val="00DB39DE"/>
    <w:rsid w:val="00DC1B85"/>
    <w:rsid w:val="00DD13E4"/>
    <w:rsid w:val="00DD3FE5"/>
    <w:rsid w:val="00DE34CF"/>
    <w:rsid w:val="00DE4EE9"/>
    <w:rsid w:val="00E0159C"/>
    <w:rsid w:val="00E01BBE"/>
    <w:rsid w:val="00E03AA1"/>
    <w:rsid w:val="00E13F3D"/>
    <w:rsid w:val="00E15B3F"/>
    <w:rsid w:val="00E2128F"/>
    <w:rsid w:val="00E24E14"/>
    <w:rsid w:val="00E27831"/>
    <w:rsid w:val="00E315EF"/>
    <w:rsid w:val="00E336C8"/>
    <w:rsid w:val="00E34898"/>
    <w:rsid w:val="00E43250"/>
    <w:rsid w:val="00E56B16"/>
    <w:rsid w:val="00E81151"/>
    <w:rsid w:val="00E81634"/>
    <w:rsid w:val="00E869D5"/>
    <w:rsid w:val="00EA58C7"/>
    <w:rsid w:val="00EB09B7"/>
    <w:rsid w:val="00EB2F31"/>
    <w:rsid w:val="00EB52AB"/>
    <w:rsid w:val="00EE7D7C"/>
    <w:rsid w:val="00EF2743"/>
    <w:rsid w:val="00EF4059"/>
    <w:rsid w:val="00F00B29"/>
    <w:rsid w:val="00F0108B"/>
    <w:rsid w:val="00F03CCB"/>
    <w:rsid w:val="00F12F9F"/>
    <w:rsid w:val="00F2269E"/>
    <w:rsid w:val="00F23445"/>
    <w:rsid w:val="00F25D98"/>
    <w:rsid w:val="00F26486"/>
    <w:rsid w:val="00F300FB"/>
    <w:rsid w:val="00F32FBC"/>
    <w:rsid w:val="00F36C9D"/>
    <w:rsid w:val="00F36FF1"/>
    <w:rsid w:val="00F50756"/>
    <w:rsid w:val="00F5141F"/>
    <w:rsid w:val="00F57B86"/>
    <w:rsid w:val="00F70140"/>
    <w:rsid w:val="00F9059C"/>
    <w:rsid w:val="00F938BA"/>
    <w:rsid w:val="00FA3CEA"/>
    <w:rsid w:val="00FB6386"/>
    <w:rsid w:val="00FD392C"/>
    <w:rsid w:val="00FE0389"/>
    <w:rsid w:val="00FF245A"/>
    <w:rsid w:val="00FF41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iPriority w:val="99"/>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3A0B84"/>
    <w:pPr>
      <w:numPr>
        <w:numId w:val="12"/>
      </w:numPr>
    </w:pPr>
  </w:style>
  <w:style w:type="numbering" w:customStyle="1" w:styleId="Style112">
    <w:name w:val="Style112"/>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rsid w:val="003A0B84"/>
    <w:pPr>
      <w:numPr>
        <w:numId w:val="9"/>
      </w:numPr>
    </w:pPr>
  </w:style>
  <w:style w:type="numbering" w:customStyle="1" w:styleId="SGS211">
    <w:name w:val="SGS211"/>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742601654">
      <w:bodyDiv w:val="1"/>
      <w:marLeft w:val="0"/>
      <w:marRight w:val="0"/>
      <w:marTop w:val="0"/>
      <w:marBottom w:val="0"/>
      <w:divBdr>
        <w:top w:val="none" w:sz="0" w:space="0" w:color="auto"/>
        <w:left w:val="none" w:sz="0" w:space="0" w:color="auto"/>
        <w:bottom w:val="none" w:sz="0" w:space="0" w:color="auto"/>
        <w:right w:val="none" w:sz="0" w:space="0" w:color="auto"/>
      </w:divBdr>
    </w:div>
    <w:div w:id="893665718">
      <w:bodyDiv w:val="1"/>
      <w:marLeft w:val="0"/>
      <w:marRight w:val="0"/>
      <w:marTop w:val="0"/>
      <w:marBottom w:val="0"/>
      <w:divBdr>
        <w:top w:val="none" w:sz="0" w:space="0" w:color="auto"/>
        <w:left w:val="none" w:sz="0" w:space="0" w:color="auto"/>
        <w:bottom w:val="none" w:sz="0" w:space="0" w:color="auto"/>
        <w:right w:val="none" w:sz="0" w:space="0" w:color="auto"/>
      </w:divBdr>
    </w:div>
    <w:div w:id="1365599889">
      <w:bodyDiv w:val="1"/>
      <w:marLeft w:val="0"/>
      <w:marRight w:val="0"/>
      <w:marTop w:val="0"/>
      <w:marBottom w:val="0"/>
      <w:divBdr>
        <w:top w:val="none" w:sz="0" w:space="0" w:color="auto"/>
        <w:left w:val="none" w:sz="0" w:space="0" w:color="auto"/>
        <w:bottom w:val="none" w:sz="0" w:space="0" w:color="auto"/>
        <w:right w:val="none" w:sz="0" w:space="0" w:color="auto"/>
      </w:divBdr>
    </w:div>
    <w:div w:id="15061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867</Words>
  <Characters>4944</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4</cp:revision>
  <cp:lastPrinted>1899-12-31T23:00:00Z</cp:lastPrinted>
  <dcterms:created xsi:type="dcterms:W3CDTF">2022-11-04T18:24:00Z</dcterms:created>
  <dcterms:modified xsi:type="dcterms:W3CDTF">2022-11-10T13:25:00Z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