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1"/>
      <w:bookmarkStart w:id="1" w:name="OLE_LINK50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RAN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 Meeting #96-e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  <w:highlight w:val="green"/>
        </w:rPr>
        <w:t>R5-</w:t>
      </w:r>
      <w:r>
        <w:rPr>
          <w:rFonts w:hint="default" w:cs="Arial"/>
          <w:bCs/>
          <w:sz w:val="22"/>
          <w:szCs w:val="22"/>
          <w:highlight w:val="green"/>
          <w:lang w:val="en-US"/>
        </w:rPr>
        <w:t>22</w:t>
      </w:r>
      <w:r>
        <w:rPr>
          <w:rFonts w:cs="Arial"/>
          <w:bCs/>
          <w:sz w:val="22"/>
          <w:szCs w:val="22"/>
          <w:highlight w:val="green"/>
        </w:rPr>
        <w:t>XXXX</w:t>
      </w:r>
    </w:p>
    <w:p>
      <w:pPr>
        <w:pStyle w:val="92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  <w:lang w:val="en-US"/>
        </w:rPr>
        <w:t>August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15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</w:t>
      </w:r>
      <w:r>
        <w:rPr>
          <w:b/>
          <w:sz w:val="24"/>
          <w:lang w:val="en-US"/>
        </w:rPr>
        <w:t>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, 2022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gree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LS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to RAN4</w:t>
      </w:r>
      <w:r>
        <w:rPr>
          <w:rFonts w:ascii="Arial" w:hAnsi="Arial" w:cs="Arial"/>
          <w:bCs/>
          <w:sz w:val="22"/>
          <w:szCs w:val="22"/>
        </w:rPr>
        <w:t xml:space="preserve"> on </w:t>
      </w:r>
      <w:r>
        <w:rPr>
          <w:rFonts w:ascii="Arial" w:hAnsi="Arial" w:cs="Arial"/>
          <w:bCs/>
          <w:sz w:val="22"/>
          <w:szCs w:val="22"/>
          <w:lang w:val="en-US"/>
        </w:rPr>
        <w:t>A-MPR regions for NS_50 (Power Class 2)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0"/>
      <w:bookmarkStart w:id="6" w:name="OLE_LINK59"/>
      <w:bookmarkStart w:id="7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Release-15</w:t>
      </w:r>
    </w:p>
    <w:bookmarkEnd w:id="5"/>
    <w:bookmarkEnd w:id="6"/>
    <w:bookmarkEnd w:id="7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Cs/>
          <w:sz w:val="22"/>
          <w:szCs w:val="22"/>
        </w:rPr>
        <w:t>TEI15_Test, 5GS_NR_LTE-UEConTest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TSG RAN WG</w:t>
      </w:r>
      <w:r>
        <w:rPr>
          <w:rFonts w:ascii="Arial" w:hAnsi="Arial" w:cs="Arial"/>
          <w:bCs/>
          <w:sz w:val="22"/>
          <w:szCs w:val="22"/>
          <w:lang w:val="en-US"/>
        </w:rPr>
        <w:t>5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TSG RAN WG</w:t>
      </w:r>
      <w:r>
        <w:rPr>
          <w:rFonts w:ascii="Arial" w:hAnsi="Arial" w:cs="Arial"/>
          <w:sz w:val="22"/>
          <w:szCs w:val="22"/>
          <w:lang w:val="en-US"/>
        </w:rPr>
        <w:t>4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None</w:t>
      </w:r>
    </w:p>
    <w:bookmarkEnd w:id="8"/>
    <w:bookmarkEnd w:id="9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>Danni Song</w:t>
      </w:r>
    </w:p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  <w:lang w:val="en-US"/>
        </w:rPr>
        <w:t>songdan@chinamobile.</w:t>
      </w:r>
      <w:r>
        <w:rPr>
          <w:rFonts w:ascii="Arial" w:hAnsi="Arial" w:cs="Arial"/>
          <w:sz w:val="22"/>
          <w:szCs w:val="22"/>
        </w:rPr>
        <w:t>com&gt;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>R5-225600.zip</w:t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  <w:bookmarkStart w:id="16" w:name="_GoBack"/>
      <w:bookmarkEnd w:id="16"/>
    </w:p>
    <w:p>
      <w:pPr>
        <w:pStyle w:val="39"/>
        <w:jc w:val="both"/>
        <w:rPr>
          <w:rFonts w:ascii="Arial" w:hAnsi="Arial" w:cs="Arial"/>
          <w:sz w:val="20"/>
          <w:lang w:eastAsia="en-GB"/>
        </w:rPr>
      </w:pPr>
      <w:r>
        <w:rPr>
          <w:rFonts w:ascii="Arial" w:hAnsi="Arial" w:cs="Arial"/>
          <w:sz w:val="20"/>
          <w:lang w:val="en-GB" w:eastAsia="en-GB"/>
        </w:rPr>
        <w:t>In TS 38.101-1 clause 6.2.3</w:t>
      </w:r>
      <w:r>
        <w:rPr>
          <w:rFonts w:ascii="Arial" w:hAnsi="Arial" w:cs="Arial"/>
          <w:sz w:val="20"/>
          <w:lang w:eastAsia="en-GB"/>
        </w:rPr>
        <w:t xml:space="preserve">, RAN4 has defined the </w:t>
      </w:r>
      <w:r>
        <w:rPr>
          <w:rFonts w:hint="eastAsia" w:ascii="Arial" w:hAnsi="Arial" w:cs="Arial"/>
          <w:sz w:val="20"/>
          <w:lang w:val="en-GB" w:eastAsia="en-GB"/>
        </w:rPr>
        <w:t>additional maximum power reduction</w:t>
      </w:r>
      <w:r>
        <w:rPr>
          <w:rFonts w:ascii="Arial" w:hAnsi="Arial" w:cs="Arial"/>
          <w:sz w:val="20"/>
          <w:lang w:eastAsia="en-GB"/>
        </w:rPr>
        <w:t>(A-MPR)</w:t>
      </w:r>
      <w:r>
        <w:rPr>
          <w:rFonts w:hint="eastAsia" w:ascii="Arial" w:hAnsi="Arial" w:cs="Arial"/>
          <w:sz w:val="20"/>
          <w:lang w:val="en-GB" w:eastAsia="en-GB"/>
        </w:rPr>
        <w:t xml:space="preserve"> requirements</w:t>
      </w:r>
      <w:r>
        <w:rPr>
          <w:rFonts w:ascii="Arial" w:hAnsi="Arial" w:cs="Arial"/>
          <w:sz w:val="20"/>
          <w:lang w:eastAsia="en-GB"/>
        </w:rPr>
        <w:t xml:space="preserve"> for </w:t>
      </w:r>
      <w:r>
        <w:rPr>
          <w:rFonts w:hint="eastAsia" w:ascii="Arial" w:hAnsi="Arial" w:cs="Arial"/>
          <w:sz w:val="20"/>
          <w:lang w:val="en-GB" w:eastAsia="en-GB"/>
        </w:rPr>
        <w:t xml:space="preserve">network </w:t>
      </w:r>
      <w:r>
        <w:rPr>
          <w:rFonts w:ascii="Arial" w:hAnsi="Arial" w:cs="Arial"/>
          <w:sz w:val="20"/>
          <w:lang w:bidi="ar"/>
        </w:rPr>
        <w:t>signaling(</w:t>
      </w:r>
      <w:r>
        <w:rPr>
          <w:rFonts w:hint="eastAsia" w:ascii="Arial" w:hAnsi="Arial" w:cs="Arial"/>
          <w:sz w:val="20"/>
          <w:lang w:val="en-GB" w:eastAsia="en-GB"/>
        </w:rPr>
        <w:t>NS</w:t>
      </w:r>
      <w:r>
        <w:rPr>
          <w:rFonts w:ascii="Arial" w:hAnsi="Arial" w:cs="Arial"/>
          <w:sz w:val="20"/>
          <w:lang w:eastAsia="en-GB"/>
        </w:rPr>
        <w:t>). A-MPR regions for NS_50 (Power Class 2) has been introduced in Table 6.2.3.19-3 in TS 38.101-1, based on which RAN5 derives specific RB allocations for conformance testing. However, RAN5 finds for certain A-MPR region there is no applicable RB allocation.</w:t>
      </w:r>
    </w:p>
    <w:p>
      <w:pPr>
        <w:pStyle w:val="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Taking </w:t>
      </w:r>
      <w:r>
        <w:rPr>
          <w:rFonts w:ascii="Arial" w:hAnsi="Arial" w:eastAsia="Times New Roman" w:cs="Arial"/>
          <w:sz w:val="20"/>
        </w:rPr>
        <w:t>n39</w:t>
      </w:r>
      <w:r>
        <w:rPr>
          <w:rFonts w:ascii="Arial" w:hAnsi="Arial" w:cs="Arial"/>
          <w:sz w:val="20"/>
        </w:rPr>
        <w:t xml:space="preserve"> A-MPR PC2 with</w:t>
      </w:r>
      <w:r>
        <w:rPr>
          <w:rFonts w:ascii="Arial" w:hAnsi="Arial" w:eastAsia="Times New Roman" w:cs="Arial"/>
          <w:sz w:val="20"/>
        </w:rPr>
        <w:t xml:space="preserve"> CBW=10MH</w:t>
      </w:r>
      <w:r>
        <w:rPr>
          <w:rFonts w:ascii="Arial" w:hAnsi="Arial" w:cs="Arial"/>
          <w:sz w:val="20"/>
        </w:rPr>
        <w:t xml:space="preserve">z &amp; </w:t>
      </w:r>
      <w:r>
        <w:rPr>
          <w:rFonts w:ascii="Arial" w:hAnsi="Arial" w:eastAsia="Times New Roman" w:cs="Arial"/>
          <w:sz w:val="20"/>
        </w:rPr>
        <w:t>SCS=60KHz</w:t>
      </w:r>
      <w:r>
        <w:rPr>
          <w:rFonts w:ascii="Arial" w:hAnsi="Arial" w:cs="Arial"/>
          <w:sz w:val="20"/>
        </w:rPr>
        <w:t xml:space="preserve"> as an example, </w:t>
      </w:r>
    </w:p>
    <w:p>
      <w:pPr>
        <w:pStyle w:val="39"/>
        <w:numPr>
          <w:ilvl w:val="0"/>
          <w:numId w:val="5"/>
        </w:numPr>
        <w:jc w:val="both"/>
        <w:rPr>
          <w:rFonts w:ascii="Arial" w:hAnsi="Arial" w:eastAsia="Times New Roman" w:cs="Arial"/>
          <w:sz w:val="20"/>
        </w:rPr>
      </w:pPr>
      <w:r>
        <w:rPr>
          <w:rFonts w:ascii="Arial" w:hAnsi="Arial" w:cs="Arial"/>
          <w:sz w:val="20"/>
        </w:rPr>
        <w:t xml:space="preserve">As per Table 5.3.2-1 in TS 38.101-1, </w:t>
      </w:r>
      <w:r>
        <w:rPr>
          <w:rFonts w:ascii="Arial" w:hAnsi="Arial" w:eastAsia="Times New Roman" w:cs="Arial"/>
          <w:sz w:val="20"/>
        </w:rPr>
        <w:t>the Maximum Transmission Bandwidth is NRB*12*SCS = 11*12*60</w:t>
      </w:r>
      <w:r>
        <w:rPr>
          <w:rFonts w:ascii="Arial" w:hAnsi="Arial" w:cs="Arial"/>
          <w:sz w:val="20"/>
        </w:rPr>
        <w:t>K</w:t>
      </w:r>
      <w:r>
        <w:rPr>
          <w:rFonts w:ascii="Arial" w:hAnsi="Arial" w:eastAsia="Times New Roman" w:cs="Arial"/>
          <w:sz w:val="20"/>
        </w:rPr>
        <w:t>Hz =7.92MHz</w:t>
      </w:r>
    </w:p>
    <w:p>
      <w:pPr>
        <w:pStyle w:val="67"/>
      </w:pPr>
      <w:bookmarkStart w:id="10" w:name="_Hlk497144372"/>
      <w:bookmarkStart w:id="11" w:name="_Hlk505013260"/>
      <w:r>
        <w:t xml:space="preserve">Table 5.3.2-1: </w:t>
      </w:r>
      <w:bookmarkEnd w:id="10"/>
      <w:r>
        <w:t>Maximum transmission bandwidth configuration N</w:t>
      </w:r>
      <w:r>
        <w:rPr>
          <w:vertAlign w:val="subscript"/>
        </w:rPr>
        <w:t>RB</w:t>
      </w:r>
    </w:p>
    <w:bookmarkEnd w:id="11"/>
    <w:tbl>
      <w:tblPr>
        <w:tblStyle w:val="42"/>
        <w:tblpPr w:leftFromText="142" w:rightFromText="142" w:vertAnchor="text" w:tblpXSpec="center" w:tblpY="1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63"/>
        <w:gridCol w:w="729"/>
        <w:gridCol w:w="729"/>
        <w:gridCol w:w="638"/>
        <w:gridCol w:w="638"/>
        <w:gridCol w:w="639"/>
        <w:gridCol w:w="638"/>
        <w:gridCol w:w="638"/>
        <w:gridCol w:w="639"/>
        <w:gridCol w:w="548"/>
        <w:gridCol w:w="550"/>
        <w:gridCol w:w="550"/>
        <w:gridCol w:w="548"/>
        <w:gridCol w:w="639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6" w:type="pct"/>
            <w:tcBorders>
              <w:bottom w:val="nil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SCS (kHz)</w:t>
            </w:r>
          </w:p>
        </w:tc>
        <w:tc>
          <w:tcPr>
            <w:tcW w:w="33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5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color w:val="C00000"/>
                <w:kern w:val="2"/>
                <w:szCs w:val="18"/>
              </w:rPr>
            </w:pPr>
            <w:r>
              <w:rPr>
                <w:rFonts w:cs="Arial"/>
                <w:color w:val="C00000"/>
                <w:kern w:val="2"/>
                <w:szCs w:val="18"/>
              </w:rPr>
              <w:t>10</w:t>
            </w:r>
          </w:p>
          <w:p>
            <w:pPr>
              <w:pStyle w:val="63"/>
              <w:rPr>
                <w:color w:val="C00000"/>
                <w:kern w:val="2"/>
                <w:szCs w:val="22"/>
              </w:rPr>
            </w:pPr>
            <w:r>
              <w:rPr>
                <w:rFonts w:cs="Arial"/>
                <w:color w:val="C00000"/>
                <w:kern w:val="2"/>
                <w:szCs w:val="18"/>
              </w:rPr>
              <w:t>MHz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15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20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25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1" w:type="pct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30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0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35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0" w:type="pct"/>
            <w:shd w:val="clear" w:color="auto" w:fill="auto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 xml:space="preserve">40 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45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50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60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276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70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275" w:type="pct"/>
            <w:shd w:val="clear" w:color="auto" w:fill="auto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80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90</w:t>
            </w:r>
          </w:p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  <w:tc>
          <w:tcPr>
            <w:tcW w:w="273" w:type="pct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100</w:t>
            </w:r>
          </w:p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6" w:type="pct"/>
            <w:tcBorders>
              <w:top w:val="nil"/>
            </w:tcBorders>
            <w:shd w:val="clear" w:color="auto" w:fill="auto"/>
          </w:tcPr>
          <w:p>
            <w:pPr>
              <w:pStyle w:val="63"/>
              <w:rPr>
                <w:kern w:val="2"/>
                <w:szCs w:val="22"/>
              </w:rPr>
            </w:pPr>
          </w:p>
        </w:tc>
        <w:tc>
          <w:tcPr>
            <w:tcW w:w="33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color w:val="C00000"/>
                <w:kern w:val="2"/>
                <w:szCs w:val="22"/>
              </w:rPr>
            </w:pPr>
            <w:r>
              <w:rPr>
                <w:rFonts w:cs="Arial"/>
                <w:color w:val="C00000"/>
                <w:kern w:val="2"/>
                <w:szCs w:val="18"/>
              </w:rPr>
              <w:t>N</w:t>
            </w:r>
            <w:r>
              <w:rPr>
                <w:rFonts w:cs="Arial"/>
                <w:color w:val="C00000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1" w:type="pct"/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0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eastAsia="Yu Mincho" w:cs="Arial"/>
                <w:kern w:val="2"/>
                <w:szCs w:val="18"/>
              </w:rPr>
              <w:t>N</w:t>
            </w:r>
            <w:r>
              <w:rPr>
                <w:rFonts w:eastAsia="Yu Mincho"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0" w:type="pct"/>
            <w:shd w:val="clear" w:color="auto" w:fill="auto"/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eastAsia="Yu Mincho" w:cs="Arial"/>
                <w:kern w:val="2"/>
                <w:szCs w:val="18"/>
              </w:rPr>
              <w:t>N</w:t>
            </w:r>
            <w:r>
              <w:rPr>
                <w:rFonts w:eastAsia="Yu Mincho"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276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275" w:type="pct"/>
            <w:shd w:val="clear" w:color="auto" w:fill="auto"/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3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  <w:tc>
          <w:tcPr>
            <w:tcW w:w="273" w:type="pct"/>
          </w:tcPr>
          <w:p>
            <w:pPr>
              <w:pStyle w:val="63"/>
              <w:rPr>
                <w:rFonts w:cs="Arial"/>
                <w:kern w:val="2"/>
                <w:szCs w:val="18"/>
              </w:rPr>
            </w:pPr>
            <w:r>
              <w:rPr>
                <w:rFonts w:cs="Arial"/>
                <w:kern w:val="2"/>
                <w:szCs w:val="18"/>
              </w:rPr>
              <w:t>N</w:t>
            </w:r>
            <w:r>
              <w:rPr>
                <w:rFonts w:cs="Arial"/>
                <w:kern w:val="2"/>
                <w:szCs w:val="18"/>
                <w:vertAlign w:val="subscript"/>
              </w:rPr>
              <w:t>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15</w:t>
            </w:r>
          </w:p>
        </w:tc>
        <w:tc>
          <w:tcPr>
            <w:tcW w:w="33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25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52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79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106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133</w:t>
            </w:r>
          </w:p>
        </w:tc>
        <w:tc>
          <w:tcPr>
            <w:tcW w:w="321" w:type="pct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160</w:t>
            </w:r>
          </w:p>
        </w:tc>
        <w:tc>
          <w:tcPr>
            <w:tcW w:w="320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  <w:lang w:val="en-US"/>
              </w:rPr>
              <w:t>188</w:t>
            </w:r>
          </w:p>
        </w:tc>
        <w:tc>
          <w:tcPr>
            <w:tcW w:w="320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216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color w:val="000000"/>
                <w:kern w:val="24"/>
                <w:szCs w:val="18"/>
              </w:rPr>
              <w:t>242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270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N/A</w:t>
            </w:r>
          </w:p>
        </w:tc>
        <w:tc>
          <w:tcPr>
            <w:tcW w:w="276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N/A</w:t>
            </w:r>
          </w:p>
        </w:tc>
        <w:tc>
          <w:tcPr>
            <w:tcW w:w="275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N/A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N/A</w:t>
            </w:r>
          </w:p>
        </w:tc>
        <w:tc>
          <w:tcPr>
            <w:tcW w:w="273" w:type="pct"/>
          </w:tcPr>
          <w:p>
            <w:pPr>
              <w:pStyle w:val="64"/>
              <w:rPr>
                <w:rFonts w:cs="Arial"/>
                <w:kern w:val="2"/>
                <w:szCs w:val="18"/>
              </w:rPr>
            </w:pPr>
            <w:r>
              <w:rPr>
                <w:kern w:val="2"/>
                <w:szCs w:val="22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30</w:t>
            </w:r>
          </w:p>
        </w:tc>
        <w:tc>
          <w:tcPr>
            <w:tcW w:w="33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11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24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38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51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65</w:t>
            </w:r>
          </w:p>
        </w:tc>
        <w:tc>
          <w:tcPr>
            <w:tcW w:w="321" w:type="pct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78</w:t>
            </w:r>
          </w:p>
        </w:tc>
        <w:tc>
          <w:tcPr>
            <w:tcW w:w="320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  <w:lang w:val="en-US"/>
              </w:rPr>
              <w:t>92</w:t>
            </w:r>
          </w:p>
        </w:tc>
        <w:tc>
          <w:tcPr>
            <w:tcW w:w="320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106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  <w:lang w:val="en-US"/>
              </w:rPr>
              <w:t>119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133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162</w:t>
            </w:r>
          </w:p>
        </w:tc>
        <w:tc>
          <w:tcPr>
            <w:tcW w:w="276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189</w:t>
            </w:r>
          </w:p>
        </w:tc>
        <w:tc>
          <w:tcPr>
            <w:tcW w:w="275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217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245</w:t>
            </w:r>
          </w:p>
        </w:tc>
        <w:tc>
          <w:tcPr>
            <w:tcW w:w="273" w:type="pct"/>
          </w:tcPr>
          <w:p>
            <w:pPr>
              <w:pStyle w:val="64"/>
              <w:rPr>
                <w:rFonts w:cs="Arial"/>
                <w:kern w:val="2"/>
                <w:szCs w:val="18"/>
              </w:rPr>
            </w:pPr>
            <w:r>
              <w:rPr>
                <w:kern w:val="2"/>
                <w:szCs w:val="22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color w:val="C00000"/>
                <w:kern w:val="2"/>
                <w:szCs w:val="22"/>
              </w:rPr>
              <w:t>60</w:t>
            </w:r>
          </w:p>
        </w:tc>
        <w:tc>
          <w:tcPr>
            <w:tcW w:w="333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N/A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color w:val="C00000"/>
                <w:kern w:val="2"/>
                <w:szCs w:val="18"/>
              </w:rPr>
              <w:t>11</w:t>
            </w:r>
          </w:p>
        </w:tc>
        <w:tc>
          <w:tcPr>
            <w:tcW w:w="366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18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24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31</w:t>
            </w:r>
          </w:p>
        </w:tc>
        <w:tc>
          <w:tcPr>
            <w:tcW w:w="321" w:type="pct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38</w:t>
            </w:r>
          </w:p>
        </w:tc>
        <w:tc>
          <w:tcPr>
            <w:tcW w:w="320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  <w:lang w:val="en-US"/>
              </w:rPr>
              <w:t>44</w:t>
            </w:r>
          </w:p>
        </w:tc>
        <w:tc>
          <w:tcPr>
            <w:tcW w:w="320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51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  <w:lang w:val="en-US"/>
              </w:rPr>
              <w:t>58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65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79</w:t>
            </w:r>
          </w:p>
        </w:tc>
        <w:tc>
          <w:tcPr>
            <w:tcW w:w="276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93</w:t>
            </w:r>
          </w:p>
        </w:tc>
        <w:tc>
          <w:tcPr>
            <w:tcW w:w="275" w:type="pct"/>
            <w:shd w:val="clear" w:color="auto" w:fill="auto"/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107</w:t>
            </w:r>
          </w:p>
        </w:tc>
        <w:tc>
          <w:tcPr>
            <w:tcW w:w="321" w:type="pct"/>
            <w:tcMar>
              <w:top w:w="15" w:type="dxa"/>
              <w:left w:w="81" w:type="dxa"/>
              <w:bottom w:w="0" w:type="dxa"/>
              <w:right w:w="81" w:type="dxa"/>
            </w:tcMar>
          </w:tcPr>
          <w:p>
            <w:pPr>
              <w:pStyle w:val="64"/>
              <w:rPr>
                <w:kern w:val="2"/>
                <w:szCs w:val="22"/>
              </w:rPr>
            </w:pPr>
            <w:r>
              <w:rPr>
                <w:rFonts w:cs="Arial"/>
                <w:kern w:val="2"/>
                <w:szCs w:val="18"/>
              </w:rPr>
              <w:t>121</w:t>
            </w:r>
          </w:p>
        </w:tc>
        <w:tc>
          <w:tcPr>
            <w:tcW w:w="273" w:type="pct"/>
          </w:tcPr>
          <w:p>
            <w:pPr>
              <w:pStyle w:val="64"/>
              <w:rPr>
                <w:rFonts w:cs="Arial"/>
                <w:kern w:val="2"/>
                <w:szCs w:val="18"/>
              </w:rPr>
            </w:pPr>
            <w:r>
              <w:rPr>
                <w:kern w:val="2"/>
                <w:szCs w:val="22"/>
              </w:rPr>
              <w:t>135</w:t>
            </w:r>
          </w:p>
        </w:tc>
      </w:tr>
    </w:tbl>
    <w:p>
      <w:pPr>
        <w:rPr>
          <w:rFonts w:eastAsia="Yu Mincho"/>
        </w:rPr>
      </w:pPr>
    </w:p>
    <w:p>
      <w:pPr>
        <w:pStyle w:val="39"/>
        <w:numPr>
          <w:ilvl w:val="0"/>
          <w:numId w:val="5"/>
        </w:numPr>
        <w:jc w:val="both"/>
        <w:rPr>
          <w:rFonts w:ascii="Arial" w:hAnsi="Arial" w:eastAsia="Times New Roman" w:cs="Arial"/>
          <w:sz w:val="20"/>
        </w:rPr>
      </w:pPr>
      <w:r>
        <w:rPr>
          <w:rFonts w:ascii="Arial" w:hAnsi="Arial" w:eastAsia="Times New Roman" w:cs="Arial"/>
          <w:sz w:val="20"/>
        </w:rPr>
        <w:t>As per Table 6.2.3.19-3</w:t>
      </w:r>
      <w:r>
        <w:rPr>
          <w:rFonts w:ascii="Arial" w:hAnsi="Arial" w:cs="Arial"/>
          <w:sz w:val="20"/>
        </w:rPr>
        <w:t xml:space="preserve"> in TS 38.101-1</w:t>
      </w:r>
      <w:r>
        <w:rPr>
          <w:rFonts w:ascii="Arial" w:hAnsi="Arial" w:eastAsia="Times New Roman" w:cs="Arial"/>
          <w:sz w:val="20"/>
        </w:rPr>
        <w:t>, the A4 A-MPR region requires Transmission Bandwidth is (L</w:t>
      </w:r>
      <w:r>
        <w:rPr>
          <w:rFonts w:ascii="Arial" w:hAnsi="Arial" w:eastAsia="Times New Roman" w:cs="Arial"/>
          <w:sz w:val="20"/>
          <w:vertAlign w:val="subscript"/>
        </w:rPr>
        <w:t>CRB</w:t>
      </w:r>
      <w:r>
        <w:rPr>
          <w:rFonts w:ascii="Arial" w:hAnsi="Arial" w:eastAsia="Times New Roman" w:cs="Arial"/>
          <w:sz w:val="20"/>
        </w:rPr>
        <w:t xml:space="preserve"> + RBstart)*12*SCS ≥ 8.1MHz</w:t>
      </w:r>
    </w:p>
    <w:p>
      <w:pPr>
        <w:pStyle w:val="39"/>
        <w:jc w:val="both"/>
        <w:rPr>
          <w:rFonts w:ascii="Arial" w:hAnsi="Arial" w:eastAsia="Times New Roman" w:cs="Arial"/>
          <w:sz w:val="20"/>
        </w:rPr>
      </w:pPr>
      <w:r>
        <w:rPr>
          <w:rFonts w:ascii="Arial" w:hAnsi="Arial" w:eastAsia="Times New Roman" w:cs="Arial"/>
          <w:sz w:val="20"/>
        </w:rPr>
        <w:t>The Transmission Bandwidth</w:t>
      </w:r>
      <w:r>
        <w:rPr>
          <w:rFonts w:ascii="Arial" w:hAnsi="Arial" w:cs="Arial"/>
          <w:sz w:val="20"/>
        </w:rPr>
        <w:t xml:space="preserve"> 8.1MHz</w:t>
      </w:r>
      <w:r>
        <w:rPr>
          <w:rFonts w:ascii="Arial" w:hAnsi="Arial" w:eastAsia="Times New Roman" w:cs="Arial"/>
          <w:sz w:val="20"/>
        </w:rPr>
        <w:t xml:space="preserve"> is “larger” than the Maximum Transmission Bandwidth</w:t>
      </w:r>
      <w:r>
        <w:rPr>
          <w:rFonts w:ascii="Arial" w:hAnsi="Arial" w:cs="Arial"/>
          <w:sz w:val="20"/>
        </w:rPr>
        <w:t xml:space="preserve"> 7.92MHz</w:t>
      </w:r>
      <w:r>
        <w:rPr>
          <w:rFonts w:ascii="Arial" w:hAnsi="Arial" w:eastAsia="Times New Roman" w:cs="Arial"/>
          <w:sz w:val="20"/>
        </w:rPr>
        <w:t>, which leads to no applicable RB allocation could be found for CBW=10MH</w:t>
      </w:r>
      <w:r>
        <w:rPr>
          <w:rFonts w:ascii="Arial" w:hAnsi="Arial" w:cs="Arial"/>
          <w:sz w:val="20"/>
        </w:rPr>
        <w:t xml:space="preserve">z &amp; </w:t>
      </w:r>
      <w:r>
        <w:rPr>
          <w:rFonts w:ascii="Arial" w:hAnsi="Arial" w:eastAsia="Times New Roman" w:cs="Arial"/>
          <w:sz w:val="20"/>
        </w:rPr>
        <w:t>SCS=60KHz.</w:t>
      </w:r>
    </w:p>
    <w:p>
      <w:pPr>
        <w:pStyle w:val="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Also, for some other CBW, it seems that no test points could be found for DFT-s-OFDM.</w:t>
      </w:r>
    </w:p>
    <w:p>
      <w:pPr>
        <w:pStyle w:val="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further details, please check the attachment R5-225600 for reference.</w:t>
      </w:r>
    </w:p>
    <w:p>
      <w:pPr>
        <w:pStyle w:val="67"/>
      </w:pPr>
      <w:r>
        <w:t>Table 6.2.3.19-3: A-MPR regions for NS_50 (Power Class 2)</w:t>
      </w:r>
    </w:p>
    <w:tbl>
      <w:tblPr>
        <w:tblStyle w:val="43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040"/>
        <w:gridCol w:w="3034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91" w:type="dxa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Channel Bandwidth (MHz)</w:t>
            </w:r>
          </w:p>
        </w:tc>
        <w:tc>
          <w:tcPr>
            <w:tcW w:w="3040" w:type="dxa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RB</w:t>
            </w:r>
            <w:r>
              <w:rPr>
                <w:kern w:val="2"/>
                <w:position w:val="-5"/>
                <w:sz w:val="16"/>
                <w:szCs w:val="18"/>
                <w:vertAlign w:val="subscript"/>
              </w:rPr>
              <w:t>start</w:t>
            </w:r>
            <w:r>
              <w:rPr>
                <w:kern w:val="2"/>
                <w:sz w:val="16"/>
                <w:szCs w:val="18"/>
              </w:rPr>
              <w:t>*12*SCS (MHz)</w:t>
            </w:r>
          </w:p>
        </w:tc>
        <w:tc>
          <w:tcPr>
            <w:tcW w:w="3034" w:type="dxa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L</w:t>
            </w:r>
            <w:r>
              <w:rPr>
                <w:kern w:val="2"/>
                <w:position w:val="-5"/>
                <w:sz w:val="16"/>
                <w:szCs w:val="18"/>
                <w:vertAlign w:val="subscript"/>
              </w:rPr>
              <w:t>CRB</w:t>
            </w:r>
            <w:r>
              <w:rPr>
                <w:kern w:val="2"/>
                <w:sz w:val="16"/>
                <w:szCs w:val="18"/>
              </w:rPr>
              <w:t>*12*SCS (MHz)</w:t>
            </w:r>
          </w:p>
        </w:tc>
        <w:tc>
          <w:tcPr>
            <w:tcW w:w="793" w:type="dxa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A-MPR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10 MHz</w:t>
            </w: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1.44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&lt; 1.44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1.8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≥ 2.7+2*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&gt;1.8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C00000"/>
                <w:kern w:val="2"/>
                <w:sz w:val="16"/>
                <w:szCs w:val="18"/>
              </w:rPr>
              <w:t>≥ 8.1-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15 MHz</w:t>
            </w: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2.88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&lt; 2.7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3.24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≥ 2.7+2*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&gt;3.24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≥ 12.42-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20 MHz</w:t>
            </w: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4.32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&lt; 3.6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≤ 4.5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≥ 3.6+2*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91" w:type="dxa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&gt;4.5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≥ 17.1- RBstart*12*SCS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25 MHz</w:t>
            </w: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L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CRB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 – 5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5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6.3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1.44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8.28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max (21.6 – 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*12*SCS, 0)</w:t>
            </w: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, &lt;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*12*SCS+5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&gt;1.8, ≤6.12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1.44</w:t>
            </w: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, 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3.6</w:t>
            </w: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L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CRB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 *12*SCS – 5, ≤ 5.04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1.44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30 MHz</w:t>
            </w:r>
          </w:p>
          <w:p>
            <w:pPr>
              <w:pStyle w:val="63"/>
              <w:rPr>
                <w:b w:val="0"/>
                <w:bCs/>
                <w:kern w:val="2"/>
                <w:sz w:val="16"/>
                <w:szCs w:val="18"/>
              </w:rPr>
            </w:pPr>
          </w:p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L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CRB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 – 5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&gt;5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7.56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1.44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 &gt;1.8, ≤7.56 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1.44</w:t>
            </w: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, 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3.6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 ≤ 1.8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&gt;1.44, &lt;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*12*SCS+5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10.8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max (26.64 – 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*12*SCS, 0)</w:t>
            </w:r>
            <w:r>
              <w:rPr>
                <w:rFonts w:eastAsia="等线"/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, &lt;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*12*SCS+5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91" w:type="dxa"/>
            <w:vMerge w:val="restart"/>
          </w:tcPr>
          <w:p>
            <w:pPr>
              <w:pStyle w:val="63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40 MHz</w:t>
            </w:r>
          </w:p>
          <w:p>
            <w:pPr>
              <w:pStyle w:val="63"/>
              <w:rPr>
                <w:b w:val="0"/>
                <w:bCs/>
                <w:kern w:val="2"/>
                <w:sz w:val="16"/>
                <w:szCs w:val="18"/>
              </w:rPr>
            </w:pPr>
          </w:p>
          <w:p>
            <w:pPr>
              <w:pStyle w:val="63"/>
              <w:rPr>
                <w:b w:val="0"/>
                <w:bCs/>
                <w:kern w:val="2"/>
                <w:sz w:val="16"/>
                <w:szCs w:val="18"/>
              </w:rPr>
            </w:pPr>
          </w:p>
          <w:p>
            <w:pPr>
              <w:pStyle w:val="63"/>
              <w:rPr>
                <w:b w:val="0"/>
                <w:bCs/>
                <w:kern w:val="2"/>
                <w:sz w:val="16"/>
                <w:szCs w:val="18"/>
              </w:rPr>
            </w:pPr>
          </w:p>
          <w:p>
            <w:pPr>
              <w:pStyle w:val="63"/>
              <w:rPr>
                <w:kern w:val="2"/>
                <w:sz w:val="16"/>
                <w:szCs w:val="18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4.32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0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491" w:type="dxa"/>
            <w:vMerge w:val="continue"/>
          </w:tcPr>
          <w:p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kern w:val="24"/>
                <w:sz w:val="16"/>
                <w:szCs w:val="16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4.32</w:t>
            </w:r>
          </w:p>
        </w:tc>
        <w:tc>
          <w:tcPr>
            <w:tcW w:w="3034" w:type="dxa"/>
          </w:tcPr>
          <w:p>
            <w:pPr>
              <w:pStyle w:val="64"/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 + 11.88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4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&gt; 4.32, ≤ </w:t>
            </w:r>
            <w:r>
              <w:rPr>
                <w:kern w:val="24"/>
                <w:sz w:val="16"/>
                <w:szCs w:val="18"/>
              </w:rPr>
              <w:t>12.96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≤ 10.8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0" w:type="auto"/>
            <w:vMerge w:val="continue"/>
          </w:tcPr>
          <w:p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4.32, ≤ 18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10.8</w:t>
            </w:r>
            <w:r>
              <w:rPr>
                <w:color w:val="000000" w:themeColor="dark1"/>
                <w:kern w:val="24"/>
                <w:szCs w:val="18"/>
                <w14:textFill>
                  <w14:solidFill>
                    <w14:schemeClr w14:val="dk1"/>
                  </w14:solidFill>
                </w14:textFill>
              </w:rPr>
              <w:t xml:space="preserve">, 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&lt;= 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 + 11.88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0" w:type="auto"/>
            <w:vMerge w:val="continue"/>
          </w:tcPr>
          <w:p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18, ≤ 31.68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max (31.68 – RB</w:t>
            </w:r>
            <w:r>
              <w:rPr>
                <w:color w:val="000000" w:themeColor="dark1"/>
                <w:kern w:val="24"/>
                <w:position w:val="-5"/>
                <w:sz w:val="16"/>
                <w:szCs w:val="18"/>
                <w:vertAlign w:val="subscript"/>
                <w14:textFill>
                  <w14:solidFill>
                    <w14:schemeClr w14:val="dk1"/>
                  </w14:solidFill>
                </w14:textFill>
              </w:rPr>
              <w:t>start</w:t>
            </w: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*12*SCS, 0)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0" w:type="auto"/>
            <w:vMerge w:val="continue"/>
          </w:tcPr>
          <w:p>
            <w:pPr>
              <w:spacing w:after="0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  <w:tc>
          <w:tcPr>
            <w:tcW w:w="3040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31.68</w:t>
            </w:r>
          </w:p>
        </w:tc>
        <w:tc>
          <w:tcPr>
            <w:tcW w:w="3034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color w:val="000000" w:themeColor="dark1"/>
                <w:kern w:val="24"/>
                <w:sz w:val="16"/>
                <w:szCs w:val="18"/>
                <w14:textFill>
                  <w14:solidFill>
                    <w14:schemeClr w14:val="dk1"/>
                  </w14:solidFill>
                </w14:textFill>
              </w:rPr>
              <w:t>&gt; 0</w:t>
            </w:r>
          </w:p>
        </w:tc>
        <w:tc>
          <w:tcPr>
            <w:tcW w:w="793" w:type="dxa"/>
          </w:tcPr>
          <w:p>
            <w:pPr>
              <w:pStyle w:val="64"/>
              <w:rPr>
                <w:kern w:val="2"/>
                <w:sz w:val="16"/>
                <w:szCs w:val="18"/>
              </w:rPr>
            </w:pPr>
            <w:r>
              <w:rPr>
                <w:kern w:val="24"/>
                <w:sz w:val="16"/>
                <w:szCs w:val="18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8358" w:type="dxa"/>
            <w:gridSpan w:val="4"/>
          </w:tcPr>
          <w:p>
            <w:pPr>
              <w:pStyle w:val="78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NOTE 1:</w:t>
            </w:r>
            <w:r>
              <w:rPr>
                <w:kern w:val="2"/>
                <w:sz w:val="16"/>
                <w:szCs w:val="18"/>
              </w:rPr>
              <w:tab/>
            </w:r>
            <w:r>
              <w:rPr>
                <w:kern w:val="2"/>
                <w:sz w:val="16"/>
                <w:szCs w:val="18"/>
              </w:rPr>
              <w:t>The A-MPR values are specified in Table 6.2.3.19-4.</w:t>
            </w:r>
          </w:p>
        </w:tc>
      </w:tr>
    </w:tbl>
    <w:p>
      <w:pPr>
        <w:pStyle w:val="39"/>
        <w:rPr>
          <w:rFonts w:ascii="Arial" w:hAnsi="Arial" w:cs="Arial"/>
          <w:bCs/>
          <w:sz w:val="22"/>
          <w:szCs w:val="22"/>
        </w:rPr>
      </w:pP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TSG WG</w:t>
      </w:r>
      <w:r>
        <w:rPr>
          <w:rFonts w:ascii="Arial" w:hAnsi="Arial" w:cs="Arial"/>
          <w:b/>
          <w:lang w:val="en-US"/>
        </w:rPr>
        <w:t>4</w:t>
      </w:r>
    </w:p>
    <w:p>
      <w:pPr>
        <w:spacing w:after="120"/>
        <w:ind w:left="993" w:hanging="993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RAN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 xml:space="preserve"> kindly requests RAN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 xml:space="preserve"> to </w:t>
      </w:r>
      <w:r>
        <w:rPr>
          <w:rFonts w:hint="eastAsia" w:ascii="Arial" w:hAnsi="Arial" w:cs="Arial"/>
        </w:rPr>
        <w:t xml:space="preserve">review </w:t>
      </w:r>
      <w:r>
        <w:rPr>
          <w:rFonts w:ascii="Arial" w:hAnsi="Arial" w:cs="Arial"/>
          <w:lang w:val="en-US"/>
        </w:rPr>
        <w:t xml:space="preserve">the whole contents in </w:t>
      </w:r>
      <w:r>
        <w:rPr>
          <w:rFonts w:hint="eastAsia" w:ascii="Arial" w:hAnsi="Arial" w:cs="Arial"/>
        </w:rPr>
        <w:t>Table 6.2.3.19-3 of TS 38.101-1</w:t>
      </w:r>
      <w:r>
        <w:rPr>
          <w:rFonts w:ascii="Arial" w:hAnsi="Arial" w:cs="Arial"/>
          <w:lang w:val="en-US"/>
        </w:rPr>
        <w:t xml:space="preserve">, and please inform RAN5 if any updates are needed to </w:t>
      </w:r>
      <w:r>
        <w:rPr>
          <w:rFonts w:hint="eastAsia" w:ascii="Arial" w:hAnsi="Arial" w:cs="Arial"/>
        </w:rPr>
        <w:t>Table 6.2.3.19-3</w:t>
      </w:r>
      <w:r>
        <w:rPr>
          <w:rFonts w:ascii="Arial" w:hAnsi="Arial" w:cs="Arial"/>
          <w:lang w:val="en-US"/>
        </w:rPr>
        <w:t xml:space="preserve"> in </w:t>
      </w:r>
      <w:r>
        <w:rPr>
          <w:rFonts w:hint="eastAsia" w:ascii="Arial" w:hAnsi="Arial" w:cs="Arial"/>
        </w:rPr>
        <w:t>TS 38.101-1</w:t>
      </w:r>
      <w:r>
        <w:rPr>
          <w:rFonts w:ascii="Arial" w:hAnsi="Arial" w:cs="Arial"/>
          <w:lang w:val="en-US"/>
        </w:rPr>
        <w:t>.</w:t>
      </w: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cs="Arial"/>
          <w:bCs/>
          <w:szCs w:val="36"/>
          <w:lang w:val="en-US"/>
        </w:rPr>
        <w:t>5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>
      <w:pPr>
        <w:rPr>
          <w:rFonts w:ascii="Arial" w:hAnsi="Arial" w:cs="Arial"/>
        </w:rPr>
      </w:pPr>
      <w:bookmarkStart w:id="12" w:name="OLE_LINK56"/>
      <w:bookmarkStart w:id="13" w:name="OLE_LINK55"/>
      <w:bookmarkStart w:id="14" w:name="OLE_LINK53"/>
      <w:bookmarkStart w:id="15" w:name="OLE_LINK54"/>
      <w:r>
        <w:rPr>
          <w:rFonts w:ascii="Arial" w:hAnsi="Arial" w:cs="Arial"/>
        </w:rPr>
        <w:t>TSG RAN WG</w:t>
      </w:r>
      <w:r>
        <w:rPr>
          <w:rFonts w:ascii="Arial" w:hAnsi="Arial" w:cs="Arial"/>
          <w:lang w:val="en-US"/>
        </w:rPr>
        <w:t xml:space="preserve">5 </w:t>
      </w:r>
      <w:r>
        <w:rPr>
          <w:rFonts w:ascii="Arial" w:hAnsi="Arial" w:cs="Arial"/>
        </w:rPr>
        <w:t>Meeting #</w:t>
      </w:r>
      <w:r>
        <w:rPr>
          <w:rFonts w:ascii="Arial" w:hAnsi="Arial" w:cs="Arial"/>
          <w:lang w:val="en-US"/>
        </w:rPr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November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18,</w:t>
      </w:r>
      <w:r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12"/>
      <w:bookmarkEnd w:id="13"/>
      <w:r>
        <w:rPr>
          <w:rFonts w:ascii="Arial" w:hAnsi="Arial" w:cs="Arial"/>
          <w:lang w:val="en-US"/>
        </w:rPr>
        <w:t>TBD</w:t>
      </w:r>
    </w:p>
    <w:bookmarkEnd w:id="14"/>
    <w:bookmarkEnd w:id="15"/>
    <w:p>
      <w:pPr>
        <w:rPr>
          <w:rFonts w:ascii="Arial" w:hAnsi="Arial" w:cs="Arial"/>
        </w:rPr>
      </w:pPr>
      <w:r>
        <w:rPr>
          <w:rFonts w:ascii="Arial" w:hAnsi="Arial" w:cs="Arial"/>
        </w:rPr>
        <w:t>TSG RAN WG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 xml:space="preserve"> Meeting #</w:t>
      </w:r>
      <w:r>
        <w:rPr>
          <w:rFonts w:ascii="Arial" w:hAnsi="Arial" w:cs="Arial"/>
          <w:lang w:val="en-US"/>
        </w:rPr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February 27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March3,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Athens, GR</w:t>
      </w:r>
    </w:p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9B537"/>
    <w:multiLevelType w:val="singleLevel"/>
    <w:tmpl w:val="9019B53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linkStyles/>
  <w:attachedTemplate r:id="rId1"/>
  <w:documentProtection w:enforcement="0"/>
  <w:defaultTabStop w:val="7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227A"/>
    <w:rsid w:val="00017F23"/>
    <w:rsid w:val="00025829"/>
    <w:rsid w:val="000D51C7"/>
    <w:rsid w:val="000F6242"/>
    <w:rsid w:val="001100F9"/>
    <w:rsid w:val="00134C08"/>
    <w:rsid w:val="001673CB"/>
    <w:rsid w:val="001B4BAF"/>
    <w:rsid w:val="001E2472"/>
    <w:rsid w:val="002F1940"/>
    <w:rsid w:val="002F55BE"/>
    <w:rsid w:val="00301CCE"/>
    <w:rsid w:val="00383545"/>
    <w:rsid w:val="003858FB"/>
    <w:rsid w:val="003E7B7C"/>
    <w:rsid w:val="00412218"/>
    <w:rsid w:val="00413625"/>
    <w:rsid w:val="00420AD5"/>
    <w:rsid w:val="00430281"/>
    <w:rsid w:val="00433500"/>
    <w:rsid w:val="00433F71"/>
    <w:rsid w:val="00440D43"/>
    <w:rsid w:val="004A5EC3"/>
    <w:rsid w:val="004E3939"/>
    <w:rsid w:val="004F6591"/>
    <w:rsid w:val="00536B58"/>
    <w:rsid w:val="00546FAA"/>
    <w:rsid w:val="0056083B"/>
    <w:rsid w:val="00573B54"/>
    <w:rsid w:val="006B571F"/>
    <w:rsid w:val="006D628E"/>
    <w:rsid w:val="006E0E20"/>
    <w:rsid w:val="006E1A6C"/>
    <w:rsid w:val="006E3D79"/>
    <w:rsid w:val="007645DE"/>
    <w:rsid w:val="00766E8D"/>
    <w:rsid w:val="007F4F92"/>
    <w:rsid w:val="008D772F"/>
    <w:rsid w:val="008E4C27"/>
    <w:rsid w:val="008F4E7B"/>
    <w:rsid w:val="00925FC6"/>
    <w:rsid w:val="009939EC"/>
    <w:rsid w:val="009942F7"/>
    <w:rsid w:val="0099764C"/>
    <w:rsid w:val="009C6EB9"/>
    <w:rsid w:val="009F35A1"/>
    <w:rsid w:val="00A5094B"/>
    <w:rsid w:val="00A97056"/>
    <w:rsid w:val="00AA20ED"/>
    <w:rsid w:val="00B24A96"/>
    <w:rsid w:val="00B97703"/>
    <w:rsid w:val="00BC02E9"/>
    <w:rsid w:val="00C10272"/>
    <w:rsid w:val="00C277F5"/>
    <w:rsid w:val="00C7617B"/>
    <w:rsid w:val="00CF6087"/>
    <w:rsid w:val="00D11961"/>
    <w:rsid w:val="00D36361"/>
    <w:rsid w:val="00E45421"/>
    <w:rsid w:val="00EC2A7D"/>
    <w:rsid w:val="00EE48C7"/>
    <w:rsid w:val="00EE62E3"/>
    <w:rsid w:val="00F26FA8"/>
    <w:rsid w:val="00F36561"/>
    <w:rsid w:val="00FC39B5"/>
    <w:rsid w:val="03685814"/>
    <w:rsid w:val="06B2021F"/>
    <w:rsid w:val="0775429A"/>
    <w:rsid w:val="08B66FB1"/>
    <w:rsid w:val="0B2C34F7"/>
    <w:rsid w:val="0FC707FB"/>
    <w:rsid w:val="191B75AB"/>
    <w:rsid w:val="19532A62"/>
    <w:rsid w:val="1C997B5B"/>
    <w:rsid w:val="245D180B"/>
    <w:rsid w:val="2F25745D"/>
    <w:rsid w:val="312910D4"/>
    <w:rsid w:val="3AB54736"/>
    <w:rsid w:val="3C0B1182"/>
    <w:rsid w:val="42005348"/>
    <w:rsid w:val="471B40B8"/>
    <w:rsid w:val="47432D5E"/>
    <w:rsid w:val="48B77E10"/>
    <w:rsid w:val="5020755E"/>
    <w:rsid w:val="5C1372F2"/>
    <w:rsid w:val="616F4542"/>
    <w:rsid w:val="635E68C0"/>
    <w:rsid w:val="64E1587D"/>
    <w:rsid w:val="651F3028"/>
    <w:rsid w:val="67226074"/>
    <w:rsid w:val="693A2C63"/>
    <w:rsid w:val="69B65415"/>
    <w:rsid w:val="6A2B4A41"/>
    <w:rsid w:val="70C8756F"/>
    <w:rsid w:val="75BD5261"/>
    <w:rsid w:val="7AC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qFormat/>
    <w:uiPriority w:val="0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zh-CN" w:bidi="ar-SA"/>
    </w:rPr>
  </w:style>
  <w:style w:type="paragraph" w:styleId="35">
    <w:name w:val="footnote text"/>
    <w:basedOn w:val="1"/>
    <w:link w:val="62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sz w:val="24"/>
      <w:lang w:val="en-US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Hyperlink"/>
    <w:basedOn w:val="44"/>
    <w:unhideWhenUsed/>
    <w:qFormat/>
    <w:uiPriority w:val="99"/>
    <w:rPr>
      <w:color w:val="0000FF"/>
      <w:u w:val="single"/>
    </w:rPr>
  </w:style>
  <w:style w:type="character" w:styleId="47">
    <w:name w:val="annotation reference"/>
    <w:basedOn w:val="44"/>
    <w:semiHidden/>
    <w:qFormat/>
    <w:uiPriority w:val="0"/>
    <w:rPr>
      <w:sz w:val="16"/>
    </w:rPr>
  </w:style>
  <w:style w:type="character" w:styleId="48">
    <w:name w:val="footnote reference"/>
    <w:basedOn w:val="44"/>
    <w:semiHidden/>
    <w:qFormat/>
    <w:uiPriority w:val="0"/>
    <w:rPr>
      <w:b/>
      <w:position w:val="6"/>
      <w:sz w:val="16"/>
    </w:rPr>
  </w:style>
  <w:style w:type="paragraph" w:customStyle="1" w:styleId="49">
    <w:name w:val="B1"/>
    <w:basedOn w:val="14"/>
    <w:qFormat/>
    <w:uiPriority w:val="0"/>
  </w:style>
  <w:style w:type="paragraph" w:customStyle="1" w:styleId="5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52">
    <w:name w:val="??? 2"/>
    <w:basedOn w:val="51"/>
    <w:next w:val="5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批注框文本 Char"/>
    <w:basedOn w:val="44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页眉 Char"/>
    <w:basedOn w:val="44"/>
    <w:link w:val="34"/>
    <w:qFormat/>
    <w:uiPriority w:val="0"/>
    <w:rPr>
      <w:rFonts w:ascii="Arial" w:hAnsi="Arial"/>
      <w:b/>
      <w:sz w:val="18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zh-CN" w:bidi="ar-SA"/>
    </w:rPr>
  </w:style>
  <w:style w:type="paragraph" w:customStyle="1" w:styleId="60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脚注文本 Char"/>
    <w:basedOn w:val="44"/>
    <w:link w:val="35"/>
    <w:semiHidden/>
    <w:qFormat/>
    <w:uiPriority w:val="0"/>
    <w:rPr>
      <w:sz w:val="16"/>
      <w:lang w:val="en-GB"/>
    </w:rPr>
  </w:style>
  <w:style w:type="paragraph" w:customStyle="1" w:styleId="63">
    <w:name w:val="TAH"/>
    <w:basedOn w:val="64"/>
    <w:link w:val="96"/>
    <w:qFormat/>
    <w:uiPriority w:val="0"/>
    <w:rPr>
      <w:b/>
    </w:rPr>
  </w:style>
  <w:style w:type="paragraph" w:customStyle="1" w:styleId="64">
    <w:name w:val="TAC"/>
    <w:basedOn w:val="65"/>
    <w:link w:val="94"/>
    <w:uiPriority w:val="0"/>
    <w:pPr>
      <w:jc w:val="center"/>
    </w:pPr>
  </w:style>
  <w:style w:type="paragraph" w:customStyle="1" w:styleId="65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uiPriority w:val="0"/>
    <w:pPr>
      <w:keepLines/>
      <w:ind w:left="1135" w:hanging="851"/>
    </w:pPr>
  </w:style>
  <w:style w:type="paragraph" w:customStyle="1" w:styleId="69">
    <w:name w:val="EX"/>
    <w:basedOn w:val="1"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uiPriority w:val="0"/>
    <w:pPr>
      <w:spacing w:after="0"/>
    </w:pPr>
  </w:style>
  <w:style w:type="paragraph" w:customStyle="1" w:styleId="74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zh-CN" w:bidi="ar-SA"/>
    </w:rPr>
  </w:style>
  <w:style w:type="paragraph" w:customStyle="1" w:styleId="77">
    <w:name w:val="TAR"/>
    <w:basedOn w:val="65"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zh-CN" w:bidi="ar-SA"/>
    </w:rPr>
  </w:style>
  <w:style w:type="paragraph" w:customStyle="1" w:styleId="81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zh-CN" w:bidi="ar-SA"/>
    </w:rPr>
  </w:style>
  <w:style w:type="paragraph" w:customStyle="1" w:styleId="82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3">
    <w:name w:val="ZV"/>
    <w:basedOn w:val="82"/>
    <w:uiPriority w:val="0"/>
    <w:pPr>
      <w:framePr w:y="16161"/>
    </w:pPr>
  </w:style>
  <w:style w:type="character" w:customStyle="1" w:styleId="84">
    <w:name w:val="ZGSM"/>
    <w:uiPriority w:val="0"/>
  </w:style>
  <w:style w:type="paragraph" w:customStyle="1" w:styleId="85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uiPriority w:val="0"/>
  </w:style>
  <w:style w:type="paragraph" w:customStyle="1" w:styleId="88">
    <w:name w:val="B3"/>
    <w:basedOn w:val="12"/>
    <w:uiPriority w:val="0"/>
  </w:style>
  <w:style w:type="paragraph" w:customStyle="1" w:styleId="89">
    <w:name w:val="B4"/>
    <w:basedOn w:val="37"/>
    <w:uiPriority w:val="0"/>
  </w:style>
  <w:style w:type="paragraph" w:customStyle="1" w:styleId="90">
    <w:name w:val="B5"/>
    <w:basedOn w:val="36"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CR Cover Page"/>
    <w:link w:val="93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93">
    <w:name w:val="CR Cover Page Char"/>
    <w:link w:val="92"/>
    <w:qFormat/>
    <w:uiPriority w:val="0"/>
    <w:rPr>
      <w:rFonts w:ascii="Arial" w:hAnsi="Arial"/>
      <w:lang w:eastAsia="en-US"/>
    </w:rPr>
  </w:style>
  <w:style w:type="character" w:customStyle="1" w:styleId="94">
    <w:name w:val="TAC Char"/>
    <w:link w:val="64"/>
    <w:qFormat/>
    <w:uiPriority w:val="0"/>
    <w:rPr>
      <w:rFonts w:ascii="Arial" w:hAnsi="Arial"/>
      <w:sz w:val="18"/>
      <w:lang w:val="en-GB"/>
    </w:rPr>
  </w:style>
  <w:style w:type="character" w:customStyle="1" w:styleId="95">
    <w:name w:val="TH Char"/>
    <w:link w:val="67"/>
    <w:qFormat/>
    <w:uiPriority w:val="0"/>
    <w:rPr>
      <w:rFonts w:ascii="Arial" w:hAnsi="Arial"/>
      <w:b/>
      <w:lang w:val="en-GB"/>
    </w:rPr>
  </w:style>
  <w:style w:type="character" w:customStyle="1" w:styleId="96">
    <w:name w:val="TAH Car"/>
    <w:link w:val="63"/>
    <w:qFormat/>
    <w:uiPriority w:val="0"/>
    <w:rPr>
      <w:rFonts w:ascii="Arial" w:hAnsi="Arial"/>
      <w:b/>
      <w:sz w:val="18"/>
      <w:lang w:val="en-GB"/>
    </w:rPr>
  </w:style>
  <w:style w:type="paragraph" w:styleId="97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538</Words>
  <Characters>3070</Characters>
  <Lines>25</Lines>
  <Paragraphs>7</Paragraphs>
  <TotalTime>11</TotalTime>
  <ScaleCrop>false</ScaleCrop>
  <LinksUpToDate>false</LinksUpToDate>
  <CharactersWithSpaces>3601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2022-08-22T01:36:00Z</dcterms:created>
  <dc:creator>David Boswarthick</dc:creator>
  <cp:lastModifiedBy>Danni SONG(CMCC)</cp:lastModifiedBy>
  <cp:lastPrinted>2002-04-23T07:10:00Z</cp:lastPrinted>
  <dcterms:modified xsi:type="dcterms:W3CDTF">2022-08-22T02:48:26Z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6487B8A43E8A4A138DAD94978D632C73</vt:lpwstr>
  </property>
</Properties>
</file>