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7C34CC81"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C46F72">
        <w:rPr>
          <w:rFonts w:ascii="Arial" w:hAnsi="Arial" w:cs="Arial"/>
          <w:b/>
          <w:bCs/>
          <w:sz w:val="24"/>
          <w:szCs w:val="24"/>
          <w:lang w:val="en-GB"/>
        </w:rPr>
        <w:t>3</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144E86">
        <w:rPr>
          <w:rFonts w:ascii="Arial" w:hAnsi="Arial" w:cs="Arial"/>
          <w:b/>
          <w:bCs/>
          <w:sz w:val="28"/>
          <w:szCs w:val="28"/>
          <w:lang w:val="en-GB"/>
        </w:rPr>
        <w:t>R5-2</w:t>
      </w:r>
      <w:r w:rsidR="00324D6B" w:rsidRPr="00144E86">
        <w:rPr>
          <w:rFonts w:ascii="Arial" w:hAnsi="Arial" w:cs="Arial"/>
          <w:b/>
          <w:bCs/>
          <w:sz w:val="28"/>
          <w:szCs w:val="28"/>
          <w:lang w:val="en-GB"/>
        </w:rPr>
        <w:t>1</w:t>
      </w:r>
      <w:r w:rsidR="00804A36">
        <w:rPr>
          <w:rFonts w:ascii="Arial" w:hAnsi="Arial" w:cs="Arial"/>
          <w:b/>
          <w:bCs/>
          <w:sz w:val="28"/>
          <w:szCs w:val="28"/>
          <w:lang w:val="en-GB"/>
        </w:rPr>
        <w:t>770</w:t>
      </w:r>
      <w:r w:rsidR="00E33257">
        <w:rPr>
          <w:rFonts w:ascii="Arial" w:hAnsi="Arial" w:cs="Arial"/>
          <w:b/>
          <w:bCs/>
          <w:sz w:val="28"/>
          <w:szCs w:val="28"/>
          <w:lang w:val="en-GB"/>
        </w:rPr>
        <w:t>7</w:t>
      </w:r>
    </w:p>
    <w:p w14:paraId="258131DC" w14:textId="25C6CF15" w:rsidR="005560D9" w:rsidRDefault="005560D9" w:rsidP="005560D9">
      <w:pPr>
        <w:pStyle w:val="CRCoverPage"/>
        <w:rPr>
          <w:b/>
          <w:bCs/>
          <w:sz w:val="24"/>
          <w:szCs w:val="24"/>
        </w:rPr>
      </w:pPr>
      <w:r>
        <w:rPr>
          <w:b/>
          <w:bCs/>
          <w:sz w:val="24"/>
          <w:szCs w:val="24"/>
        </w:rPr>
        <w:t xml:space="preserve">Electronic Meeting, </w:t>
      </w:r>
      <w:r w:rsidR="00C46F72">
        <w:rPr>
          <w:b/>
          <w:bCs/>
          <w:sz w:val="24"/>
          <w:szCs w:val="24"/>
        </w:rPr>
        <w:t>8</w:t>
      </w:r>
      <w:r w:rsidR="004F2185" w:rsidRPr="004F2185">
        <w:rPr>
          <w:b/>
          <w:bCs/>
          <w:sz w:val="24"/>
          <w:szCs w:val="24"/>
          <w:vertAlign w:val="superscript"/>
        </w:rPr>
        <w:t>th</w:t>
      </w:r>
      <w:r w:rsidR="004F2185">
        <w:rPr>
          <w:b/>
          <w:bCs/>
          <w:sz w:val="24"/>
          <w:szCs w:val="24"/>
        </w:rPr>
        <w:t xml:space="preserve"> </w:t>
      </w:r>
      <w:r w:rsidR="0027603E">
        <w:rPr>
          <w:b/>
          <w:bCs/>
          <w:sz w:val="24"/>
          <w:szCs w:val="24"/>
        </w:rPr>
        <w:t xml:space="preserve">– </w:t>
      </w:r>
      <w:r w:rsidR="004F4A40">
        <w:rPr>
          <w:b/>
          <w:bCs/>
          <w:sz w:val="24"/>
          <w:szCs w:val="24"/>
        </w:rPr>
        <w:t>19</w:t>
      </w:r>
      <w:r w:rsidR="0027603E" w:rsidRPr="0027603E">
        <w:rPr>
          <w:b/>
          <w:bCs/>
          <w:sz w:val="24"/>
          <w:szCs w:val="24"/>
          <w:vertAlign w:val="superscript"/>
        </w:rPr>
        <w:t>th</w:t>
      </w:r>
      <w:r w:rsidR="0027603E">
        <w:rPr>
          <w:b/>
          <w:bCs/>
          <w:sz w:val="24"/>
          <w:szCs w:val="24"/>
        </w:rPr>
        <w:t xml:space="preserve"> </w:t>
      </w:r>
      <w:r w:rsidR="004F4A40">
        <w:rPr>
          <w:b/>
          <w:bCs/>
          <w:sz w:val="24"/>
          <w:szCs w:val="24"/>
        </w:rPr>
        <w:t>November</w:t>
      </w:r>
      <w:r w:rsidR="002077AB">
        <w:rPr>
          <w:b/>
          <w:bCs/>
          <w:sz w:val="24"/>
          <w:szCs w:val="24"/>
        </w:rPr>
        <w:t xml:space="preserve"> 2021</w:t>
      </w:r>
    </w:p>
    <w:p w14:paraId="68628F53" w14:textId="385102D9" w:rsidR="005560D9" w:rsidRDefault="005560D9" w:rsidP="005560D9">
      <w:pPr>
        <w:spacing w:before="240" w:after="12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E33257" w:rsidRPr="00E33257">
        <w:rPr>
          <w:rFonts w:ascii="Arial" w:hAnsi="Arial"/>
          <w:bCs/>
        </w:rPr>
        <w:t>FR2 Extreme Temperature Conditions applicability for UL-MIMO</w:t>
      </w:r>
    </w:p>
    <w:p w14:paraId="28214B28" w14:textId="0AB5CE42"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p>
    <w:p w14:paraId="204CF581" w14:textId="238FEAE9"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w:t>
      </w:r>
      <w:r w:rsidR="00804A36">
        <w:rPr>
          <w:rFonts w:ascii="Arial" w:eastAsia="MS Mincho" w:hAnsi="Arial"/>
          <w:lang w:val="pt-BR"/>
        </w:rPr>
        <w:t>1</w:t>
      </w:r>
      <w:r w:rsidRPr="00282D48">
        <w:rPr>
          <w:rFonts w:ascii="Arial" w:eastAsia="MS Mincho" w:hAnsi="Arial"/>
          <w:lang w:val="pt-BR"/>
        </w:rPr>
        <w:t>.17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0A90596A" w14:textId="77777777" w:rsidR="00F54C90" w:rsidRDefault="00E53DAD" w:rsidP="00D27873">
      <w:pPr>
        <w:ind w:left="48"/>
        <w:rPr>
          <w:rFonts w:eastAsia="Batang"/>
        </w:rPr>
      </w:pPr>
      <w:r>
        <w:rPr>
          <w:rFonts w:eastAsia="Batang"/>
        </w:rPr>
        <w:t xml:space="preserve">Applicability of FR2 ETC has been discussed in the last </w:t>
      </w:r>
      <w:r w:rsidR="00CE3B3E">
        <w:rPr>
          <w:rFonts w:eastAsia="Batang"/>
        </w:rPr>
        <w:t xml:space="preserve">3 </w:t>
      </w:r>
      <w:r>
        <w:rPr>
          <w:rFonts w:eastAsia="Batang"/>
        </w:rPr>
        <w:t>meeting cycles</w:t>
      </w:r>
      <w:r w:rsidR="00CE3B3E">
        <w:rPr>
          <w:rFonts w:eastAsia="Batang"/>
        </w:rPr>
        <w:t xml:space="preserve"> ([1], [2], [3]).</w:t>
      </w:r>
      <w:r w:rsidR="005C08FB">
        <w:rPr>
          <w:rFonts w:eastAsia="Batang"/>
        </w:rPr>
        <w:t xml:space="preserve"> </w:t>
      </w:r>
    </w:p>
    <w:p w14:paraId="220FCA49" w14:textId="07DA5915" w:rsidR="00F54C90" w:rsidRDefault="005C08FB" w:rsidP="00D27873">
      <w:pPr>
        <w:ind w:left="48"/>
        <w:rPr>
          <w:rFonts w:eastAsia="Batang"/>
        </w:rPr>
      </w:pPr>
      <w:r>
        <w:rPr>
          <w:rFonts w:eastAsia="Batang"/>
        </w:rPr>
        <w:t>T</w:t>
      </w:r>
      <w:r w:rsidR="00F54C90">
        <w:rPr>
          <w:rFonts w:eastAsia="Batang"/>
        </w:rPr>
        <w:t>h</w:t>
      </w:r>
      <w:r>
        <w:rPr>
          <w:rFonts w:eastAsia="Batang"/>
        </w:rPr>
        <w:t xml:space="preserve">e extension of the initial conditions to include FR2 ETC is still under discussion for </w:t>
      </w:r>
      <w:r w:rsidR="00F54C90">
        <w:rPr>
          <w:rFonts w:eastAsia="Batang"/>
        </w:rPr>
        <w:t>UL</w:t>
      </w:r>
      <w:r w:rsidR="00C90FEC">
        <w:rPr>
          <w:rFonts w:eastAsia="Batang"/>
        </w:rPr>
        <w:t xml:space="preserve"> </w:t>
      </w:r>
      <w:r w:rsidR="00F54C90">
        <w:rPr>
          <w:rFonts w:eastAsia="Batang"/>
        </w:rPr>
        <w:t>MIMO test cases in [4].</w:t>
      </w:r>
    </w:p>
    <w:p w14:paraId="512E3D51" w14:textId="77777777" w:rsidR="00277F93" w:rsidRDefault="00F54C90" w:rsidP="00D27873">
      <w:pPr>
        <w:ind w:left="48"/>
        <w:rPr>
          <w:rFonts w:eastAsia="Batang"/>
        </w:rPr>
      </w:pPr>
      <w:r>
        <w:rPr>
          <w:rFonts w:eastAsia="Batang"/>
        </w:rPr>
        <w:t>This document proposes a way forward on this topic.</w:t>
      </w:r>
    </w:p>
    <w:p w14:paraId="7E0F3AB4" w14:textId="4122A957"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F63D38">
        <w:rPr>
          <w:b/>
          <w:noProof w:val="0"/>
        </w:rPr>
        <w:t>Discussion</w:t>
      </w:r>
    </w:p>
    <w:p w14:paraId="6AA5E320" w14:textId="38D853E5" w:rsidR="00277F93" w:rsidRDefault="00277F93" w:rsidP="00277F93">
      <w:pPr>
        <w:ind w:left="48"/>
        <w:rPr>
          <w:rFonts w:eastAsia="Batang"/>
        </w:rPr>
      </w:pPr>
      <w:r>
        <w:rPr>
          <w:rFonts w:eastAsia="Batang"/>
        </w:rPr>
        <w:t>In [</w:t>
      </w:r>
      <w:r w:rsidR="0076570C">
        <w:rPr>
          <w:rFonts w:eastAsia="Batang"/>
        </w:rPr>
        <w:t>2</w:t>
      </w:r>
      <w:r>
        <w:rPr>
          <w:rFonts w:eastAsia="Batang"/>
        </w:rPr>
        <w:t>], the following proposal was made:</w:t>
      </w:r>
    </w:p>
    <w:tbl>
      <w:tblPr>
        <w:tblStyle w:val="TableGrid"/>
        <w:tblW w:w="0" w:type="auto"/>
        <w:tblInd w:w="48" w:type="dxa"/>
        <w:tblLook w:val="04A0" w:firstRow="1" w:lastRow="0" w:firstColumn="1" w:lastColumn="0" w:noHBand="0" w:noVBand="1"/>
      </w:tblPr>
      <w:tblGrid>
        <w:gridCol w:w="9302"/>
      </w:tblGrid>
      <w:tr w:rsidR="00277F93" w14:paraId="47BA30F3" w14:textId="77777777" w:rsidTr="00277F93">
        <w:tc>
          <w:tcPr>
            <w:tcW w:w="9350" w:type="dxa"/>
          </w:tcPr>
          <w:p w14:paraId="7885FFFB" w14:textId="1A430FF8" w:rsidR="00277F93" w:rsidRPr="0076570C" w:rsidRDefault="0076570C" w:rsidP="00277F93">
            <w:pPr>
              <w:rPr>
                <w:b/>
                <w:i/>
                <w:iCs/>
              </w:rPr>
            </w:pPr>
            <w:r w:rsidRPr="0076570C">
              <w:rPr>
                <w:b/>
                <w:i/>
                <w:iCs/>
              </w:rPr>
              <w:t>Proposal 2: Align FR2 Standalone Extreme testing conditions per test case with those in FR1 Standalone (as shown in Table 1 above) if corresponding core requirements don’t include any explicit exception to ETC.</w:t>
            </w:r>
          </w:p>
        </w:tc>
      </w:tr>
    </w:tbl>
    <w:p w14:paraId="30332A84" w14:textId="401B1C2D" w:rsidR="0015652C" w:rsidRDefault="0015652C" w:rsidP="00E533D5">
      <w:pPr>
        <w:ind w:left="48"/>
        <w:rPr>
          <w:rFonts w:eastAsia="Batang"/>
        </w:rPr>
      </w:pPr>
      <w:r>
        <w:rPr>
          <w:rFonts w:eastAsia="Batang"/>
        </w:rPr>
        <w:t xml:space="preserve">However, </w:t>
      </w:r>
      <w:r w:rsidR="003D63AB">
        <w:rPr>
          <w:rFonts w:eastAsia="Batang"/>
        </w:rPr>
        <w:t>in RAN5#92-e</w:t>
      </w:r>
      <w:r w:rsidR="00747544">
        <w:rPr>
          <w:rFonts w:eastAsia="Batang"/>
        </w:rPr>
        <w:t xml:space="preserve">, </w:t>
      </w:r>
      <w:r w:rsidR="00A465BE">
        <w:rPr>
          <w:rFonts w:eastAsia="Batang"/>
        </w:rPr>
        <w:t>one</w:t>
      </w:r>
      <w:r w:rsidR="00747544">
        <w:rPr>
          <w:rFonts w:eastAsia="Batang"/>
        </w:rPr>
        <w:t xml:space="preserve"> </w:t>
      </w:r>
      <w:r w:rsidR="00032E9A">
        <w:rPr>
          <w:rFonts w:eastAsia="Batang"/>
        </w:rPr>
        <w:t xml:space="preserve">of </w:t>
      </w:r>
      <w:r w:rsidR="00747544">
        <w:rPr>
          <w:rFonts w:eastAsia="Batang"/>
        </w:rPr>
        <w:t>the comments received for</w:t>
      </w:r>
      <w:r>
        <w:rPr>
          <w:rFonts w:eastAsia="Batang"/>
        </w:rPr>
        <w:t xml:space="preserve"> [3] </w:t>
      </w:r>
      <w:r w:rsidR="00032E9A">
        <w:rPr>
          <w:rFonts w:eastAsia="Batang"/>
        </w:rPr>
        <w:t xml:space="preserve">stated </w:t>
      </w:r>
      <w:r w:rsidR="00A465BE">
        <w:rPr>
          <w:rFonts w:eastAsia="Batang"/>
        </w:rPr>
        <w:t>that</w:t>
      </w:r>
      <w:r w:rsidR="00FA70C6">
        <w:rPr>
          <w:rFonts w:eastAsia="Batang"/>
        </w:rPr>
        <w:t>,</w:t>
      </w:r>
      <w:r w:rsidR="00A465BE">
        <w:rPr>
          <w:rFonts w:eastAsia="Batang"/>
        </w:rPr>
        <w:t xml:space="preserve"> i</w:t>
      </w:r>
      <w:r w:rsidR="00A465BE" w:rsidRPr="00A465BE">
        <w:rPr>
          <w:rFonts w:eastAsia="Batang"/>
        </w:rPr>
        <w:t>n FR2</w:t>
      </w:r>
      <w:r w:rsidR="00FA70C6">
        <w:rPr>
          <w:rFonts w:eastAsia="Batang"/>
        </w:rPr>
        <w:t>,</w:t>
      </w:r>
      <w:r w:rsidR="00A465BE" w:rsidRPr="00A465BE">
        <w:rPr>
          <w:rFonts w:eastAsia="Batang"/>
        </w:rPr>
        <w:t xml:space="preserve"> UE</w:t>
      </w:r>
      <w:r w:rsidR="00032E9A">
        <w:rPr>
          <w:rFonts w:eastAsia="Batang"/>
        </w:rPr>
        <w:t>s</w:t>
      </w:r>
      <w:r w:rsidR="00A465BE" w:rsidRPr="00A465BE">
        <w:rPr>
          <w:rFonts w:eastAsia="Batang"/>
        </w:rPr>
        <w:t xml:space="preserve"> </w:t>
      </w:r>
      <w:r w:rsidR="00032E9A">
        <w:rPr>
          <w:rFonts w:eastAsia="Batang"/>
        </w:rPr>
        <w:t>already</w:t>
      </w:r>
      <w:r w:rsidR="00032E9A" w:rsidRPr="00A465BE">
        <w:rPr>
          <w:rFonts w:eastAsia="Batang"/>
        </w:rPr>
        <w:t xml:space="preserve"> </w:t>
      </w:r>
      <w:r w:rsidR="00A465BE" w:rsidRPr="00A465BE">
        <w:rPr>
          <w:rFonts w:eastAsia="Batang"/>
        </w:rPr>
        <w:t>transmit with 2</w:t>
      </w:r>
      <w:r w:rsidR="00032E9A">
        <w:rPr>
          <w:rFonts w:eastAsia="Batang"/>
        </w:rPr>
        <w:t xml:space="preserve"> </w:t>
      </w:r>
      <w:r w:rsidR="00A465BE" w:rsidRPr="00A465BE">
        <w:rPr>
          <w:rFonts w:eastAsia="Batang"/>
        </w:rPr>
        <w:t>polarization</w:t>
      </w:r>
      <w:r w:rsidR="00032E9A">
        <w:rPr>
          <w:rFonts w:eastAsia="Batang"/>
        </w:rPr>
        <w:t>s</w:t>
      </w:r>
      <w:r w:rsidR="00A465BE" w:rsidRPr="00A465BE">
        <w:rPr>
          <w:rFonts w:eastAsia="Batang"/>
        </w:rPr>
        <w:t xml:space="preserve"> even for single layer testing, </w:t>
      </w:r>
      <w:r w:rsidR="00032E9A">
        <w:rPr>
          <w:rFonts w:eastAsia="Batang"/>
        </w:rPr>
        <w:t xml:space="preserve">i.e., </w:t>
      </w:r>
      <w:r w:rsidR="00757797">
        <w:rPr>
          <w:rFonts w:eastAsia="Batang"/>
        </w:rPr>
        <w:t>simultaneous transmission on both</w:t>
      </w:r>
      <w:r w:rsidR="00757797" w:rsidRPr="00A465BE">
        <w:rPr>
          <w:rFonts w:eastAsia="Batang"/>
        </w:rPr>
        <w:t xml:space="preserve"> </w:t>
      </w:r>
      <w:r w:rsidR="00A465BE" w:rsidRPr="00A465BE">
        <w:rPr>
          <w:rFonts w:eastAsia="Batang"/>
        </w:rPr>
        <w:t xml:space="preserve">polarizations </w:t>
      </w:r>
      <w:r w:rsidR="00757797">
        <w:rPr>
          <w:rFonts w:eastAsia="Batang"/>
        </w:rPr>
        <w:t>is</w:t>
      </w:r>
      <w:r w:rsidR="00757797" w:rsidRPr="00A465BE">
        <w:rPr>
          <w:rFonts w:eastAsia="Batang"/>
        </w:rPr>
        <w:t xml:space="preserve"> </w:t>
      </w:r>
      <w:r w:rsidR="00A465BE" w:rsidRPr="00A465BE">
        <w:rPr>
          <w:rFonts w:eastAsia="Batang"/>
        </w:rPr>
        <w:t>already verified in the basic test case</w:t>
      </w:r>
      <w:r w:rsidR="00757797">
        <w:rPr>
          <w:rFonts w:eastAsia="Batang"/>
        </w:rPr>
        <w:t xml:space="preserve"> under ETC</w:t>
      </w:r>
      <w:r w:rsidR="00A465BE" w:rsidRPr="00A465BE">
        <w:rPr>
          <w:rFonts w:eastAsia="Batang"/>
        </w:rPr>
        <w:t xml:space="preserve">. </w:t>
      </w:r>
      <w:r w:rsidR="00483385">
        <w:rPr>
          <w:rFonts w:eastAsia="Batang"/>
        </w:rPr>
        <w:t>Hence, it was suggested to consider skipping all UL MIMO test cases under ETC</w:t>
      </w:r>
      <w:r w:rsidR="00E533D5">
        <w:rPr>
          <w:rFonts w:eastAsia="Batang"/>
        </w:rPr>
        <w:t xml:space="preserve"> as they </w:t>
      </w:r>
      <w:r w:rsidR="00757797">
        <w:rPr>
          <w:rFonts w:eastAsia="Batang"/>
        </w:rPr>
        <w:t xml:space="preserve">would not </w:t>
      </w:r>
      <w:r w:rsidR="00E533D5">
        <w:rPr>
          <w:rFonts w:eastAsia="Batang"/>
        </w:rPr>
        <w:t xml:space="preserve">add </w:t>
      </w:r>
      <w:r w:rsidR="00757797">
        <w:rPr>
          <w:rFonts w:eastAsia="Batang"/>
        </w:rPr>
        <w:t xml:space="preserve">additional </w:t>
      </w:r>
      <w:r w:rsidR="00E533D5">
        <w:rPr>
          <w:rFonts w:eastAsia="Batang"/>
        </w:rPr>
        <w:t>value.</w:t>
      </w:r>
    </w:p>
    <w:p w14:paraId="3310DC67" w14:textId="77D7CD02" w:rsidR="00A13D63" w:rsidRDefault="0093206A" w:rsidP="00E533D5">
      <w:pPr>
        <w:ind w:left="48"/>
        <w:rPr>
          <w:rFonts w:eastAsia="Batang"/>
        </w:rPr>
      </w:pPr>
      <w:r>
        <w:rPr>
          <w:rFonts w:eastAsia="Batang"/>
        </w:rPr>
        <w:t>According to Keysight’s understanding,</w:t>
      </w:r>
      <w:r w:rsidR="00757797">
        <w:rPr>
          <w:rFonts w:eastAsia="Batang"/>
        </w:rPr>
        <w:t xml:space="preserve"> the</w:t>
      </w:r>
      <w:r>
        <w:rPr>
          <w:rFonts w:eastAsia="Batang"/>
        </w:rPr>
        <w:t xml:space="preserve"> </w:t>
      </w:r>
      <w:r w:rsidR="00A45281">
        <w:rPr>
          <w:rFonts w:eastAsia="Batang"/>
        </w:rPr>
        <w:t xml:space="preserve">UE </w:t>
      </w:r>
      <w:r w:rsidR="00086EE5" w:rsidRPr="0048468F">
        <w:rPr>
          <w:rFonts w:eastAsia="Batang"/>
          <w:u w:val="single"/>
        </w:rPr>
        <w:t>may</w:t>
      </w:r>
      <w:r w:rsidR="00086EE5">
        <w:rPr>
          <w:rFonts w:eastAsia="Batang"/>
        </w:rPr>
        <w:t xml:space="preserve"> </w:t>
      </w:r>
      <w:r w:rsidR="00F81C73">
        <w:rPr>
          <w:rFonts w:eastAsia="Batang"/>
        </w:rPr>
        <w:t xml:space="preserve">or </w:t>
      </w:r>
      <w:r w:rsidR="00F81C73" w:rsidRPr="0048468F">
        <w:rPr>
          <w:rFonts w:eastAsia="Batang"/>
          <w:u w:val="single"/>
        </w:rPr>
        <w:t>may not</w:t>
      </w:r>
      <w:r w:rsidR="00F81C73">
        <w:rPr>
          <w:rFonts w:eastAsia="Batang"/>
        </w:rPr>
        <w:t xml:space="preserve"> transmit </w:t>
      </w:r>
      <w:r w:rsidR="001C76CC">
        <w:rPr>
          <w:rFonts w:eastAsia="Batang"/>
        </w:rPr>
        <w:t>using</w:t>
      </w:r>
      <w:r w:rsidR="00F81C73">
        <w:rPr>
          <w:rFonts w:eastAsia="Batang"/>
        </w:rPr>
        <w:t xml:space="preserve"> dual polarization according to </w:t>
      </w:r>
      <w:r w:rsidR="00A13D63">
        <w:rPr>
          <w:rFonts w:eastAsia="Batang"/>
        </w:rPr>
        <w:t>38.521-2 section 6.1:</w:t>
      </w:r>
    </w:p>
    <w:tbl>
      <w:tblPr>
        <w:tblStyle w:val="TableGrid"/>
        <w:tblW w:w="0" w:type="auto"/>
        <w:tblInd w:w="48" w:type="dxa"/>
        <w:tblLook w:val="04A0" w:firstRow="1" w:lastRow="0" w:firstColumn="1" w:lastColumn="0" w:noHBand="0" w:noVBand="1"/>
      </w:tblPr>
      <w:tblGrid>
        <w:gridCol w:w="9302"/>
      </w:tblGrid>
      <w:tr w:rsidR="00A13D63" w14:paraId="3188E4F6" w14:textId="77777777" w:rsidTr="00A13D63">
        <w:tc>
          <w:tcPr>
            <w:tcW w:w="9350" w:type="dxa"/>
          </w:tcPr>
          <w:p w14:paraId="43F9C23F" w14:textId="77777777" w:rsidR="00667DE0" w:rsidRPr="00667DE0" w:rsidRDefault="00667DE0" w:rsidP="00667DE0">
            <w:pPr>
              <w:keepNext/>
              <w:keepLines/>
              <w:overflowPunct w:val="0"/>
              <w:autoSpaceDE w:val="0"/>
              <w:autoSpaceDN w:val="0"/>
              <w:adjustRightInd w:val="0"/>
              <w:spacing w:before="180" w:after="180" w:line="240" w:lineRule="auto"/>
              <w:ind w:left="1134" w:hanging="1134"/>
              <w:textAlignment w:val="baseline"/>
              <w:outlineLvl w:val="1"/>
              <w:rPr>
                <w:rFonts w:ascii="Arial" w:eastAsia="SimSun" w:hAnsi="Arial"/>
                <w:szCs w:val="14"/>
                <w:lang w:val="en-GB" w:eastAsia="en-GB"/>
              </w:rPr>
            </w:pPr>
            <w:bookmarkStart w:id="0" w:name="_Toc21026388"/>
            <w:bookmarkStart w:id="1" w:name="_Toc27743641"/>
            <w:bookmarkStart w:id="2" w:name="_Toc36196785"/>
            <w:bookmarkStart w:id="3" w:name="_Toc36197477"/>
            <w:bookmarkStart w:id="4" w:name="_Toc43898142"/>
            <w:bookmarkStart w:id="5" w:name="_Toc52550633"/>
            <w:bookmarkStart w:id="6" w:name="_Toc58952338"/>
            <w:bookmarkStart w:id="7" w:name="_Toc68098093"/>
            <w:bookmarkStart w:id="8" w:name="_Toc68098366"/>
            <w:bookmarkStart w:id="9" w:name="_Toc68360496"/>
            <w:bookmarkStart w:id="10" w:name="_Toc76557561"/>
            <w:bookmarkStart w:id="11" w:name="_Toc84435453"/>
            <w:r w:rsidRPr="00667DE0">
              <w:rPr>
                <w:rFonts w:ascii="Arial" w:eastAsia="Times New Roman" w:hAnsi="Arial"/>
                <w:szCs w:val="14"/>
                <w:lang w:val="en-GB" w:eastAsia="en-GB"/>
              </w:rPr>
              <w:lastRenderedPageBreak/>
              <w:t>6.1</w:t>
            </w:r>
            <w:r w:rsidRPr="00667DE0">
              <w:rPr>
                <w:rFonts w:ascii="Arial" w:eastAsia="Times New Roman" w:hAnsi="Arial"/>
                <w:szCs w:val="14"/>
                <w:lang w:val="en-GB" w:eastAsia="en-GB"/>
              </w:rPr>
              <w:tab/>
              <w:t>General</w:t>
            </w:r>
            <w:bookmarkEnd w:id="0"/>
            <w:bookmarkEnd w:id="1"/>
            <w:bookmarkEnd w:id="2"/>
            <w:bookmarkEnd w:id="3"/>
            <w:bookmarkEnd w:id="4"/>
            <w:bookmarkEnd w:id="5"/>
            <w:bookmarkEnd w:id="6"/>
            <w:bookmarkEnd w:id="7"/>
            <w:bookmarkEnd w:id="8"/>
            <w:bookmarkEnd w:id="9"/>
            <w:bookmarkEnd w:id="10"/>
            <w:bookmarkEnd w:id="11"/>
          </w:p>
          <w:p w14:paraId="5F9DB357" w14:textId="77777777" w:rsidR="00667DE0" w:rsidRPr="00667DE0" w:rsidRDefault="00667DE0" w:rsidP="00667DE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olor w:val="FF0000"/>
                <w:sz w:val="14"/>
                <w:szCs w:val="14"/>
                <w:lang w:val="en-GB" w:eastAsia="en-GB"/>
              </w:rPr>
            </w:pPr>
            <w:r w:rsidRPr="00667DE0">
              <w:rPr>
                <w:rFonts w:ascii="Times New Roman" w:eastAsia="Times New Roman" w:hAnsi="Times New Roman"/>
                <w:color w:val="FF0000"/>
                <w:sz w:val="14"/>
                <w:szCs w:val="14"/>
                <w:lang w:val="en-GB" w:eastAsia="en-GB"/>
              </w:rPr>
              <w:t>Editor’s Note: Test configurations/environments that require new spherical scan shall be included in test procedure section and identifying such scenarios is currently FFS and owned by RAN5.</w:t>
            </w:r>
          </w:p>
          <w:p w14:paraId="3FF6033F" w14:textId="77777777" w:rsidR="00667DE0" w:rsidRPr="00667DE0" w:rsidRDefault="00667DE0" w:rsidP="00667DE0">
            <w:pPr>
              <w:overflowPunct w:val="0"/>
              <w:autoSpaceDE w:val="0"/>
              <w:autoSpaceDN w:val="0"/>
              <w:adjustRightInd w:val="0"/>
              <w:spacing w:after="180" w:line="240" w:lineRule="auto"/>
              <w:textAlignment w:val="baseline"/>
              <w:rPr>
                <w:rFonts w:ascii="Times New Roman" w:eastAsia="Times New Roman" w:hAnsi="Times New Roman"/>
                <w:sz w:val="14"/>
                <w:szCs w:val="14"/>
                <w:lang w:val="en-GB" w:eastAsia="en-GB"/>
              </w:rPr>
            </w:pPr>
            <w:r w:rsidRPr="00667DE0">
              <w:rPr>
                <w:rFonts w:ascii="Times New Roman" w:eastAsia="Times New Roman" w:hAnsi="Times New Roman"/>
                <w:sz w:val="14"/>
                <w:szCs w:val="14"/>
                <w:lang w:val="en-GB" w:eastAsia="en-GB"/>
              </w:rPr>
              <w:t>Unless otherwise stated, the transmitter characteristics are specified over the air (OTA) with a single or multiple transmit chains.</w:t>
            </w:r>
          </w:p>
          <w:p w14:paraId="5BE75E47" w14:textId="77777777" w:rsidR="00667DE0" w:rsidRPr="00667DE0" w:rsidRDefault="00667DE0" w:rsidP="00667DE0">
            <w:pPr>
              <w:overflowPunct w:val="0"/>
              <w:autoSpaceDE w:val="0"/>
              <w:autoSpaceDN w:val="0"/>
              <w:adjustRightInd w:val="0"/>
              <w:spacing w:after="180" w:line="240" w:lineRule="auto"/>
              <w:textAlignment w:val="baseline"/>
              <w:rPr>
                <w:rFonts w:ascii="Times New Roman" w:eastAsia="Times New Roman" w:hAnsi="Times New Roman"/>
                <w:sz w:val="14"/>
                <w:szCs w:val="14"/>
                <w:lang w:val="en-GB" w:eastAsia="en-GB"/>
              </w:rPr>
            </w:pPr>
            <w:r w:rsidRPr="00667DE0">
              <w:rPr>
                <w:rFonts w:ascii="Times New Roman" w:eastAsia="Times New Roman" w:hAnsi="Times New Roman"/>
                <w:sz w:val="14"/>
                <w:szCs w:val="14"/>
                <w:lang w:val="en-GB" w:eastAsia="zh-CN"/>
              </w:rPr>
              <w:t>Unless otherwise stated, for power class 3 UEs, the beam correspondence side condition for SSB and CSI-RS specified in subclause 6.6 shall apply to the transmission tests.</w:t>
            </w:r>
          </w:p>
          <w:p w14:paraId="5618B431" w14:textId="77777777" w:rsidR="00667DE0" w:rsidRPr="00667DE0" w:rsidRDefault="00667DE0" w:rsidP="00667DE0">
            <w:pPr>
              <w:overflowPunct w:val="0"/>
              <w:autoSpaceDE w:val="0"/>
              <w:autoSpaceDN w:val="0"/>
              <w:adjustRightInd w:val="0"/>
              <w:spacing w:after="180" w:line="240" w:lineRule="auto"/>
              <w:textAlignment w:val="baseline"/>
              <w:rPr>
                <w:rFonts w:ascii="Times New Roman" w:eastAsia="Times New Roman" w:hAnsi="Times New Roman"/>
                <w:sz w:val="14"/>
                <w:szCs w:val="14"/>
                <w:lang w:val="en-GB" w:eastAsia="en-GB"/>
              </w:rPr>
            </w:pPr>
            <w:bookmarkStart w:id="12" w:name="_Hlk22228732"/>
            <w:r w:rsidRPr="00667DE0">
              <w:rPr>
                <w:rFonts w:ascii="Times New Roman" w:eastAsia="Malgun Gothic" w:hAnsi="Times New Roman"/>
                <w:sz w:val="14"/>
                <w:szCs w:val="14"/>
                <w:lang w:val="en-GB" w:eastAsia="en-GB"/>
              </w:rPr>
              <w:t xml:space="preserve">Transmitter requirements for CA operation apply only when </w:t>
            </w:r>
            <w:r w:rsidRPr="00667DE0">
              <w:rPr>
                <w:rFonts w:ascii="Times New Roman" w:eastAsia="Times New Roman" w:hAnsi="Times New Roman"/>
                <w:sz w:val="14"/>
                <w:szCs w:val="14"/>
                <w:lang w:val="en-GB" w:eastAsia="en-GB"/>
              </w:rPr>
              <w:t>the DMRS initialization parameters (including the case when the UE applies cell ID as DMRS scrambling ID) are different across all CCs. The UE may use higher MPR values outside this limitation.</w:t>
            </w:r>
          </w:p>
          <w:p w14:paraId="0CC592F2" w14:textId="77777777" w:rsidR="00667DE0" w:rsidRPr="00667DE0" w:rsidRDefault="00667DE0" w:rsidP="00667DE0">
            <w:pPr>
              <w:overflowPunct w:val="0"/>
              <w:autoSpaceDE w:val="0"/>
              <w:autoSpaceDN w:val="0"/>
              <w:adjustRightInd w:val="0"/>
              <w:spacing w:after="180" w:line="240" w:lineRule="auto"/>
              <w:textAlignment w:val="baseline"/>
              <w:rPr>
                <w:rFonts w:ascii="Times New Roman" w:eastAsia="Times New Roman" w:hAnsi="Times New Roman"/>
                <w:sz w:val="14"/>
                <w:szCs w:val="14"/>
                <w:lang w:val="en-GB" w:eastAsia="en-GB"/>
              </w:rPr>
            </w:pPr>
            <w:r w:rsidRPr="00667DE0">
              <w:rPr>
                <w:rFonts w:ascii="Times New Roman" w:eastAsia="Malgun Gothic" w:hAnsi="Times New Roman"/>
                <w:sz w:val="14"/>
                <w:szCs w:val="14"/>
                <w:lang w:val="en-GB" w:eastAsia="en-GB"/>
              </w:rPr>
              <w:t xml:space="preserve">Transmitter requirements for UL MIMO operation apply when the UE transmits on 2 ports on the same CDM group. The </w:t>
            </w:r>
            <w:r w:rsidRPr="00667DE0">
              <w:rPr>
                <w:rFonts w:ascii="Times New Roman" w:eastAsia="Times New Roman" w:hAnsi="Times New Roman"/>
                <w:sz w:val="14"/>
                <w:szCs w:val="14"/>
                <w:lang w:val="en-GB" w:eastAsia="en-GB"/>
              </w:rPr>
              <w:t>UE may use higher MPR values outside this limitation.</w:t>
            </w:r>
            <w:bookmarkEnd w:id="12"/>
          </w:p>
          <w:p w14:paraId="12A30AE9" w14:textId="77777777" w:rsidR="00667DE0" w:rsidRPr="00667DE0" w:rsidRDefault="00667DE0" w:rsidP="00667DE0">
            <w:pPr>
              <w:overflowPunct w:val="0"/>
              <w:autoSpaceDE w:val="0"/>
              <w:autoSpaceDN w:val="0"/>
              <w:adjustRightInd w:val="0"/>
              <w:spacing w:after="180" w:line="240" w:lineRule="auto"/>
              <w:textAlignment w:val="baseline"/>
              <w:rPr>
                <w:rFonts w:ascii="Times New Roman" w:eastAsia="Times New Roman" w:hAnsi="Times New Roman"/>
                <w:sz w:val="14"/>
                <w:szCs w:val="14"/>
                <w:lang w:val="en-GB" w:eastAsia="en-GB"/>
              </w:rPr>
            </w:pPr>
            <w:r w:rsidRPr="00667DE0">
              <w:rPr>
                <w:rFonts w:ascii="Times New Roman" w:eastAsia="Times New Roman" w:hAnsi="Times New Roman"/>
                <w:sz w:val="14"/>
                <w:szCs w:val="14"/>
                <w:lang w:val="en-GB" w:eastAsia="en-GB"/>
              </w:rPr>
              <w:t xml:space="preserve">For Tx test cases the identified beam peak direction can be stored and reused for a device under test in various configurations/environments for the full duration of device testing as long as beam peak direction is the same. </w:t>
            </w:r>
          </w:p>
          <w:p w14:paraId="13E63A94" w14:textId="77777777" w:rsidR="00667DE0" w:rsidRPr="00667DE0" w:rsidRDefault="00667DE0" w:rsidP="00667DE0">
            <w:pPr>
              <w:overflowPunct w:val="0"/>
              <w:autoSpaceDE w:val="0"/>
              <w:autoSpaceDN w:val="0"/>
              <w:adjustRightInd w:val="0"/>
              <w:spacing w:after="180" w:line="240" w:lineRule="auto"/>
              <w:textAlignment w:val="baseline"/>
              <w:rPr>
                <w:rFonts w:ascii="Times New Roman" w:eastAsia="Times New Roman" w:hAnsi="Times New Roman"/>
                <w:sz w:val="14"/>
                <w:szCs w:val="14"/>
                <w:lang w:val="en-GB" w:eastAsia="en-GB"/>
              </w:rPr>
            </w:pPr>
            <w:r w:rsidRPr="00667DE0">
              <w:rPr>
                <w:rFonts w:ascii="Times New Roman" w:eastAsia="Times New Roman" w:hAnsi="Times New Roman"/>
                <w:sz w:val="14"/>
                <w:szCs w:val="14"/>
                <w:lang w:val="en-GB" w:eastAsia="en-GB"/>
              </w:rPr>
              <w:t>Unless otherwise stated, Channel Bandwidth shall be prioritized in the selecting of test points. Subcarrier spacing shall be selected after Test Channel Bandwidth is selected.</w:t>
            </w:r>
          </w:p>
          <w:p w14:paraId="02620082" w14:textId="77777777" w:rsidR="00667DE0" w:rsidRPr="00667DE0" w:rsidRDefault="00667DE0" w:rsidP="00667DE0">
            <w:pPr>
              <w:overflowPunct w:val="0"/>
              <w:autoSpaceDE w:val="0"/>
              <w:autoSpaceDN w:val="0"/>
              <w:adjustRightInd w:val="0"/>
              <w:spacing w:after="180" w:line="240" w:lineRule="auto"/>
              <w:textAlignment w:val="baseline"/>
              <w:rPr>
                <w:rFonts w:ascii="Times New Roman" w:eastAsia="Times New Roman" w:hAnsi="Times New Roman"/>
                <w:sz w:val="14"/>
                <w:szCs w:val="14"/>
                <w:lang w:val="en-GB" w:eastAsia="en-GB"/>
              </w:rPr>
            </w:pPr>
            <w:r w:rsidRPr="00667DE0">
              <w:rPr>
                <w:rFonts w:ascii="Times New Roman" w:eastAsia="Times New Roman" w:hAnsi="Times New Roman"/>
                <w:sz w:val="14"/>
                <w:szCs w:val="14"/>
                <w:lang w:val="en-GB" w:eastAsia="en-GB"/>
              </w:rPr>
              <w:t>Uplink RB allocations given in Table 6.1-1 are used throughout this section, unless otherwise stated by the test case.</w:t>
            </w:r>
          </w:p>
          <w:p w14:paraId="3C91697E" w14:textId="6A90DB0F" w:rsidR="00A13D63" w:rsidRPr="00667DE0" w:rsidRDefault="00667DE0" w:rsidP="00667DE0">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bookmarkStart w:id="13" w:name="_Hlk11431326"/>
            <w:r w:rsidRPr="00667DE0">
              <w:rPr>
                <w:rFonts w:ascii="Times New Roman" w:eastAsia="Times New Roman" w:hAnsi="Times New Roman"/>
                <w:sz w:val="14"/>
                <w:szCs w:val="14"/>
                <w:highlight w:val="yellow"/>
                <w:lang w:val="en-GB" w:eastAsia="zh-CN"/>
              </w:rPr>
              <w:t>The UE under test shall be pre-configured with UL Tx diversity schemes disabled to account for single polarization System Simulator (SS) in the test environment. The UE under test may transmit with dual polarization.</w:t>
            </w:r>
            <w:bookmarkEnd w:id="13"/>
          </w:p>
        </w:tc>
      </w:tr>
    </w:tbl>
    <w:p w14:paraId="2F2C5D07" w14:textId="77777777" w:rsidR="001C76CC" w:rsidRDefault="00A45281" w:rsidP="00E533D5">
      <w:pPr>
        <w:ind w:left="48"/>
        <w:rPr>
          <w:rFonts w:eastAsia="Batang"/>
        </w:rPr>
      </w:pPr>
      <w:r>
        <w:rPr>
          <w:rFonts w:eastAsia="Batang"/>
        </w:rPr>
        <w:t xml:space="preserve"> </w:t>
      </w:r>
    </w:p>
    <w:p w14:paraId="69C73CAE" w14:textId="1080F4FD" w:rsidR="00277F93" w:rsidRDefault="00757797" w:rsidP="009F6C4F">
      <w:pPr>
        <w:ind w:left="48"/>
        <w:rPr>
          <w:rFonts w:eastAsia="Batang"/>
        </w:rPr>
      </w:pPr>
      <w:r>
        <w:rPr>
          <w:rFonts w:eastAsia="Batang"/>
        </w:rPr>
        <w:t xml:space="preserve">The main </w:t>
      </w:r>
      <w:r w:rsidR="004C6859">
        <w:rPr>
          <w:rFonts w:eastAsia="Batang"/>
        </w:rPr>
        <w:t xml:space="preserve">reasons to extend initial conditions to ETC </w:t>
      </w:r>
      <w:r>
        <w:rPr>
          <w:rFonts w:eastAsia="Batang"/>
        </w:rPr>
        <w:t xml:space="preserve">for most </w:t>
      </w:r>
      <w:r w:rsidR="004C6859">
        <w:rPr>
          <w:rFonts w:eastAsia="Batang"/>
        </w:rPr>
        <w:t>UL MIMO test cases are:</w:t>
      </w:r>
    </w:p>
    <w:p w14:paraId="2B3EBFE7" w14:textId="362A5963" w:rsidR="004C6859" w:rsidRPr="00CB7728" w:rsidRDefault="004C6859" w:rsidP="00CB7728">
      <w:pPr>
        <w:pStyle w:val="ListParagraph"/>
        <w:numPr>
          <w:ilvl w:val="0"/>
          <w:numId w:val="44"/>
        </w:numPr>
        <w:rPr>
          <w:rFonts w:eastAsia="Batang"/>
        </w:rPr>
      </w:pPr>
      <w:r w:rsidRPr="00CB7728">
        <w:rPr>
          <w:rFonts w:eastAsia="Batang"/>
        </w:rPr>
        <w:t xml:space="preserve">Temperature might impact </w:t>
      </w:r>
      <w:r w:rsidR="00CB7728" w:rsidRPr="00CB7728">
        <w:rPr>
          <w:rFonts w:eastAsia="Batang"/>
        </w:rPr>
        <w:t xml:space="preserve">both UE </w:t>
      </w:r>
      <w:r w:rsidR="00A406B2">
        <w:rPr>
          <w:rFonts w:eastAsia="Batang"/>
        </w:rPr>
        <w:t>Tx</w:t>
      </w:r>
      <w:r w:rsidR="00CB7728" w:rsidRPr="00CB7728">
        <w:rPr>
          <w:rFonts w:eastAsia="Batang"/>
        </w:rPr>
        <w:t xml:space="preserve"> chains</w:t>
      </w:r>
      <w:r w:rsidR="00757797" w:rsidRPr="00757797">
        <w:rPr>
          <w:rFonts w:eastAsia="Batang"/>
        </w:rPr>
        <w:t xml:space="preserve"> </w:t>
      </w:r>
      <w:r w:rsidR="00757797" w:rsidRPr="00CB7728">
        <w:rPr>
          <w:rFonts w:eastAsia="Batang"/>
        </w:rPr>
        <w:t>differently</w:t>
      </w:r>
    </w:p>
    <w:p w14:paraId="6D6B41A9" w14:textId="21C0E9F4" w:rsidR="00CB7728" w:rsidRDefault="00CB7728" w:rsidP="00CB7728">
      <w:pPr>
        <w:pStyle w:val="ListParagraph"/>
        <w:numPr>
          <w:ilvl w:val="0"/>
          <w:numId w:val="44"/>
        </w:numPr>
        <w:rPr>
          <w:rFonts w:eastAsia="Batang"/>
        </w:rPr>
      </w:pPr>
      <w:r w:rsidRPr="00CB7728">
        <w:rPr>
          <w:rFonts w:eastAsia="Batang"/>
        </w:rPr>
        <w:t>Temperature could impact the cross coupling between both UE antennas</w:t>
      </w:r>
    </w:p>
    <w:p w14:paraId="00DC0047" w14:textId="197BCBB4" w:rsidR="00A406B2" w:rsidRPr="00CB7728" w:rsidRDefault="00DF47C9" w:rsidP="00CB7728">
      <w:pPr>
        <w:pStyle w:val="ListParagraph"/>
        <w:numPr>
          <w:ilvl w:val="0"/>
          <w:numId w:val="44"/>
        </w:numPr>
        <w:rPr>
          <w:rFonts w:eastAsia="Batang"/>
        </w:rPr>
      </w:pPr>
      <w:r>
        <w:rPr>
          <w:rFonts w:eastAsia="Batang"/>
        </w:rPr>
        <w:t>Temperature impact could be higher when UE power amplifiers are at full power</w:t>
      </w:r>
    </w:p>
    <w:p w14:paraId="3F1EE42D" w14:textId="04DC9724" w:rsidR="00CB7728" w:rsidRPr="00B34974" w:rsidRDefault="00AB0DEC" w:rsidP="00AB0DEC">
      <w:pPr>
        <w:ind w:left="48"/>
        <w:rPr>
          <w:rFonts w:eastAsia="Batang"/>
          <w:b/>
          <w:bCs/>
        </w:rPr>
      </w:pPr>
      <w:r w:rsidRPr="00B34974">
        <w:rPr>
          <w:rFonts w:eastAsia="Batang"/>
          <w:b/>
          <w:bCs/>
        </w:rPr>
        <w:t xml:space="preserve">Proposal 1: Extend initial conditions to FR2 ETC for the </w:t>
      </w:r>
      <w:r w:rsidR="000B65C4" w:rsidRPr="00B34974">
        <w:rPr>
          <w:rFonts w:eastAsia="Batang"/>
          <w:b/>
          <w:bCs/>
        </w:rPr>
        <w:t>UL</w:t>
      </w:r>
      <w:r w:rsidR="00B34974" w:rsidRPr="00B34974">
        <w:rPr>
          <w:rFonts w:eastAsia="Batang"/>
          <w:b/>
          <w:bCs/>
        </w:rPr>
        <w:t xml:space="preserve"> </w:t>
      </w:r>
      <w:r w:rsidR="000B65C4" w:rsidRPr="00B34974">
        <w:rPr>
          <w:rFonts w:eastAsia="Batang"/>
          <w:b/>
          <w:bCs/>
        </w:rPr>
        <w:t>MIMO test cases</w:t>
      </w:r>
      <w:r w:rsidR="00B34974" w:rsidRPr="00B34974">
        <w:rPr>
          <w:rFonts w:eastAsia="Batang"/>
          <w:b/>
          <w:bCs/>
        </w:rPr>
        <w:t xml:space="preserve"> in Table 1</w:t>
      </w:r>
      <w:r w:rsidR="000B65C4" w:rsidRPr="00B34974">
        <w:rPr>
          <w:rFonts w:eastAsia="Batang"/>
          <w:b/>
          <w:bCs/>
        </w:rPr>
        <w:t>:</w:t>
      </w:r>
    </w:p>
    <w:tbl>
      <w:tblPr>
        <w:tblStyle w:val="TableGrid"/>
        <w:tblW w:w="0" w:type="auto"/>
        <w:jc w:val="center"/>
        <w:tblLook w:val="04A0" w:firstRow="1" w:lastRow="0" w:firstColumn="1" w:lastColumn="0" w:noHBand="0" w:noVBand="1"/>
      </w:tblPr>
      <w:tblGrid>
        <w:gridCol w:w="1387"/>
        <w:gridCol w:w="5808"/>
      </w:tblGrid>
      <w:tr w:rsidR="00B34974" w14:paraId="7EA5E166" w14:textId="77777777" w:rsidTr="00F3250D">
        <w:trPr>
          <w:jc w:val="center"/>
        </w:trPr>
        <w:tc>
          <w:tcPr>
            <w:tcW w:w="1387" w:type="dxa"/>
            <w:shd w:val="clear" w:color="auto" w:fill="BFBFBF" w:themeFill="background1" w:themeFillShade="BF"/>
          </w:tcPr>
          <w:p w14:paraId="1FB04EAF" w14:textId="044964F5" w:rsidR="00B34974" w:rsidRPr="00B34974" w:rsidRDefault="00B34974" w:rsidP="00AB0DEC">
            <w:pPr>
              <w:rPr>
                <w:rFonts w:eastAsia="Batang"/>
                <w:b/>
                <w:bCs/>
              </w:rPr>
            </w:pPr>
            <w:r w:rsidRPr="00B34974">
              <w:rPr>
                <w:rFonts w:eastAsia="Batang"/>
                <w:b/>
                <w:bCs/>
              </w:rPr>
              <w:t>Test Case ID</w:t>
            </w:r>
          </w:p>
        </w:tc>
        <w:tc>
          <w:tcPr>
            <w:tcW w:w="5808" w:type="dxa"/>
            <w:shd w:val="clear" w:color="auto" w:fill="BFBFBF" w:themeFill="background1" w:themeFillShade="BF"/>
          </w:tcPr>
          <w:p w14:paraId="49C7521C" w14:textId="6380E950" w:rsidR="00B34974" w:rsidRPr="00B34974" w:rsidRDefault="00B34974" w:rsidP="00AB0DEC">
            <w:pPr>
              <w:rPr>
                <w:rFonts w:eastAsia="Batang"/>
                <w:b/>
                <w:bCs/>
              </w:rPr>
            </w:pPr>
            <w:r w:rsidRPr="00B34974">
              <w:rPr>
                <w:rFonts w:eastAsia="Batang"/>
                <w:b/>
                <w:bCs/>
              </w:rPr>
              <w:t>Test case Title</w:t>
            </w:r>
          </w:p>
        </w:tc>
      </w:tr>
      <w:tr w:rsidR="00B34974" w14:paraId="5C6B2038" w14:textId="77777777" w:rsidTr="00F3250D">
        <w:trPr>
          <w:jc w:val="center"/>
        </w:trPr>
        <w:tc>
          <w:tcPr>
            <w:tcW w:w="1387" w:type="dxa"/>
          </w:tcPr>
          <w:p w14:paraId="3CC4EF1B" w14:textId="6297070C" w:rsidR="00B34974" w:rsidRDefault="00B34974" w:rsidP="00AB0DEC">
            <w:pPr>
              <w:rPr>
                <w:rFonts w:eastAsia="Batang"/>
              </w:rPr>
            </w:pPr>
            <w:r>
              <w:rPr>
                <w:rFonts w:eastAsia="Batang"/>
              </w:rPr>
              <w:t>6.2D.1</w:t>
            </w:r>
            <w:r w:rsidR="00F3250D">
              <w:rPr>
                <w:rFonts w:eastAsia="Batang"/>
              </w:rPr>
              <w:t>.1</w:t>
            </w:r>
          </w:p>
        </w:tc>
        <w:tc>
          <w:tcPr>
            <w:tcW w:w="5808" w:type="dxa"/>
          </w:tcPr>
          <w:p w14:paraId="6A15ABC2" w14:textId="7F1C3F44" w:rsidR="00B34974" w:rsidRDefault="00B34974" w:rsidP="00AB0DEC">
            <w:pPr>
              <w:rPr>
                <w:rFonts w:eastAsia="Batang"/>
              </w:rPr>
            </w:pPr>
            <w:r>
              <w:rPr>
                <w:rFonts w:eastAsia="Batang"/>
              </w:rPr>
              <w:t xml:space="preserve">UE maximum output power </w:t>
            </w:r>
            <w:r w:rsidR="00F3250D">
              <w:rPr>
                <w:rFonts w:eastAsia="Batang"/>
              </w:rPr>
              <w:t xml:space="preserve">– EIRP and TRP for </w:t>
            </w:r>
            <w:r>
              <w:rPr>
                <w:rFonts w:eastAsia="Batang"/>
              </w:rPr>
              <w:t>UL</w:t>
            </w:r>
            <w:r w:rsidR="00F3250D">
              <w:rPr>
                <w:rFonts w:eastAsia="Batang"/>
              </w:rPr>
              <w:t xml:space="preserve"> </w:t>
            </w:r>
            <w:r>
              <w:rPr>
                <w:rFonts w:eastAsia="Batang"/>
              </w:rPr>
              <w:t>MIMO</w:t>
            </w:r>
          </w:p>
        </w:tc>
      </w:tr>
      <w:tr w:rsidR="00B34974" w14:paraId="7D0A24C0" w14:textId="77777777" w:rsidTr="00F3250D">
        <w:trPr>
          <w:jc w:val="center"/>
        </w:trPr>
        <w:tc>
          <w:tcPr>
            <w:tcW w:w="1387" w:type="dxa"/>
          </w:tcPr>
          <w:p w14:paraId="14BFF005" w14:textId="03848CCF" w:rsidR="00B34974" w:rsidRDefault="00B34974" w:rsidP="00AB0DEC">
            <w:pPr>
              <w:rPr>
                <w:rFonts w:eastAsia="Batang"/>
              </w:rPr>
            </w:pPr>
            <w:r>
              <w:rPr>
                <w:rFonts w:eastAsia="Batang"/>
              </w:rPr>
              <w:t>6.3D.3.1</w:t>
            </w:r>
          </w:p>
        </w:tc>
        <w:tc>
          <w:tcPr>
            <w:tcW w:w="5808" w:type="dxa"/>
          </w:tcPr>
          <w:p w14:paraId="2267A3F8" w14:textId="490C1C84" w:rsidR="00B34974" w:rsidRDefault="00F3250D" w:rsidP="00AB0DEC">
            <w:pPr>
              <w:rPr>
                <w:rFonts w:eastAsia="Batang"/>
              </w:rPr>
            </w:pPr>
            <w:r>
              <w:rPr>
                <w:rFonts w:eastAsia="Batang"/>
              </w:rPr>
              <w:t>General</w:t>
            </w:r>
            <w:r w:rsidR="00B34974">
              <w:rPr>
                <w:rFonts w:eastAsia="Batang"/>
              </w:rPr>
              <w:t xml:space="preserve"> ON/OFF time mask for UL</w:t>
            </w:r>
            <w:r w:rsidR="00146F0D">
              <w:rPr>
                <w:rFonts w:eastAsia="Batang"/>
              </w:rPr>
              <w:t xml:space="preserve"> </w:t>
            </w:r>
            <w:r w:rsidR="00B34974">
              <w:rPr>
                <w:rFonts w:eastAsia="Batang"/>
              </w:rPr>
              <w:t>MIMO</w:t>
            </w:r>
          </w:p>
        </w:tc>
      </w:tr>
      <w:tr w:rsidR="00B34974" w14:paraId="3C311DFE" w14:textId="77777777" w:rsidTr="00F3250D">
        <w:trPr>
          <w:jc w:val="center"/>
        </w:trPr>
        <w:tc>
          <w:tcPr>
            <w:tcW w:w="1387" w:type="dxa"/>
          </w:tcPr>
          <w:p w14:paraId="0930DAC8" w14:textId="490E5E72" w:rsidR="00B34974" w:rsidRDefault="00B34974" w:rsidP="00AB0DEC">
            <w:pPr>
              <w:rPr>
                <w:rFonts w:eastAsia="Batang"/>
              </w:rPr>
            </w:pPr>
            <w:r>
              <w:rPr>
                <w:rFonts w:eastAsia="Batang"/>
              </w:rPr>
              <w:t>6.4D.1</w:t>
            </w:r>
            <w:r>
              <w:rPr>
                <w:rFonts w:eastAsia="Batang"/>
              </w:rPr>
              <w:tab/>
            </w:r>
          </w:p>
        </w:tc>
        <w:tc>
          <w:tcPr>
            <w:tcW w:w="5808" w:type="dxa"/>
          </w:tcPr>
          <w:p w14:paraId="3245D60A" w14:textId="79B40AC3" w:rsidR="00B34974" w:rsidRDefault="00B34974" w:rsidP="00AB0DEC">
            <w:pPr>
              <w:rPr>
                <w:rFonts w:eastAsia="Batang"/>
              </w:rPr>
            </w:pPr>
            <w:r>
              <w:rPr>
                <w:rFonts w:eastAsia="Batang"/>
              </w:rPr>
              <w:t xml:space="preserve">Frequency error for UL MIMO </w:t>
            </w:r>
          </w:p>
        </w:tc>
      </w:tr>
      <w:tr w:rsidR="00B34974" w14:paraId="01237A9C" w14:textId="77777777" w:rsidTr="00F3250D">
        <w:trPr>
          <w:jc w:val="center"/>
        </w:trPr>
        <w:tc>
          <w:tcPr>
            <w:tcW w:w="1387" w:type="dxa"/>
          </w:tcPr>
          <w:p w14:paraId="43586361" w14:textId="7C609B49" w:rsidR="00B34974" w:rsidRDefault="00B34974" w:rsidP="00AB0DEC">
            <w:pPr>
              <w:rPr>
                <w:rFonts w:eastAsia="Batang"/>
              </w:rPr>
            </w:pPr>
            <w:r>
              <w:rPr>
                <w:rFonts w:eastAsia="Batang"/>
              </w:rPr>
              <w:t>6.5D.2.2</w:t>
            </w:r>
          </w:p>
        </w:tc>
        <w:tc>
          <w:tcPr>
            <w:tcW w:w="5808" w:type="dxa"/>
          </w:tcPr>
          <w:p w14:paraId="30E94C5E" w14:textId="33A8A2F1" w:rsidR="00B34974" w:rsidRDefault="00B34974" w:rsidP="00AB0DEC">
            <w:pPr>
              <w:rPr>
                <w:rFonts w:eastAsia="Batang"/>
              </w:rPr>
            </w:pPr>
            <w:r>
              <w:rPr>
                <w:rFonts w:eastAsia="Batang"/>
              </w:rPr>
              <w:t>Adjacent channel leakage ratio for UL MIMO</w:t>
            </w:r>
          </w:p>
        </w:tc>
      </w:tr>
    </w:tbl>
    <w:p w14:paraId="0E5866EC" w14:textId="64B8CCF6" w:rsidR="00B34974" w:rsidRPr="00B34974" w:rsidRDefault="00B34974" w:rsidP="00B34974">
      <w:pPr>
        <w:ind w:left="48"/>
        <w:jc w:val="center"/>
        <w:rPr>
          <w:rFonts w:eastAsia="Batang"/>
          <w:b/>
          <w:bCs/>
          <w:sz w:val="20"/>
          <w:szCs w:val="20"/>
        </w:rPr>
      </w:pPr>
      <w:r w:rsidRPr="00B34974">
        <w:rPr>
          <w:rFonts w:eastAsia="Batang"/>
          <w:b/>
          <w:bCs/>
          <w:sz w:val="20"/>
          <w:szCs w:val="20"/>
        </w:rPr>
        <w:t>Table 1: FR2 UL MIMO test cases to be extended to ETC</w:t>
      </w:r>
    </w:p>
    <w:p w14:paraId="1D61BD99" w14:textId="68E2102C" w:rsidR="00210773" w:rsidRDefault="00F63D38" w:rsidP="00C90FE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60657E">
        <w:rPr>
          <w:b/>
          <w:noProof w:val="0"/>
          <w:lang w:eastAsia="ja-JP"/>
        </w:rPr>
        <w:t>.</w:t>
      </w:r>
      <w:r w:rsidR="00FF17BE">
        <w:rPr>
          <w:b/>
          <w:noProof w:val="0"/>
          <w:lang w:eastAsia="ja-JP"/>
        </w:rPr>
        <w:tab/>
      </w:r>
      <w:r w:rsidR="00210773">
        <w:rPr>
          <w:b/>
          <w:noProof w:val="0"/>
          <w:lang w:eastAsia="ja-JP"/>
        </w:rPr>
        <w:t>Conclusion</w:t>
      </w:r>
    </w:p>
    <w:p w14:paraId="17C7E15E" w14:textId="3B600622" w:rsidR="00976496" w:rsidRDefault="00F122F1" w:rsidP="0022666E">
      <w:pPr>
        <w:ind w:left="48"/>
        <w:rPr>
          <w:rFonts w:eastAsia="Batang"/>
        </w:rPr>
      </w:pPr>
      <w:r>
        <w:rPr>
          <w:rFonts w:eastAsia="Batang"/>
        </w:rPr>
        <w:t xml:space="preserve">This document </w:t>
      </w:r>
      <w:r w:rsidR="00BB22D2">
        <w:rPr>
          <w:rFonts w:eastAsia="Batang"/>
        </w:rPr>
        <w:t xml:space="preserve">proposes a way forward on </w:t>
      </w:r>
      <w:r>
        <w:rPr>
          <w:rFonts w:eastAsia="Batang"/>
        </w:rPr>
        <w:t xml:space="preserve">FR2 </w:t>
      </w:r>
      <w:r w:rsidR="00BB22D2">
        <w:rPr>
          <w:rFonts w:eastAsia="Batang"/>
        </w:rPr>
        <w:t>ETC applicability for UL MIMO test cases and make</w:t>
      </w:r>
      <w:r w:rsidR="00976496">
        <w:rPr>
          <w:rFonts w:eastAsia="Batang"/>
        </w:rPr>
        <w:t>s</w:t>
      </w:r>
      <w:r w:rsidR="00BB22D2">
        <w:rPr>
          <w:rFonts w:eastAsia="Batang"/>
        </w:rPr>
        <w:t xml:space="preserve"> the following proposal:</w:t>
      </w:r>
    </w:p>
    <w:p w14:paraId="14CC03BC" w14:textId="77777777" w:rsidR="00976496" w:rsidRDefault="00976496" w:rsidP="0022666E">
      <w:pPr>
        <w:ind w:left="48"/>
        <w:rPr>
          <w:rFonts w:eastAsia="Batang"/>
        </w:rPr>
      </w:pPr>
    </w:p>
    <w:p w14:paraId="63FCBA81" w14:textId="64164ED7" w:rsidR="00976496" w:rsidRDefault="00976496" w:rsidP="00976496">
      <w:pPr>
        <w:ind w:left="48"/>
        <w:rPr>
          <w:rFonts w:eastAsia="Batang"/>
          <w:b/>
          <w:bCs/>
        </w:rPr>
      </w:pPr>
      <w:r w:rsidRPr="00B34974">
        <w:rPr>
          <w:rFonts w:eastAsia="Batang"/>
          <w:b/>
          <w:bCs/>
        </w:rPr>
        <w:t>Proposal 1: Extend initial conditions to FR2 ETC for the UL MIMO test cases in Table 1:</w:t>
      </w:r>
    </w:p>
    <w:p w14:paraId="46DB6911" w14:textId="6A5A9EA5" w:rsidR="00146F0D" w:rsidRDefault="00146F0D" w:rsidP="00976496">
      <w:pPr>
        <w:ind w:left="48"/>
        <w:rPr>
          <w:rFonts w:eastAsia="Batang"/>
          <w:b/>
          <w:bCs/>
        </w:rPr>
      </w:pPr>
    </w:p>
    <w:tbl>
      <w:tblPr>
        <w:tblStyle w:val="TableGrid"/>
        <w:tblW w:w="0" w:type="auto"/>
        <w:jc w:val="center"/>
        <w:tblLook w:val="04A0" w:firstRow="1" w:lastRow="0" w:firstColumn="1" w:lastColumn="0" w:noHBand="0" w:noVBand="1"/>
      </w:tblPr>
      <w:tblGrid>
        <w:gridCol w:w="1387"/>
        <w:gridCol w:w="5808"/>
      </w:tblGrid>
      <w:tr w:rsidR="00146F0D" w14:paraId="6D4AD3A3" w14:textId="77777777" w:rsidTr="002A5CC7">
        <w:trPr>
          <w:jc w:val="center"/>
        </w:trPr>
        <w:tc>
          <w:tcPr>
            <w:tcW w:w="1387" w:type="dxa"/>
            <w:shd w:val="clear" w:color="auto" w:fill="BFBFBF" w:themeFill="background1" w:themeFillShade="BF"/>
          </w:tcPr>
          <w:p w14:paraId="579A065E" w14:textId="77777777" w:rsidR="00146F0D" w:rsidRPr="00B34974" w:rsidRDefault="00146F0D" w:rsidP="002A5CC7">
            <w:pPr>
              <w:rPr>
                <w:rFonts w:eastAsia="Batang"/>
                <w:b/>
                <w:bCs/>
              </w:rPr>
            </w:pPr>
            <w:r w:rsidRPr="00B34974">
              <w:rPr>
                <w:rFonts w:eastAsia="Batang"/>
                <w:b/>
                <w:bCs/>
              </w:rPr>
              <w:lastRenderedPageBreak/>
              <w:t>Test Case ID</w:t>
            </w:r>
          </w:p>
        </w:tc>
        <w:tc>
          <w:tcPr>
            <w:tcW w:w="5808" w:type="dxa"/>
            <w:shd w:val="clear" w:color="auto" w:fill="BFBFBF" w:themeFill="background1" w:themeFillShade="BF"/>
          </w:tcPr>
          <w:p w14:paraId="4AF327CD" w14:textId="77777777" w:rsidR="00146F0D" w:rsidRPr="00B34974" w:rsidRDefault="00146F0D" w:rsidP="002A5CC7">
            <w:pPr>
              <w:rPr>
                <w:rFonts w:eastAsia="Batang"/>
                <w:b/>
                <w:bCs/>
              </w:rPr>
            </w:pPr>
            <w:r w:rsidRPr="00B34974">
              <w:rPr>
                <w:rFonts w:eastAsia="Batang"/>
                <w:b/>
                <w:bCs/>
              </w:rPr>
              <w:t>Test case Title</w:t>
            </w:r>
          </w:p>
        </w:tc>
      </w:tr>
      <w:tr w:rsidR="00146F0D" w14:paraId="7C4ECA95" w14:textId="77777777" w:rsidTr="002A5CC7">
        <w:trPr>
          <w:jc w:val="center"/>
        </w:trPr>
        <w:tc>
          <w:tcPr>
            <w:tcW w:w="1387" w:type="dxa"/>
          </w:tcPr>
          <w:p w14:paraId="6AA61131" w14:textId="77777777" w:rsidR="00146F0D" w:rsidRDefault="00146F0D" w:rsidP="002A5CC7">
            <w:pPr>
              <w:rPr>
                <w:rFonts w:eastAsia="Batang"/>
              </w:rPr>
            </w:pPr>
            <w:r>
              <w:rPr>
                <w:rFonts w:eastAsia="Batang"/>
              </w:rPr>
              <w:t>6.2D.1.1</w:t>
            </w:r>
          </w:p>
        </w:tc>
        <w:tc>
          <w:tcPr>
            <w:tcW w:w="5808" w:type="dxa"/>
          </w:tcPr>
          <w:p w14:paraId="7FEE841A" w14:textId="77777777" w:rsidR="00146F0D" w:rsidRDefault="00146F0D" w:rsidP="002A5CC7">
            <w:pPr>
              <w:rPr>
                <w:rFonts w:eastAsia="Batang"/>
              </w:rPr>
            </w:pPr>
            <w:r>
              <w:rPr>
                <w:rFonts w:eastAsia="Batang"/>
              </w:rPr>
              <w:t>UE maximum output power – EIRP and TRP for UL MIMO</w:t>
            </w:r>
          </w:p>
        </w:tc>
      </w:tr>
      <w:tr w:rsidR="00146F0D" w14:paraId="4F37E6D0" w14:textId="77777777" w:rsidTr="002A5CC7">
        <w:trPr>
          <w:jc w:val="center"/>
        </w:trPr>
        <w:tc>
          <w:tcPr>
            <w:tcW w:w="1387" w:type="dxa"/>
          </w:tcPr>
          <w:p w14:paraId="75BEC11E" w14:textId="77777777" w:rsidR="00146F0D" w:rsidRDefault="00146F0D" w:rsidP="002A5CC7">
            <w:pPr>
              <w:rPr>
                <w:rFonts w:eastAsia="Batang"/>
              </w:rPr>
            </w:pPr>
            <w:r>
              <w:rPr>
                <w:rFonts w:eastAsia="Batang"/>
              </w:rPr>
              <w:t>6.3D.3.1</w:t>
            </w:r>
          </w:p>
        </w:tc>
        <w:tc>
          <w:tcPr>
            <w:tcW w:w="5808" w:type="dxa"/>
          </w:tcPr>
          <w:p w14:paraId="32039A01" w14:textId="77777777" w:rsidR="00146F0D" w:rsidRDefault="00146F0D" w:rsidP="002A5CC7">
            <w:pPr>
              <w:rPr>
                <w:rFonts w:eastAsia="Batang"/>
              </w:rPr>
            </w:pPr>
            <w:r>
              <w:rPr>
                <w:rFonts w:eastAsia="Batang"/>
              </w:rPr>
              <w:t>General ON/OFF time mask for UL MIMO</w:t>
            </w:r>
          </w:p>
        </w:tc>
      </w:tr>
      <w:tr w:rsidR="00146F0D" w14:paraId="3309F7CC" w14:textId="77777777" w:rsidTr="002A5CC7">
        <w:trPr>
          <w:jc w:val="center"/>
        </w:trPr>
        <w:tc>
          <w:tcPr>
            <w:tcW w:w="1387" w:type="dxa"/>
          </w:tcPr>
          <w:p w14:paraId="2E9E9A39" w14:textId="77777777" w:rsidR="00146F0D" w:rsidRDefault="00146F0D" w:rsidP="002A5CC7">
            <w:pPr>
              <w:rPr>
                <w:rFonts w:eastAsia="Batang"/>
              </w:rPr>
            </w:pPr>
            <w:r>
              <w:rPr>
                <w:rFonts w:eastAsia="Batang"/>
              </w:rPr>
              <w:t>6.4D.1</w:t>
            </w:r>
            <w:r>
              <w:rPr>
                <w:rFonts w:eastAsia="Batang"/>
              </w:rPr>
              <w:tab/>
            </w:r>
          </w:p>
        </w:tc>
        <w:tc>
          <w:tcPr>
            <w:tcW w:w="5808" w:type="dxa"/>
          </w:tcPr>
          <w:p w14:paraId="158F3C53" w14:textId="77777777" w:rsidR="00146F0D" w:rsidRDefault="00146F0D" w:rsidP="002A5CC7">
            <w:pPr>
              <w:rPr>
                <w:rFonts w:eastAsia="Batang"/>
              </w:rPr>
            </w:pPr>
            <w:r>
              <w:rPr>
                <w:rFonts w:eastAsia="Batang"/>
              </w:rPr>
              <w:t xml:space="preserve">Frequency error for UL MIMO </w:t>
            </w:r>
          </w:p>
        </w:tc>
      </w:tr>
      <w:tr w:rsidR="00146F0D" w14:paraId="0DC5D7D9" w14:textId="77777777" w:rsidTr="002A5CC7">
        <w:trPr>
          <w:jc w:val="center"/>
        </w:trPr>
        <w:tc>
          <w:tcPr>
            <w:tcW w:w="1387" w:type="dxa"/>
          </w:tcPr>
          <w:p w14:paraId="20741711" w14:textId="77777777" w:rsidR="00146F0D" w:rsidRDefault="00146F0D" w:rsidP="002A5CC7">
            <w:pPr>
              <w:rPr>
                <w:rFonts w:eastAsia="Batang"/>
              </w:rPr>
            </w:pPr>
            <w:r>
              <w:rPr>
                <w:rFonts w:eastAsia="Batang"/>
              </w:rPr>
              <w:t>6.5D.2.2</w:t>
            </w:r>
          </w:p>
        </w:tc>
        <w:tc>
          <w:tcPr>
            <w:tcW w:w="5808" w:type="dxa"/>
          </w:tcPr>
          <w:p w14:paraId="20A5A55E" w14:textId="77777777" w:rsidR="00146F0D" w:rsidRDefault="00146F0D" w:rsidP="002A5CC7">
            <w:pPr>
              <w:rPr>
                <w:rFonts w:eastAsia="Batang"/>
              </w:rPr>
            </w:pPr>
            <w:r>
              <w:rPr>
                <w:rFonts w:eastAsia="Batang"/>
              </w:rPr>
              <w:t>Adjacent channel leakage ratio for UL MIMO</w:t>
            </w:r>
          </w:p>
        </w:tc>
      </w:tr>
    </w:tbl>
    <w:p w14:paraId="5C617937" w14:textId="77777777" w:rsidR="00976496" w:rsidRPr="00B34974" w:rsidRDefault="00976496" w:rsidP="00976496">
      <w:pPr>
        <w:ind w:left="48"/>
        <w:jc w:val="center"/>
        <w:rPr>
          <w:rFonts w:eastAsia="Batang"/>
          <w:b/>
          <w:bCs/>
          <w:sz w:val="20"/>
          <w:szCs w:val="20"/>
        </w:rPr>
      </w:pPr>
      <w:r w:rsidRPr="00B34974">
        <w:rPr>
          <w:rFonts w:eastAsia="Batang"/>
          <w:b/>
          <w:bCs/>
          <w:sz w:val="20"/>
          <w:szCs w:val="20"/>
        </w:rPr>
        <w:t>Table 1: FR2 UL MIMO test cases to be extended to ETC</w:t>
      </w:r>
    </w:p>
    <w:p w14:paraId="2175FAD7" w14:textId="52BB6601" w:rsidR="007B7AE3" w:rsidRDefault="00F63D38"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Pr>
          <w:b/>
          <w:noProof w:val="0"/>
        </w:rPr>
        <w:t>.</w:t>
      </w:r>
      <w:r w:rsidR="007B7AE3">
        <w:rPr>
          <w:b/>
          <w:noProof w:val="0"/>
        </w:rPr>
        <w:tab/>
      </w:r>
      <w:r w:rsidR="007B7AE3">
        <w:rPr>
          <w:b/>
          <w:noProof w:val="0"/>
          <w:lang w:eastAsia="ja-JP"/>
        </w:rPr>
        <w:t>References</w:t>
      </w:r>
    </w:p>
    <w:p w14:paraId="17562BDA" w14:textId="5FDCFBDF" w:rsidR="0044240C" w:rsidRPr="00426F05" w:rsidRDefault="0044240C" w:rsidP="0044240C">
      <w:pPr>
        <w:rPr>
          <w:rFonts w:eastAsia="MS Mincho"/>
        </w:rPr>
      </w:pPr>
      <w:r w:rsidRPr="00426F05">
        <w:rPr>
          <w:rFonts w:eastAsia="MS Mincho"/>
        </w:rPr>
        <w:t>[1] R5-211276, “FR2 Extreme testing conditions applicability”, Keysight Technologies, RAN5#90-e</w:t>
      </w:r>
    </w:p>
    <w:p w14:paraId="7FEFF7B2" w14:textId="6A25E272" w:rsidR="0048405A" w:rsidRDefault="00F50E35" w:rsidP="00F50E35">
      <w:pPr>
        <w:rPr>
          <w:rFonts w:eastAsia="MS Mincho"/>
        </w:rPr>
      </w:pPr>
      <w:r>
        <w:rPr>
          <w:rFonts w:eastAsia="MS Mincho"/>
        </w:rPr>
        <w:t>[</w:t>
      </w:r>
      <w:r w:rsidR="0044240C">
        <w:rPr>
          <w:rFonts w:eastAsia="MS Mincho"/>
        </w:rPr>
        <w:t>2</w:t>
      </w:r>
      <w:r>
        <w:rPr>
          <w:rFonts w:eastAsia="MS Mincho"/>
        </w:rPr>
        <w:t>]</w:t>
      </w:r>
      <w:r w:rsidR="00A611DF">
        <w:rPr>
          <w:rFonts w:eastAsia="MS Mincho"/>
        </w:rPr>
        <w:t xml:space="preserve"> </w:t>
      </w:r>
      <w:r w:rsidR="0048405A">
        <w:rPr>
          <w:rFonts w:eastAsia="MS Mincho"/>
        </w:rPr>
        <w:t>R5-213811, “FR2 Extreme testing conditions applicability”, Keysight Technologies, RAN5#9</w:t>
      </w:r>
      <w:r w:rsidR="008E66EC">
        <w:rPr>
          <w:rFonts w:eastAsia="MS Mincho"/>
        </w:rPr>
        <w:t>1</w:t>
      </w:r>
      <w:r w:rsidR="0048405A">
        <w:rPr>
          <w:rFonts w:eastAsia="MS Mincho"/>
        </w:rPr>
        <w:t>-e</w:t>
      </w:r>
    </w:p>
    <w:p w14:paraId="2BB12552" w14:textId="671051E5" w:rsidR="00B37CFC" w:rsidRDefault="00362279" w:rsidP="00F50E35">
      <w:pPr>
        <w:rPr>
          <w:rFonts w:eastAsia="MS Mincho"/>
        </w:rPr>
      </w:pPr>
      <w:r>
        <w:rPr>
          <w:rFonts w:eastAsia="MS Mincho"/>
        </w:rPr>
        <w:t>[3] R5-215631, “38.521-2 CR FR2 ETC MU &amp; TT updates</w:t>
      </w:r>
      <w:r w:rsidR="00B37CFC">
        <w:rPr>
          <w:rFonts w:eastAsia="MS Mincho"/>
        </w:rPr>
        <w:t>”, Keysight Technologies, RAN5#92-e</w:t>
      </w:r>
    </w:p>
    <w:p w14:paraId="34BF03F9" w14:textId="53274C3D" w:rsidR="00A611DF" w:rsidRDefault="00B37CFC" w:rsidP="00F50E35">
      <w:pPr>
        <w:rPr>
          <w:rFonts w:eastAsia="MS Mincho"/>
        </w:rPr>
      </w:pPr>
      <w:r>
        <w:rPr>
          <w:rFonts w:eastAsia="MS Mincho"/>
        </w:rPr>
        <w:t xml:space="preserve">[4] </w:t>
      </w:r>
      <w:r w:rsidR="00A611DF">
        <w:rPr>
          <w:rFonts w:eastAsia="MS Mincho"/>
        </w:rPr>
        <w:t xml:space="preserve">38.521-2 v16.9.0 “User Equipment (UE) conformance specification; Radio transmission and reception; Part 2: Range 2 </w:t>
      </w:r>
      <w:r w:rsidR="00DC63D2">
        <w:rPr>
          <w:rFonts w:eastAsia="MS Mincho"/>
        </w:rPr>
        <w:t>Standalone</w:t>
      </w:r>
      <w:r w:rsidR="00A611DF">
        <w:rPr>
          <w:rFonts w:eastAsia="MS Mincho"/>
        </w:rPr>
        <w:t>”</w:t>
      </w:r>
    </w:p>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E6DD0"/>
    <w:multiLevelType w:val="hybridMultilevel"/>
    <w:tmpl w:val="30F0B752"/>
    <w:lvl w:ilvl="0" w:tplc="04090001">
      <w:start w:val="1"/>
      <w:numFmt w:val="bullet"/>
      <w:lvlText w:val=""/>
      <w:lvlJc w:val="left"/>
      <w:pPr>
        <w:ind w:left="408" w:hanging="360"/>
      </w:pPr>
      <w:rPr>
        <w:rFonts w:ascii="Symbol" w:hAnsi="Symbo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9"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0" w15:restartNumberingAfterBreak="0">
    <w:nsid w:val="3F107F06"/>
    <w:multiLevelType w:val="hybridMultilevel"/>
    <w:tmpl w:val="3E780DB0"/>
    <w:lvl w:ilvl="0" w:tplc="DB8AF98E">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2"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9"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3"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8"/>
  </w:num>
  <w:num w:numId="6">
    <w:abstractNumId w:val="1"/>
    <w:lvlOverride w:ilvl="0">
      <w:startOverride w:val="1"/>
    </w:lvlOverride>
  </w:num>
  <w:num w:numId="7">
    <w:abstractNumId w:val="3"/>
  </w:num>
  <w:num w:numId="8">
    <w:abstractNumId w:val="38"/>
  </w:num>
  <w:num w:numId="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30"/>
  </w:num>
  <w:num w:numId="14">
    <w:abstractNumId w:val="31"/>
  </w:num>
  <w:num w:numId="15">
    <w:abstractNumId w:val="32"/>
  </w:num>
  <w:num w:numId="16">
    <w:abstractNumId w:val="0"/>
  </w:num>
  <w:num w:numId="17">
    <w:abstractNumId w:val="35"/>
  </w:num>
  <w:num w:numId="18">
    <w:abstractNumId w:val="39"/>
  </w:num>
  <w:num w:numId="19">
    <w:abstractNumId w:val="18"/>
  </w:num>
  <w:num w:numId="20">
    <w:abstractNumId w:val="21"/>
  </w:num>
  <w:num w:numId="21">
    <w:abstractNumId w:val="15"/>
  </w:num>
  <w:num w:numId="22">
    <w:abstractNumId w:val="34"/>
  </w:num>
  <w:num w:numId="23">
    <w:abstractNumId w:val="40"/>
  </w:num>
  <w:num w:numId="24">
    <w:abstractNumId w:val="2"/>
  </w:num>
  <w:num w:numId="25">
    <w:abstractNumId w:val="2"/>
  </w:num>
  <w:num w:numId="26">
    <w:abstractNumId w:val="24"/>
  </w:num>
  <w:num w:numId="27">
    <w:abstractNumId w:val="6"/>
  </w:num>
  <w:num w:numId="28">
    <w:abstractNumId w:val="4"/>
  </w:num>
  <w:num w:numId="29">
    <w:abstractNumId w:val="7"/>
  </w:num>
  <w:num w:numId="30">
    <w:abstractNumId w:val="9"/>
  </w:num>
  <w:num w:numId="31">
    <w:abstractNumId w:val="14"/>
  </w:num>
  <w:num w:numId="32">
    <w:abstractNumId w:val="5"/>
  </w:num>
  <w:num w:numId="33">
    <w:abstractNumId w:val="11"/>
  </w:num>
  <w:num w:numId="34">
    <w:abstractNumId w:val="12"/>
  </w:num>
  <w:num w:numId="35">
    <w:abstractNumId w:val="13"/>
  </w:num>
  <w:num w:numId="36">
    <w:abstractNumId w:val="22"/>
  </w:num>
  <w:num w:numId="37">
    <w:abstractNumId w:val="41"/>
  </w:num>
  <w:num w:numId="38">
    <w:abstractNumId w:val="16"/>
  </w:num>
  <w:num w:numId="39">
    <w:abstractNumId w:val="29"/>
  </w:num>
  <w:num w:numId="40">
    <w:abstractNumId w:val="27"/>
  </w:num>
  <w:num w:numId="41">
    <w:abstractNumId w:val="23"/>
  </w:num>
  <w:num w:numId="42">
    <w:abstractNumId w:val="25"/>
  </w:num>
  <w:num w:numId="43">
    <w:abstractNumId w:val="20"/>
  </w:num>
  <w:num w:numId="4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5359"/>
    <w:rsid w:val="00026425"/>
    <w:rsid w:val="00027D05"/>
    <w:rsid w:val="00030DD5"/>
    <w:rsid w:val="00032E9A"/>
    <w:rsid w:val="00032FC4"/>
    <w:rsid w:val="00035D73"/>
    <w:rsid w:val="00037A7F"/>
    <w:rsid w:val="000426EA"/>
    <w:rsid w:val="00045CEE"/>
    <w:rsid w:val="00047DE7"/>
    <w:rsid w:val="00047F15"/>
    <w:rsid w:val="000537CC"/>
    <w:rsid w:val="00063BA2"/>
    <w:rsid w:val="00063BB5"/>
    <w:rsid w:val="0006475B"/>
    <w:rsid w:val="000651FB"/>
    <w:rsid w:val="00070BB5"/>
    <w:rsid w:val="00071D32"/>
    <w:rsid w:val="00076270"/>
    <w:rsid w:val="00086EE5"/>
    <w:rsid w:val="000875CD"/>
    <w:rsid w:val="00090668"/>
    <w:rsid w:val="00091307"/>
    <w:rsid w:val="000967DD"/>
    <w:rsid w:val="000A2374"/>
    <w:rsid w:val="000A2784"/>
    <w:rsid w:val="000A7F81"/>
    <w:rsid w:val="000B3C93"/>
    <w:rsid w:val="000B4CFF"/>
    <w:rsid w:val="000B65C4"/>
    <w:rsid w:val="000C4295"/>
    <w:rsid w:val="000C6C9B"/>
    <w:rsid w:val="000D0240"/>
    <w:rsid w:val="000D374A"/>
    <w:rsid w:val="000D797F"/>
    <w:rsid w:val="000E168D"/>
    <w:rsid w:val="000E4749"/>
    <w:rsid w:val="000F0466"/>
    <w:rsid w:val="000F05E0"/>
    <w:rsid w:val="000F089A"/>
    <w:rsid w:val="000F15F3"/>
    <w:rsid w:val="000F4C26"/>
    <w:rsid w:val="000F56D7"/>
    <w:rsid w:val="0010580D"/>
    <w:rsid w:val="00114B0D"/>
    <w:rsid w:val="00126709"/>
    <w:rsid w:val="00126ED1"/>
    <w:rsid w:val="001279DD"/>
    <w:rsid w:val="00130BD3"/>
    <w:rsid w:val="00137331"/>
    <w:rsid w:val="00143CF3"/>
    <w:rsid w:val="00144E86"/>
    <w:rsid w:val="00146758"/>
    <w:rsid w:val="00146F0D"/>
    <w:rsid w:val="00151C60"/>
    <w:rsid w:val="0015240D"/>
    <w:rsid w:val="0015652C"/>
    <w:rsid w:val="001607F9"/>
    <w:rsid w:val="00175196"/>
    <w:rsid w:val="0017750E"/>
    <w:rsid w:val="00181F10"/>
    <w:rsid w:val="00187383"/>
    <w:rsid w:val="00190ECC"/>
    <w:rsid w:val="00193022"/>
    <w:rsid w:val="001937E8"/>
    <w:rsid w:val="00193E6C"/>
    <w:rsid w:val="001A2940"/>
    <w:rsid w:val="001A2FE3"/>
    <w:rsid w:val="001A6F74"/>
    <w:rsid w:val="001B03BD"/>
    <w:rsid w:val="001B2B81"/>
    <w:rsid w:val="001B5374"/>
    <w:rsid w:val="001B7052"/>
    <w:rsid w:val="001C76CC"/>
    <w:rsid w:val="001D0441"/>
    <w:rsid w:val="001D06A2"/>
    <w:rsid w:val="001D40CF"/>
    <w:rsid w:val="001D4AF5"/>
    <w:rsid w:val="001E391D"/>
    <w:rsid w:val="001F5023"/>
    <w:rsid w:val="001F6F09"/>
    <w:rsid w:val="001F7C77"/>
    <w:rsid w:val="002013E2"/>
    <w:rsid w:val="002077AB"/>
    <w:rsid w:val="00210773"/>
    <w:rsid w:val="00213C8B"/>
    <w:rsid w:val="00220A58"/>
    <w:rsid w:val="00220AB3"/>
    <w:rsid w:val="0022114C"/>
    <w:rsid w:val="0022666E"/>
    <w:rsid w:val="00232408"/>
    <w:rsid w:val="00232944"/>
    <w:rsid w:val="00233028"/>
    <w:rsid w:val="00234D44"/>
    <w:rsid w:val="002368E2"/>
    <w:rsid w:val="002379EB"/>
    <w:rsid w:val="00253486"/>
    <w:rsid w:val="002569DC"/>
    <w:rsid w:val="0026036D"/>
    <w:rsid w:val="00270370"/>
    <w:rsid w:val="002740AD"/>
    <w:rsid w:val="0027603E"/>
    <w:rsid w:val="00276237"/>
    <w:rsid w:val="00277F93"/>
    <w:rsid w:val="00280870"/>
    <w:rsid w:val="00282D48"/>
    <w:rsid w:val="0028327C"/>
    <w:rsid w:val="00285EBB"/>
    <w:rsid w:val="00290F3B"/>
    <w:rsid w:val="00291610"/>
    <w:rsid w:val="002A0DF2"/>
    <w:rsid w:val="002A4A15"/>
    <w:rsid w:val="002A6CAD"/>
    <w:rsid w:val="002B4460"/>
    <w:rsid w:val="002B5E66"/>
    <w:rsid w:val="002B6A7F"/>
    <w:rsid w:val="002B6BBE"/>
    <w:rsid w:val="002C483D"/>
    <w:rsid w:val="002F338A"/>
    <w:rsid w:val="00303087"/>
    <w:rsid w:val="00303FEA"/>
    <w:rsid w:val="003075E8"/>
    <w:rsid w:val="00311CF9"/>
    <w:rsid w:val="00313CC1"/>
    <w:rsid w:val="00313F14"/>
    <w:rsid w:val="00315DE7"/>
    <w:rsid w:val="00321BA6"/>
    <w:rsid w:val="00324D6B"/>
    <w:rsid w:val="00325BD7"/>
    <w:rsid w:val="00330CFD"/>
    <w:rsid w:val="003320D6"/>
    <w:rsid w:val="00332849"/>
    <w:rsid w:val="00332E89"/>
    <w:rsid w:val="00335873"/>
    <w:rsid w:val="003377F4"/>
    <w:rsid w:val="00342C56"/>
    <w:rsid w:val="00344968"/>
    <w:rsid w:val="0035043F"/>
    <w:rsid w:val="00352667"/>
    <w:rsid w:val="00352B85"/>
    <w:rsid w:val="0035452A"/>
    <w:rsid w:val="00357208"/>
    <w:rsid w:val="00361635"/>
    <w:rsid w:val="00362061"/>
    <w:rsid w:val="00362279"/>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D2DBB"/>
    <w:rsid w:val="003D5746"/>
    <w:rsid w:val="003D63AB"/>
    <w:rsid w:val="003D7512"/>
    <w:rsid w:val="003E41A1"/>
    <w:rsid w:val="003E61EB"/>
    <w:rsid w:val="003F6D3D"/>
    <w:rsid w:val="00400BFF"/>
    <w:rsid w:val="004050DD"/>
    <w:rsid w:val="0040673D"/>
    <w:rsid w:val="00406978"/>
    <w:rsid w:val="00416A7C"/>
    <w:rsid w:val="0041763F"/>
    <w:rsid w:val="0042344C"/>
    <w:rsid w:val="00424024"/>
    <w:rsid w:val="00424C03"/>
    <w:rsid w:val="00431795"/>
    <w:rsid w:val="004350AB"/>
    <w:rsid w:val="0043623A"/>
    <w:rsid w:val="0044218C"/>
    <w:rsid w:val="0044240C"/>
    <w:rsid w:val="0044244F"/>
    <w:rsid w:val="00451B2C"/>
    <w:rsid w:val="00454E0D"/>
    <w:rsid w:val="00460137"/>
    <w:rsid w:val="00461C59"/>
    <w:rsid w:val="00462F25"/>
    <w:rsid w:val="00464264"/>
    <w:rsid w:val="00471CB9"/>
    <w:rsid w:val="00482D05"/>
    <w:rsid w:val="00483385"/>
    <w:rsid w:val="0048381C"/>
    <w:rsid w:val="0048405A"/>
    <w:rsid w:val="0048468F"/>
    <w:rsid w:val="00485573"/>
    <w:rsid w:val="00490AFF"/>
    <w:rsid w:val="00493641"/>
    <w:rsid w:val="00493FA2"/>
    <w:rsid w:val="00496CE1"/>
    <w:rsid w:val="004A7285"/>
    <w:rsid w:val="004B2311"/>
    <w:rsid w:val="004C1F18"/>
    <w:rsid w:val="004C24A8"/>
    <w:rsid w:val="004C3590"/>
    <w:rsid w:val="004C48FF"/>
    <w:rsid w:val="004C62D2"/>
    <w:rsid w:val="004C6859"/>
    <w:rsid w:val="004C7EE0"/>
    <w:rsid w:val="004D6232"/>
    <w:rsid w:val="004D7C70"/>
    <w:rsid w:val="004E42FB"/>
    <w:rsid w:val="004E52D3"/>
    <w:rsid w:val="004E6542"/>
    <w:rsid w:val="004E6703"/>
    <w:rsid w:val="004F0016"/>
    <w:rsid w:val="004F076A"/>
    <w:rsid w:val="004F2185"/>
    <w:rsid w:val="004F3DFB"/>
    <w:rsid w:val="004F4A40"/>
    <w:rsid w:val="004F5F9C"/>
    <w:rsid w:val="005010B5"/>
    <w:rsid w:val="00514625"/>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8DA"/>
    <w:rsid w:val="00564CA0"/>
    <w:rsid w:val="005669E0"/>
    <w:rsid w:val="00572D55"/>
    <w:rsid w:val="005737A7"/>
    <w:rsid w:val="00582140"/>
    <w:rsid w:val="005828DD"/>
    <w:rsid w:val="00583EAE"/>
    <w:rsid w:val="005A42C2"/>
    <w:rsid w:val="005A6791"/>
    <w:rsid w:val="005B116E"/>
    <w:rsid w:val="005B41B9"/>
    <w:rsid w:val="005B6423"/>
    <w:rsid w:val="005C08FB"/>
    <w:rsid w:val="005C220F"/>
    <w:rsid w:val="005D1BC7"/>
    <w:rsid w:val="005D2DF9"/>
    <w:rsid w:val="005D4128"/>
    <w:rsid w:val="005D6773"/>
    <w:rsid w:val="005E3986"/>
    <w:rsid w:val="005E71FD"/>
    <w:rsid w:val="005F21B2"/>
    <w:rsid w:val="005F77F9"/>
    <w:rsid w:val="00605E99"/>
    <w:rsid w:val="0060657E"/>
    <w:rsid w:val="0060689D"/>
    <w:rsid w:val="00611637"/>
    <w:rsid w:val="006119DE"/>
    <w:rsid w:val="0061649D"/>
    <w:rsid w:val="00622975"/>
    <w:rsid w:val="00626340"/>
    <w:rsid w:val="006324A0"/>
    <w:rsid w:val="00633B1E"/>
    <w:rsid w:val="00634A44"/>
    <w:rsid w:val="00646196"/>
    <w:rsid w:val="00650F6D"/>
    <w:rsid w:val="00654489"/>
    <w:rsid w:val="00657F0B"/>
    <w:rsid w:val="00665189"/>
    <w:rsid w:val="00666D29"/>
    <w:rsid w:val="00667DE0"/>
    <w:rsid w:val="00672BBC"/>
    <w:rsid w:val="00676505"/>
    <w:rsid w:val="00676A1F"/>
    <w:rsid w:val="00676FEF"/>
    <w:rsid w:val="006813BE"/>
    <w:rsid w:val="006820ED"/>
    <w:rsid w:val="006821B6"/>
    <w:rsid w:val="00692876"/>
    <w:rsid w:val="00692BEC"/>
    <w:rsid w:val="00693E08"/>
    <w:rsid w:val="00697453"/>
    <w:rsid w:val="00697E8F"/>
    <w:rsid w:val="006A0BFD"/>
    <w:rsid w:val="006A17A2"/>
    <w:rsid w:val="006A28EC"/>
    <w:rsid w:val="006A691C"/>
    <w:rsid w:val="006B03C6"/>
    <w:rsid w:val="006B161B"/>
    <w:rsid w:val="006B2A44"/>
    <w:rsid w:val="006B42B0"/>
    <w:rsid w:val="006B4761"/>
    <w:rsid w:val="006B6F58"/>
    <w:rsid w:val="006C2922"/>
    <w:rsid w:val="006D178C"/>
    <w:rsid w:val="006D1E97"/>
    <w:rsid w:val="006D650A"/>
    <w:rsid w:val="006E287E"/>
    <w:rsid w:val="006E5010"/>
    <w:rsid w:val="006F1439"/>
    <w:rsid w:val="006F2ABC"/>
    <w:rsid w:val="006F6EB7"/>
    <w:rsid w:val="00700736"/>
    <w:rsid w:val="007016B9"/>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616"/>
    <w:rsid w:val="0073376C"/>
    <w:rsid w:val="00745A19"/>
    <w:rsid w:val="00747544"/>
    <w:rsid w:val="0075478B"/>
    <w:rsid w:val="007548CB"/>
    <w:rsid w:val="00757797"/>
    <w:rsid w:val="00757AE5"/>
    <w:rsid w:val="00764519"/>
    <w:rsid w:val="0076570C"/>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64F5"/>
    <w:rsid w:val="007D09FA"/>
    <w:rsid w:val="007D0A15"/>
    <w:rsid w:val="007D19D4"/>
    <w:rsid w:val="007E4B7C"/>
    <w:rsid w:val="007E7F96"/>
    <w:rsid w:val="007F2A9F"/>
    <w:rsid w:val="00800852"/>
    <w:rsid w:val="00803BA1"/>
    <w:rsid w:val="00804A36"/>
    <w:rsid w:val="00807B68"/>
    <w:rsid w:val="00812B39"/>
    <w:rsid w:val="0081407C"/>
    <w:rsid w:val="00816D32"/>
    <w:rsid w:val="0082188D"/>
    <w:rsid w:val="008218DC"/>
    <w:rsid w:val="00822A82"/>
    <w:rsid w:val="00823118"/>
    <w:rsid w:val="00823549"/>
    <w:rsid w:val="00825584"/>
    <w:rsid w:val="00826CA3"/>
    <w:rsid w:val="008302D9"/>
    <w:rsid w:val="00830B2A"/>
    <w:rsid w:val="008345A2"/>
    <w:rsid w:val="008402A4"/>
    <w:rsid w:val="0084271D"/>
    <w:rsid w:val="00847209"/>
    <w:rsid w:val="00862431"/>
    <w:rsid w:val="00862B9B"/>
    <w:rsid w:val="00867BD6"/>
    <w:rsid w:val="008704AE"/>
    <w:rsid w:val="0087241C"/>
    <w:rsid w:val="008724CF"/>
    <w:rsid w:val="00875663"/>
    <w:rsid w:val="008758F1"/>
    <w:rsid w:val="00875E36"/>
    <w:rsid w:val="00887C23"/>
    <w:rsid w:val="00894419"/>
    <w:rsid w:val="0089591D"/>
    <w:rsid w:val="008B5EF0"/>
    <w:rsid w:val="008D517A"/>
    <w:rsid w:val="008E40ED"/>
    <w:rsid w:val="008E4AAB"/>
    <w:rsid w:val="008E66EC"/>
    <w:rsid w:val="00900F41"/>
    <w:rsid w:val="00901678"/>
    <w:rsid w:val="0090242D"/>
    <w:rsid w:val="00902C91"/>
    <w:rsid w:val="00906E93"/>
    <w:rsid w:val="009141D3"/>
    <w:rsid w:val="0091503B"/>
    <w:rsid w:val="0091629E"/>
    <w:rsid w:val="00930131"/>
    <w:rsid w:val="0093206A"/>
    <w:rsid w:val="0093207C"/>
    <w:rsid w:val="00941518"/>
    <w:rsid w:val="00943183"/>
    <w:rsid w:val="00946C5D"/>
    <w:rsid w:val="0094772E"/>
    <w:rsid w:val="00953642"/>
    <w:rsid w:val="0095714E"/>
    <w:rsid w:val="0095717F"/>
    <w:rsid w:val="009624A6"/>
    <w:rsid w:val="009650CE"/>
    <w:rsid w:val="00965D0E"/>
    <w:rsid w:val="00976496"/>
    <w:rsid w:val="00983DFB"/>
    <w:rsid w:val="00986A6E"/>
    <w:rsid w:val="0098727F"/>
    <w:rsid w:val="00992BB9"/>
    <w:rsid w:val="00997402"/>
    <w:rsid w:val="009A39DC"/>
    <w:rsid w:val="009A5FF3"/>
    <w:rsid w:val="009B27B3"/>
    <w:rsid w:val="009B57A1"/>
    <w:rsid w:val="009C55BE"/>
    <w:rsid w:val="009C759C"/>
    <w:rsid w:val="009D5377"/>
    <w:rsid w:val="009E5402"/>
    <w:rsid w:val="009F6C4F"/>
    <w:rsid w:val="00A009D2"/>
    <w:rsid w:val="00A045B8"/>
    <w:rsid w:val="00A11BB5"/>
    <w:rsid w:val="00A1397F"/>
    <w:rsid w:val="00A13D63"/>
    <w:rsid w:val="00A163EB"/>
    <w:rsid w:val="00A172D8"/>
    <w:rsid w:val="00A17B25"/>
    <w:rsid w:val="00A207E1"/>
    <w:rsid w:val="00A31D2D"/>
    <w:rsid w:val="00A324AE"/>
    <w:rsid w:val="00A36FCD"/>
    <w:rsid w:val="00A37EE4"/>
    <w:rsid w:val="00A401F5"/>
    <w:rsid w:val="00A406B2"/>
    <w:rsid w:val="00A40C47"/>
    <w:rsid w:val="00A40DCC"/>
    <w:rsid w:val="00A445E0"/>
    <w:rsid w:val="00A45281"/>
    <w:rsid w:val="00A457E7"/>
    <w:rsid w:val="00A465BE"/>
    <w:rsid w:val="00A46C30"/>
    <w:rsid w:val="00A50219"/>
    <w:rsid w:val="00A50CD3"/>
    <w:rsid w:val="00A52162"/>
    <w:rsid w:val="00A540B3"/>
    <w:rsid w:val="00A60054"/>
    <w:rsid w:val="00A611DF"/>
    <w:rsid w:val="00A635E1"/>
    <w:rsid w:val="00A63D7D"/>
    <w:rsid w:val="00A65E99"/>
    <w:rsid w:val="00A710D7"/>
    <w:rsid w:val="00A7148E"/>
    <w:rsid w:val="00A85F50"/>
    <w:rsid w:val="00AA16BF"/>
    <w:rsid w:val="00AB0088"/>
    <w:rsid w:val="00AB0DEC"/>
    <w:rsid w:val="00AB21D4"/>
    <w:rsid w:val="00AB539E"/>
    <w:rsid w:val="00AB5AFE"/>
    <w:rsid w:val="00AB5B9C"/>
    <w:rsid w:val="00AC429C"/>
    <w:rsid w:val="00AC454D"/>
    <w:rsid w:val="00AD0887"/>
    <w:rsid w:val="00AD201A"/>
    <w:rsid w:val="00AD23AD"/>
    <w:rsid w:val="00AD67A5"/>
    <w:rsid w:val="00AD79D6"/>
    <w:rsid w:val="00AE0C82"/>
    <w:rsid w:val="00AE14EE"/>
    <w:rsid w:val="00AE2307"/>
    <w:rsid w:val="00AF5D39"/>
    <w:rsid w:val="00B02643"/>
    <w:rsid w:val="00B10F87"/>
    <w:rsid w:val="00B15135"/>
    <w:rsid w:val="00B17A61"/>
    <w:rsid w:val="00B24EA4"/>
    <w:rsid w:val="00B34974"/>
    <w:rsid w:val="00B37B86"/>
    <w:rsid w:val="00B37CFC"/>
    <w:rsid w:val="00B51446"/>
    <w:rsid w:val="00B54C1F"/>
    <w:rsid w:val="00B564EA"/>
    <w:rsid w:val="00B6084A"/>
    <w:rsid w:val="00B61AF9"/>
    <w:rsid w:val="00B66F3B"/>
    <w:rsid w:val="00B720E3"/>
    <w:rsid w:val="00B72E22"/>
    <w:rsid w:val="00B764C8"/>
    <w:rsid w:val="00B77A57"/>
    <w:rsid w:val="00B8264B"/>
    <w:rsid w:val="00B83185"/>
    <w:rsid w:val="00B868B6"/>
    <w:rsid w:val="00B903A9"/>
    <w:rsid w:val="00B9231E"/>
    <w:rsid w:val="00B93CD6"/>
    <w:rsid w:val="00B96766"/>
    <w:rsid w:val="00BB22D2"/>
    <w:rsid w:val="00BB489C"/>
    <w:rsid w:val="00BB4B1E"/>
    <w:rsid w:val="00BB598A"/>
    <w:rsid w:val="00BC1818"/>
    <w:rsid w:val="00BD439C"/>
    <w:rsid w:val="00BD452F"/>
    <w:rsid w:val="00BD5C79"/>
    <w:rsid w:val="00BD66DE"/>
    <w:rsid w:val="00BE3CB5"/>
    <w:rsid w:val="00BE564D"/>
    <w:rsid w:val="00BF016C"/>
    <w:rsid w:val="00BF0382"/>
    <w:rsid w:val="00BF447D"/>
    <w:rsid w:val="00C16CDD"/>
    <w:rsid w:val="00C17C7C"/>
    <w:rsid w:val="00C24661"/>
    <w:rsid w:val="00C24702"/>
    <w:rsid w:val="00C2582C"/>
    <w:rsid w:val="00C3084F"/>
    <w:rsid w:val="00C32808"/>
    <w:rsid w:val="00C34284"/>
    <w:rsid w:val="00C35529"/>
    <w:rsid w:val="00C43128"/>
    <w:rsid w:val="00C46F72"/>
    <w:rsid w:val="00C471D9"/>
    <w:rsid w:val="00C518CC"/>
    <w:rsid w:val="00C5634C"/>
    <w:rsid w:val="00C65DC6"/>
    <w:rsid w:val="00C75BF1"/>
    <w:rsid w:val="00C76B61"/>
    <w:rsid w:val="00C82C1F"/>
    <w:rsid w:val="00C90FEC"/>
    <w:rsid w:val="00C91EEC"/>
    <w:rsid w:val="00C95337"/>
    <w:rsid w:val="00C9632E"/>
    <w:rsid w:val="00C9746F"/>
    <w:rsid w:val="00CA026F"/>
    <w:rsid w:val="00CA4D57"/>
    <w:rsid w:val="00CA58B1"/>
    <w:rsid w:val="00CA629F"/>
    <w:rsid w:val="00CB3868"/>
    <w:rsid w:val="00CB6CD2"/>
    <w:rsid w:val="00CB7728"/>
    <w:rsid w:val="00CC01A7"/>
    <w:rsid w:val="00CC0938"/>
    <w:rsid w:val="00CC0B1E"/>
    <w:rsid w:val="00CC34B2"/>
    <w:rsid w:val="00CC3911"/>
    <w:rsid w:val="00CC410E"/>
    <w:rsid w:val="00CC4F3B"/>
    <w:rsid w:val="00CD520B"/>
    <w:rsid w:val="00CE39D0"/>
    <w:rsid w:val="00CE3B3E"/>
    <w:rsid w:val="00CE3E11"/>
    <w:rsid w:val="00CE55AC"/>
    <w:rsid w:val="00CE7C9A"/>
    <w:rsid w:val="00CF1EDE"/>
    <w:rsid w:val="00CF26C6"/>
    <w:rsid w:val="00CF6E46"/>
    <w:rsid w:val="00D0080E"/>
    <w:rsid w:val="00D01344"/>
    <w:rsid w:val="00D038B0"/>
    <w:rsid w:val="00D05092"/>
    <w:rsid w:val="00D05518"/>
    <w:rsid w:val="00D101A7"/>
    <w:rsid w:val="00D10650"/>
    <w:rsid w:val="00D14CFD"/>
    <w:rsid w:val="00D174F7"/>
    <w:rsid w:val="00D2419D"/>
    <w:rsid w:val="00D24C5C"/>
    <w:rsid w:val="00D25236"/>
    <w:rsid w:val="00D27873"/>
    <w:rsid w:val="00D3077F"/>
    <w:rsid w:val="00D32768"/>
    <w:rsid w:val="00D34B54"/>
    <w:rsid w:val="00D40905"/>
    <w:rsid w:val="00D41571"/>
    <w:rsid w:val="00D54056"/>
    <w:rsid w:val="00D56FAB"/>
    <w:rsid w:val="00D6598E"/>
    <w:rsid w:val="00D67002"/>
    <w:rsid w:val="00D71DF7"/>
    <w:rsid w:val="00D72D12"/>
    <w:rsid w:val="00D75BF9"/>
    <w:rsid w:val="00D82353"/>
    <w:rsid w:val="00D92146"/>
    <w:rsid w:val="00DA09F2"/>
    <w:rsid w:val="00DA48F7"/>
    <w:rsid w:val="00DB73BF"/>
    <w:rsid w:val="00DC0281"/>
    <w:rsid w:val="00DC63D2"/>
    <w:rsid w:val="00DC7029"/>
    <w:rsid w:val="00DC75DA"/>
    <w:rsid w:val="00DC7A42"/>
    <w:rsid w:val="00DD51D7"/>
    <w:rsid w:val="00DE1C32"/>
    <w:rsid w:val="00DE5ECA"/>
    <w:rsid w:val="00DE6C9E"/>
    <w:rsid w:val="00DE6DFC"/>
    <w:rsid w:val="00DF02F7"/>
    <w:rsid w:val="00DF19F7"/>
    <w:rsid w:val="00DF47C9"/>
    <w:rsid w:val="00DF6A64"/>
    <w:rsid w:val="00E020A3"/>
    <w:rsid w:val="00E13158"/>
    <w:rsid w:val="00E200C1"/>
    <w:rsid w:val="00E21C5E"/>
    <w:rsid w:val="00E22965"/>
    <w:rsid w:val="00E278B9"/>
    <w:rsid w:val="00E33257"/>
    <w:rsid w:val="00E359BE"/>
    <w:rsid w:val="00E37C30"/>
    <w:rsid w:val="00E40C1C"/>
    <w:rsid w:val="00E45FBA"/>
    <w:rsid w:val="00E466E8"/>
    <w:rsid w:val="00E47975"/>
    <w:rsid w:val="00E5318C"/>
    <w:rsid w:val="00E533D5"/>
    <w:rsid w:val="00E53DAD"/>
    <w:rsid w:val="00E57409"/>
    <w:rsid w:val="00E602B2"/>
    <w:rsid w:val="00E6378B"/>
    <w:rsid w:val="00E6404C"/>
    <w:rsid w:val="00E67EE5"/>
    <w:rsid w:val="00E72985"/>
    <w:rsid w:val="00E7391C"/>
    <w:rsid w:val="00E76CE1"/>
    <w:rsid w:val="00E7768D"/>
    <w:rsid w:val="00E90E6E"/>
    <w:rsid w:val="00E92114"/>
    <w:rsid w:val="00E93817"/>
    <w:rsid w:val="00E939A8"/>
    <w:rsid w:val="00E93C6D"/>
    <w:rsid w:val="00E93F49"/>
    <w:rsid w:val="00E94412"/>
    <w:rsid w:val="00E970B3"/>
    <w:rsid w:val="00EB2B25"/>
    <w:rsid w:val="00EC3081"/>
    <w:rsid w:val="00EC393E"/>
    <w:rsid w:val="00EC7A34"/>
    <w:rsid w:val="00ED0106"/>
    <w:rsid w:val="00ED08C5"/>
    <w:rsid w:val="00ED7D7B"/>
    <w:rsid w:val="00EE14B4"/>
    <w:rsid w:val="00EE4DC3"/>
    <w:rsid w:val="00EF4B1C"/>
    <w:rsid w:val="00F04217"/>
    <w:rsid w:val="00F1203D"/>
    <w:rsid w:val="00F122F1"/>
    <w:rsid w:val="00F13DD9"/>
    <w:rsid w:val="00F20A53"/>
    <w:rsid w:val="00F24802"/>
    <w:rsid w:val="00F25E7F"/>
    <w:rsid w:val="00F3023F"/>
    <w:rsid w:val="00F30B89"/>
    <w:rsid w:val="00F3250D"/>
    <w:rsid w:val="00F35673"/>
    <w:rsid w:val="00F37DE3"/>
    <w:rsid w:val="00F46978"/>
    <w:rsid w:val="00F50E35"/>
    <w:rsid w:val="00F54C90"/>
    <w:rsid w:val="00F55352"/>
    <w:rsid w:val="00F63D38"/>
    <w:rsid w:val="00F63E0D"/>
    <w:rsid w:val="00F672DE"/>
    <w:rsid w:val="00F70FC4"/>
    <w:rsid w:val="00F7449B"/>
    <w:rsid w:val="00F81C73"/>
    <w:rsid w:val="00F92069"/>
    <w:rsid w:val="00F92FBB"/>
    <w:rsid w:val="00F9367F"/>
    <w:rsid w:val="00F9395D"/>
    <w:rsid w:val="00F953A4"/>
    <w:rsid w:val="00F96FE2"/>
    <w:rsid w:val="00FA5AE5"/>
    <w:rsid w:val="00FA66E1"/>
    <w:rsid w:val="00FA70C6"/>
    <w:rsid w:val="00FA741B"/>
    <w:rsid w:val="00FA7486"/>
    <w:rsid w:val="00FB029D"/>
    <w:rsid w:val="00FB1666"/>
    <w:rsid w:val="00FB16B8"/>
    <w:rsid w:val="00FB3C53"/>
    <w:rsid w:val="00FC0359"/>
    <w:rsid w:val="00FC19AB"/>
    <w:rsid w:val="00FC3B1D"/>
    <w:rsid w:val="00FC5FE9"/>
    <w:rsid w:val="00FC6492"/>
    <w:rsid w:val="00FD16F8"/>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qFormat/>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264A-3397-4272-9578-9BA8FFA9C9D3}">
  <ds:schemaRefs>
    <ds:schemaRef ds:uri="bdd78157-346c-4767-bfdd-352789a5c5f1"/>
    <ds:schemaRef ds:uri="http://purl.org/dc/elements/1.1/"/>
    <ds:schemaRef ds:uri="http://schemas.microsoft.com/office/infopath/2007/PartnerControls"/>
    <ds:schemaRef ds:uri="http://www.w3.org/XML/1998/namespace"/>
    <ds:schemaRef ds:uri="http://purl.org/dc/terms/"/>
    <ds:schemaRef ds:uri="http://schemas.microsoft.com/office/2006/documentManagement/types"/>
    <ds:schemaRef ds:uri="http://schemas.openxmlformats.org/package/2006/metadata/core-properties"/>
    <ds:schemaRef ds:uri="878f5c59-aec9-459c-acf8-8cf94147319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4.xml><?xml version="1.0" encoding="utf-8"?>
<ds:datastoreItem xmlns:ds="http://schemas.openxmlformats.org/officeDocument/2006/customXml" ds:itemID="{5686FFD0-443B-4C32-8327-7D797C81B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6</cp:revision>
  <dcterms:created xsi:type="dcterms:W3CDTF">2021-10-29T22:35:00Z</dcterms:created>
  <dcterms:modified xsi:type="dcterms:W3CDTF">2021-10-29T22:57:00Z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