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1E98" w14:textId="644B863E" w:rsidR="00874D63" w:rsidRDefault="00874D63" w:rsidP="00874D6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bookmarkStart w:id="0" w:name="_Hlk70587945"/>
      <w:bookmarkStart w:id="1" w:name="_Hlk3548187"/>
      <w:bookmarkStart w:id="2" w:name="_Toc508617208"/>
      <w:r>
        <w:rPr>
          <w:b/>
          <w:noProof/>
          <w:sz w:val="24"/>
        </w:rPr>
        <w:t>3GPP TSG-</w:t>
      </w:r>
      <w:r w:rsidR="007518BE">
        <w:fldChar w:fldCharType="begin"/>
      </w:r>
      <w:r w:rsidR="007518BE">
        <w:instrText xml:space="preserve"> DOCPROPERTY  TSG/WGRef  \* MERGEFORMAT </w:instrText>
      </w:r>
      <w:r w:rsidR="007518BE">
        <w:fldChar w:fldCharType="separate"/>
      </w:r>
      <w:r>
        <w:rPr>
          <w:b/>
          <w:noProof/>
          <w:sz w:val="24"/>
        </w:rPr>
        <w:t>RAN5</w:t>
      </w:r>
      <w:r w:rsidR="007518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18BE">
        <w:fldChar w:fldCharType="begin"/>
      </w:r>
      <w:r w:rsidR="007518BE">
        <w:instrText xml:space="preserve"> DOCPROPERTY  MtgSeq  \* MERGEFORMAT </w:instrText>
      </w:r>
      <w:r w:rsidR="007518BE">
        <w:fldChar w:fldCharType="separate"/>
      </w:r>
      <w:r>
        <w:rPr>
          <w:b/>
          <w:noProof/>
          <w:sz w:val="24"/>
        </w:rPr>
        <w:t xml:space="preserve"> 91-e</w:t>
      </w:r>
      <w:r w:rsidR="007518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18BE">
        <w:fldChar w:fldCharType="begin"/>
      </w:r>
      <w:r w:rsidR="007518BE">
        <w:instrText xml:space="preserve"> DOCPROPERTY  Tdoc#  \* MERGEFORMAT </w:instrText>
      </w:r>
      <w:r w:rsidR="007518BE">
        <w:fldChar w:fldCharType="separate"/>
      </w:r>
      <w:r w:rsidR="008019E3">
        <w:rPr>
          <w:b/>
          <w:i/>
          <w:noProof/>
          <w:sz w:val="28"/>
        </w:rPr>
        <w:t>R5-213287</w:t>
      </w:r>
      <w:r w:rsidR="007518BE">
        <w:rPr>
          <w:b/>
          <w:i/>
          <w:noProof/>
          <w:sz w:val="28"/>
        </w:rPr>
        <w:fldChar w:fldCharType="end"/>
      </w:r>
    </w:p>
    <w:p w14:paraId="2B369273" w14:textId="77777777" w:rsidR="00874D63" w:rsidRDefault="007518BE" w:rsidP="00874D63">
      <w:pPr>
        <w:pStyle w:val="CRCoverPage"/>
        <w:spacing w:before="12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4D63">
        <w:rPr>
          <w:b/>
          <w:noProof/>
          <w:sz w:val="24"/>
        </w:rPr>
        <w:t xml:space="preserve"> 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4D63">
        <w:rPr>
          <w:b/>
          <w:noProof/>
          <w:sz w:val="24"/>
        </w:rPr>
        <w:t xml:space="preserve"> 17</w:t>
      </w:r>
      <w:r w:rsidR="00874D63">
        <w:rPr>
          <w:b/>
          <w:noProof/>
          <w:sz w:val="24"/>
          <w:vertAlign w:val="superscript"/>
        </w:rPr>
        <w:t>th</w:t>
      </w:r>
      <w:r w:rsidR="00874D63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874D6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4D63">
        <w:rPr>
          <w:b/>
          <w:noProof/>
          <w:sz w:val="24"/>
        </w:rPr>
        <w:t>28</w:t>
      </w:r>
      <w:r w:rsidR="00874D63">
        <w:rPr>
          <w:b/>
          <w:noProof/>
          <w:sz w:val="24"/>
          <w:vertAlign w:val="superscript"/>
        </w:rPr>
        <w:t>th</w:t>
      </w:r>
      <w:r w:rsidR="00874D63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bookmarkEnd w:id="0"/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bookmarkEnd w:id="1"/>
    <w:p w14:paraId="65C80F8F" w14:textId="53A75FF0" w:rsidR="00874D63" w:rsidRDefault="00874D63" w:rsidP="00874D63">
      <w:pPr>
        <w:spacing w:before="120" w:after="120"/>
        <w:ind w:left="852" w:hanging="852"/>
        <w:rPr>
          <w:rFonts w:ascii="Arial" w:hAnsi="Arial"/>
          <w:b/>
          <w:lang w:val="en-US"/>
        </w:rPr>
      </w:pPr>
      <w:r>
        <w:rPr>
          <w:rFonts w:ascii="Arial" w:hAnsi="Arial"/>
          <w:b/>
        </w:rPr>
        <w:t>Title:</w:t>
      </w:r>
      <w:r>
        <w:rPr>
          <w:b/>
        </w:rPr>
        <w:tab/>
      </w:r>
      <w:r>
        <w:rPr>
          <w:rFonts w:ascii="Arial" w:eastAsia="MS Mincho" w:hAnsi="Arial"/>
          <w:lang w:val="pt-BR"/>
        </w:rPr>
        <w:t xml:space="preserve">On UE Beamlock Function for </w:t>
      </w:r>
      <w:r w:rsidR="00963C8A">
        <w:rPr>
          <w:rFonts w:ascii="Arial" w:eastAsia="MS Mincho" w:hAnsi="Arial"/>
          <w:lang w:val="pt-BR"/>
        </w:rPr>
        <w:t xml:space="preserve">different </w:t>
      </w:r>
      <w:r>
        <w:rPr>
          <w:rFonts w:ascii="Arial" w:eastAsia="MS Mincho" w:hAnsi="Arial"/>
          <w:lang w:val="pt-BR"/>
        </w:rPr>
        <w:t>MIMO</w:t>
      </w:r>
      <w:r w:rsidR="00963C8A">
        <w:rPr>
          <w:rFonts w:ascii="Arial" w:eastAsia="MS Mincho" w:hAnsi="Arial"/>
          <w:lang w:val="pt-BR"/>
        </w:rPr>
        <w:t xml:space="preserve"> layers</w:t>
      </w:r>
    </w:p>
    <w:p w14:paraId="4709C25B" w14:textId="77777777" w:rsidR="00874D63" w:rsidRDefault="00874D63" w:rsidP="00874D63">
      <w:pPr>
        <w:spacing w:before="120" w:after="120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eastAsia="MS Mincho" w:hAnsi="Arial"/>
          <w:lang w:val="pt-BR"/>
        </w:rPr>
        <w:t>Keysight Technologies</w:t>
      </w:r>
    </w:p>
    <w:p w14:paraId="5C71FBFE" w14:textId="77777777" w:rsidR="00874D63" w:rsidRDefault="00874D63" w:rsidP="00874D63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eastAsia="MS Mincho" w:hAnsi="Arial"/>
          <w:lang w:val="pt-BR"/>
        </w:rPr>
        <w:t>5.3.2.17</w:t>
      </w:r>
    </w:p>
    <w:p w14:paraId="1BDD1E6F" w14:textId="77777777" w:rsidR="00874D63" w:rsidRDefault="00874D63" w:rsidP="00874D63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Document for:</w:t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eastAsia="MS Mincho" w:hAnsi="Arial"/>
          <w:lang w:val="pt-BR"/>
        </w:rPr>
        <w:t>Endorsement</w:t>
      </w:r>
    </w:p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7801F898" w:rsidR="000606FD" w:rsidRPr="00874D63" w:rsidRDefault="001D6A52" w:rsidP="000606FD">
      <w:pPr>
        <w:ind w:left="48"/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This contribution is </w:t>
      </w:r>
      <w:r w:rsidR="00C06517" w:rsidRPr="00874D63">
        <w:rPr>
          <w:rFonts w:ascii="Calibri" w:eastAsia="Batang" w:hAnsi="Calibri" w:cs="Calibri"/>
          <w:sz w:val="22"/>
          <w:szCs w:val="22"/>
        </w:rPr>
        <w:t>discussing the need to further clarify the</w:t>
      </w:r>
      <w:r w:rsidRPr="00874D63">
        <w:rPr>
          <w:rFonts w:ascii="Calibri" w:eastAsia="Batang" w:hAnsi="Calibri" w:cs="Calibri"/>
          <w:sz w:val="22"/>
          <w:szCs w:val="22"/>
        </w:rPr>
        <w:t xml:space="preserve"> UBF, defined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 w:rsidRP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, </w:t>
      </w:r>
      <w:r w:rsidR="00C06517" w:rsidRPr="00874D63">
        <w:rPr>
          <w:rFonts w:ascii="Calibri" w:eastAsia="Batang" w:hAnsi="Calibri" w:cs="Calibri"/>
          <w:sz w:val="22"/>
          <w:szCs w:val="22"/>
        </w:rPr>
        <w:t>and the need to augment the applicability of the UBF for</w:t>
      </w:r>
      <w:r w:rsidR="00874D63" w:rsidRPr="00874D63">
        <w:rPr>
          <w:rFonts w:ascii="Calibri" w:eastAsia="Batang" w:hAnsi="Calibri" w:cs="Calibri"/>
          <w:sz w:val="22"/>
          <w:szCs w:val="22"/>
        </w:rPr>
        <w:t xml:space="preserve"> UL-MIMO</w:t>
      </w:r>
      <w:r w:rsidRPr="00874D63">
        <w:rPr>
          <w:rFonts w:ascii="Calibri" w:eastAsia="Batang" w:hAnsi="Calibri" w:cs="Calibri"/>
          <w:sz w:val="22"/>
          <w:szCs w:val="22"/>
        </w:rPr>
        <w:t xml:space="preserve">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12657C83" w14:textId="6B009342" w:rsidR="001D6A52" w:rsidRPr="00874D63" w:rsidRDefault="001D6A52" w:rsidP="001D6A52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For </w:t>
      </w:r>
      <w:r w:rsidR="00874D63" w:rsidRPr="00874D63">
        <w:rPr>
          <w:rFonts w:ascii="Calibri" w:eastAsia="Batang" w:hAnsi="Calibri" w:cs="Calibri"/>
          <w:sz w:val="22"/>
          <w:szCs w:val="22"/>
        </w:rPr>
        <w:t>UL-MIMO</w:t>
      </w:r>
      <w:r w:rsidRPr="00874D63">
        <w:rPr>
          <w:rFonts w:ascii="Calibri" w:eastAsia="Batang" w:hAnsi="Calibri" w:cs="Calibri"/>
          <w:sz w:val="22"/>
          <w:szCs w:val="22"/>
        </w:rPr>
        <w:t xml:space="preserve"> test cases, the </w:t>
      </w:r>
      <w:r w:rsidR="0036261C" w:rsidRPr="00874D63">
        <w:rPr>
          <w:rFonts w:ascii="Calibri" w:eastAsia="Batang" w:hAnsi="Calibri" w:cs="Calibri"/>
          <w:sz w:val="22"/>
          <w:szCs w:val="22"/>
        </w:rPr>
        <w:t xml:space="preserve">current </w:t>
      </w:r>
      <w:r w:rsidRPr="00874D63">
        <w:rPr>
          <w:rFonts w:ascii="Calibri" w:eastAsia="Batang" w:hAnsi="Calibri" w:cs="Calibri"/>
          <w:sz w:val="22"/>
          <w:szCs w:val="22"/>
        </w:rPr>
        <w:t xml:space="preserve">UBF definition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 </w:t>
      </w:r>
      <w:r w:rsidR="00C06517" w:rsidRPr="00874D63">
        <w:rPr>
          <w:rFonts w:ascii="Calibri" w:eastAsia="Batang" w:hAnsi="Calibri" w:cs="Calibri"/>
          <w:sz w:val="22"/>
          <w:szCs w:val="22"/>
        </w:rPr>
        <w:t>is</w:t>
      </w:r>
      <w:r w:rsidRPr="00874D63">
        <w:rPr>
          <w:rFonts w:ascii="Calibri" w:eastAsia="Batang" w:hAnsi="Calibri" w:cs="Calibri"/>
          <w:sz w:val="22"/>
          <w:szCs w:val="22"/>
        </w:rPr>
        <w:t xml:space="preserve"> sufficient. </w:t>
      </w:r>
      <w:r w:rsidR="00E427C5">
        <w:rPr>
          <w:rFonts w:ascii="Calibri" w:eastAsia="Batang" w:hAnsi="Calibri" w:cs="Calibri"/>
          <w:sz w:val="22"/>
          <w:szCs w:val="22"/>
        </w:rPr>
        <w:t>Many</w:t>
      </w:r>
      <w:r w:rsidRPr="00874D63">
        <w:rPr>
          <w:rFonts w:ascii="Calibri" w:eastAsia="Batang" w:hAnsi="Calibri" w:cs="Calibri"/>
          <w:sz w:val="22"/>
          <w:szCs w:val="22"/>
        </w:rPr>
        <w:t xml:space="preserve"> test cases activate the UBF</w:t>
      </w:r>
      <w:r w:rsidR="00874D63" w:rsidRPr="00874D63">
        <w:rPr>
          <w:rFonts w:ascii="Calibri" w:eastAsia="Batang" w:hAnsi="Calibri" w:cs="Calibri"/>
          <w:sz w:val="22"/>
          <w:szCs w:val="22"/>
        </w:rPr>
        <w:t>.</w:t>
      </w:r>
    </w:p>
    <w:p w14:paraId="1BB427BB" w14:textId="6CF979DB" w:rsidR="00874D63" w:rsidRPr="00874D63" w:rsidRDefault="00A20013" w:rsidP="00C06517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For these test cases to be executed accurately and reliably, it needs to be guaranteed that the UBF activation is applicable to all </w:t>
      </w:r>
      <w:r w:rsidR="00E427C5">
        <w:rPr>
          <w:rFonts w:ascii="Calibri" w:eastAsia="Batang" w:hAnsi="Calibri" w:cs="Calibri"/>
          <w:sz w:val="22"/>
          <w:szCs w:val="22"/>
        </w:rPr>
        <w:t xml:space="preserve">DL &amp; UL </w:t>
      </w:r>
      <w:r w:rsidR="00874D63" w:rsidRPr="00874D63">
        <w:rPr>
          <w:rFonts w:ascii="Calibri" w:eastAsia="Batang" w:hAnsi="Calibri" w:cs="Calibri"/>
          <w:sz w:val="22"/>
          <w:szCs w:val="22"/>
        </w:rPr>
        <w:t>MIMO threads.</w:t>
      </w:r>
    </w:p>
    <w:p w14:paraId="78249FE6" w14:textId="3AF4199F" w:rsidR="00874D63" w:rsidRPr="00874D63" w:rsidRDefault="00A20013" w:rsidP="00874D63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It is therefore proposed for the OEMs and chipset vendors to confirm that upon UBF activation, </w:t>
      </w:r>
      <w:r w:rsidR="00874D63" w:rsidRPr="00874D63">
        <w:rPr>
          <w:rFonts w:ascii="Calibri" w:eastAsia="Batang" w:hAnsi="Calibri" w:cs="Calibri"/>
          <w:sz w:val="22"/>
          <w:szCs w:val="22"/>
        </w:rPr>
        <w:t xml:space="preserve">all </w:t>
      </w:r>
      <w:r w:rsidR="00E427C5">
        <w:rPr>
          <w:rFonts w:ascii="Calibri" w:eastAsia="Batang" w:hAnsi="Calibri" w:cs="Calibri"/>
          <w:sz w:val="22"/>
          <w:szCs w:val="22"/>
        </w:rPr>
        <w:t>DL &amp;</w:t>
      </w:r>
      <w:r w:rsidR="00874D63" w:rsidRPr="00874D63">
        <w:rPr>
          <w:rFonts w:ascii="Calibri" w:eastAsia="Batang" w:hAnsi="Calibri" w:cs="Calibri"/>
          <w:sz w:val="22"/>
          <w:szCs w:val="22"/>
        </w:rPr>
        <w:t>UL MIMO threads</w:t>
      </w:r>
      <w:r w:rsidRPr="00874D63">
        <w:rPr>
          <w:rFonts w:ascii="Calibri" w:eastAsia="Batang" w:hAnsi="Calibri" w:cs="Calibri"/>
          <w:sz w:val="22"/>
          <w:szCs w:val="22"/>
        </w:rPr>
        <w:t xml:space="preserve"> beams are locked</w:t>
      </w:r>
      <w:r w:rsidR="00874D63" w:rsidRPr="00874D63">
        <w:rPr>
          <w:rFonts w:ascii="Calibri" w:eastAsia="Batang" w:hAnsi="Calibri" w:cs="Calibri"/>
          <w:sz w:val="22"/>
          <w:szCs w:val="22"/>
        </w:rPr>
        <w:t>.</w:t>
      </w:r>
      <w:bookmarkStart w:id="3" w:name="_Ref38988739"/>
    </w:p>
    <w:p w14:paraId="62C3F553" w14:textId="2D321CE4" w:rsidR="00A20013" w:rsidRPr="00874D63" w:rsidRDefault="00A2001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1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OEMs and chipset vendors to confirm that upon UBF activation, </w:t>
      </w:r>
      <w:bookmarkEnd w:id="3"/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all </w:t>
      </w:r>
      <w:r w:rsidR="00E427C5">
        <w:rPr>
          <w:rFonts w:ascii="Calibri" w:eastAsia="Batang" w:hAnsi="Calibri" w:cs="Calibri"/>
          <w:b/>
          <w:bCs/>
          <w:sz w:val="22"/>
          <w:szCs w:val="22"/>
        </w:rPr>
        <w:t xml:space="preserve">DL &amp; 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UL MIMO threads beams </w:t>
      </w:r>
      <w:r w:rsidR="00E427C5">
        <w:rPr>
          <w:rFonts w:ascii="Calibri" w:eastAsia="Batang" w:hAnsi="Calibri" w:cs="Calibri"/>
          <w:b/>
          <w:bCs/>
          <w:sz w:val="22"/>
          <w:szCs w:val="22"/>
        </w:rPr>
        <w:t xml:space="preserve">affected by the test function 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>are locked.</w:t>
      </w:r>
    </w:p>
    <w:p w14:paraId="4DF3CBE8" w14:textId="50AE59F7" w:rsidR="003F0AEA" w:rsidRPr="00874D63" w:rsidRDefault="003F0AEA" w:rsidP="003F0AEA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Upon confirmation, it is proposed to augment the UBF definition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, e.g., by adding the following statement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AEA" w14:paraId="75D65498" w14:textId="77777777" w:rsidTr="003F0AEA">
        <w:tc>
          <w:tcPr>
            <w:tcW w:w="9631" w:type="dxa"/>
          </w:tcPr>
          <w:p w14:paraId="5A86CABA" w14:textId="77777777" w:rsidR="003F0AEA" w:rsidRDefault="003F0AEA" w:rsidP="003F0AE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5.4.1 General </w:t>
            </w:r>
          </w:p>
          <w:p w14:paraId="3FA69CB3" w14:textId="4B1BC450" w:rsidR="003F0AEA" w:rsidRDefault="003F0AEA" w:rsidP="00874D63">
            <w:pPr>
              <w:spacing w:before="240"/>
            </w:pPr>
            <w:r>
              <w:t>The UE Beamlock test function is intended for making the UE to lock the UE antenna pattern once it has formed a beam towards the base station (SS) direction following the cell identification procedure in preparation for subsequent test procedures</w:t>
            </w:r>
            <w:r w:rsidRPr="00874D63">
              <w:t>.</w:t>
            </w:r>
            <w:r w:rsidR="00006448" w:rsidRPr="00874D63">
              <w:t xml:space="preserve"> </w:t>
            </w:r>
            <w:bookmarkStart w:id="4" w:name="_Hlk39654464"/>
            <w:r w:rsidR="00006448" w:rsidRPr="00874D63">
              <w:t xml:space="preserve">Activating the UBF shall lock </w:t>
            </w:r>
            <w:r w:rsidR="0068212A" w:rsidRPr="00874D63">
              <w:t xml:space="preserve">the antenna pattern of </w:t>
            </w:r>
            <w:r w:rsidR="00006448" w:rsidRPr="00874D63">
              <w:t xml:space="preserve">all active </w:t>
            </w:r>
            <w:r w:rsidR="00E6037F" w:rsidRPr="00874D63">
              <w:t xml:space="preserve">intra-band </w:t>
            </w:r>
            <w:r w:rsidR="00006448" w:rsidRPr="00874D63">
              <w:t>component carriers</w:t>
            </w:r>
            <w:r w:rsidR="00874D63" w:rsidRPr="00874D63">
              <w:t xml:space="preserve"> </w:t>
            </w:r>
            <w:r w:rsidR="00874D63">
              <w:rPr>
                <w:highlight w:val="yellow"/>
              </w:rPr>
              <w:t>and all MIMO layers</w:t>
            </w:r>
            <w:r w:rsidR="00E427C5">
              <w:rPr>
                <w:highlight w:val="yellow"/>
              </w:rPr>
              <w:t xml:space="preserve"> affected by the test function</w:t>
            </w:r>
            <w:r w:rsidR="00006448" w:rsidRPr="00006448">
              <w:rPr>
                <w:highlight w:val="yellow"/>
              </w:rPr>
              <w:t>.</w:t>
            </w:r>
            <w:bookmarkEnd w:id="4"/>
            <w:r w:rsidR="00006448">
              <w:t xml:space="preserve"> </w:t>
            </w:r>
          </w:p>
        </w:tc>
      </w:tr>
    </w:tbl>
    <w:p w14:paraId="69B9DDDB" w14:textId="4ABBB48B" w:rsidR="003F0AEA" w:rsidRPr="00874D63" w:rsidRDefault="00006448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bookmarkStart w:id="5" w:name="_Ref38988740"/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2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Augment the UBF definition in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b/>
          <w:bCs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[1]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to highlight that the UBF activation applies to all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MIMO layers</w:t>
      </w:r>
      <w:bookmarkEnd w:id="5"/>
      <w:r w:rsidR="00281B8A">
        <w:rPr>
          <w:rFonts w:ascii="Calibri" w:eastAsia="Batang" w:hAnsi="Calibri" w:cs="Calibri"/>
          <w:b/>
          <w:bCs/>
          <w:sz w:val="22"/>
          <w:szCs w:val="22"/>
        </w:rPr>
        <w:t xml:space="preserve"> affected by the test </w:t>
      </w:r>
      <w:r w:rsidR="007518BE">
        <w:rPr>
          <w:rFonts w:ascii="Calibri" w:eastAsia="Batang" w:hAnsi="Calibri" w:cs="Calibri"/>
          <w:b/>
          <w:bCs/>
          <w:sz w:val="22"/>
          <w:szCs w:val="22"/>
        </w:rPr>
        <w:t>function as shown in [2]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>.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9E87F8A" w:rsidR="008B0529" w:rsidRPr="00874D63" w:rsidRDefault="0053435C" w:rsidP="008B0529">
      <w:pPr>
        <w:rPr>
          <w:rFonts w:ascii="Calibri" w:hAnsi="Calibri" w:cs="Calibri"/>
          <w:sz w:val="22"/>
          <w:szCs w:val="22"/>
        </w:rPr>
      </w:pPr>
      <w:r w:rsidRPr="00874D63">
        <w:rPr>
          <w:rFonts w:ascii="Calibri" w:hAnsi="Calibri" w:cs="Calibri"/>
          <w:sz w:val="22"/>
          <w:szCs w:val="22"/>
        </w:rPr>
        <w:t>The following observations and proposals were made in this contribution</w:t>
      </w:r>
    </w:p>
    <w:p w14:paraId="62A684F4" w14:textId="77777777" w:rsidR="00874D63" w:rsidRPr="00874D63" w:rsidRDefault="00874D6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1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: OEMs and chipset vendors to confirm that upon UBF activation, all UL MIMO threads beams are locked.</w:t>
      </w:r>
    </w:p>
    <w:p w14:paraId="0F063AC5" w14:textId="5383FC33" w:rsidR="00874D63" w:rsidRPr="00874D63" w:rsidRDefault="00874D6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2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Augment the UBF definition in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REF _Ref38546743 \r \h </w:instrText>
      </w:r>
      <w:r>
        <w:rPr>
          <w:rFonts w:ascii="Calibri" w:eastAsia="Batang" w:hAnsi="Calibri" w:cs="Calibri"/>
          <w:b/>
          <w:bCs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[1]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to highlight that the UBF activation applies to all MIMO layers</w:t>
      </w:r>
      <w:r w:rsidR="00281B8A">
        <w:rPr>
          <w:rFonts w:ascii="Calibri" w:eastAsia="Batang" w:hAnsi="Calibri" w:cs="Calibri"/>
          <w:b/>
          <w:bCs/>
          <w:sz w:val="22"/>
          <w:szCs w:val="22"/>
        </w:rPr>
        <w:t xml:space="preserve"> affected by the test function</w:t>
      </w:r>
      <w:r w:rsidR="00833D56">
        <w:rPr>
          <w:rFonts w:ascii="Calibri" w:eastAsia="Batang" w:hAnsi="Calibri" w:cs="Calibri"/>
          <w:b/>
          <w:bCs/>
          <w:sz w:val="22"/>
          <w:szCs w:val="22"/>
        </w:rPr>
        <w:t xml:space="preserve"> as shown in [2]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.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7EA0D38A" w14:textId="510236D4" w:rsidR="001D6A52" w:rsidRDefault="001D6A52" w:rsidP="001D6A5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6" w:name="_Ref38546743"/>
      <w:r w:rsidRPr="0036261C">
        <w:rPr>
          <w:rFonts w:ascii="Times New Roman" w:eastAsia="Malgun Gothic" w:hAnsi="Times New Roman"/>
          <w:sz w:val="20"/>
          <w:szCs w:val="20"/>
          <w:lang w:val="en-GB"/>
        </w:rPr>
        <w:t xml:space="preserve">TS 38.509, </w:t>
      </w:r>
      <w:r w:rsidR="00B864DD">
        <w:rPr>
          <w:rFonts w:ascii="Times New Roman" w:eastAsia="Malgun Gothic" w:hAnsi="Times New Roman"/>
          <w:sz w:val="20"/>
          <w:szCs w:val="20"/>
          <w:lang w:val="en-GB"/>
        </w:rPr>
        <w:t>“</w:t>
      </w:r>
      <w:r w:rsidRPr="0036261C">
        <w:rPr>
          <w:rFonts w:ascii="Times New Roman" w:eastAsia="Malgun Gothic" w:hAnsi="Times New Roman"/>
          <w:sz w:val="20"/>
          <w:szCs w:val="20"/>
          <w:lang w:val="en-GB"/>
        </w:rPr>
        <w:t>Special conformance testing functions for User Equipment (UE)</w:t>
      </w:r>
      <w:r w:rsidR="007518BE">
        <w:rPr>
          <w:rFonts w:ascii="Times New Roman" w:eastAsia="Malgun Gothic" w:hAnsi="Times New Roman"/>
          <w:sz w:val="20"/>
          <w:szCs w:val="20"/>
          <w:lang w:val="en-GB"/>
        </w:rPr>
        <w:t>”</w:t>
      </w:r>
      <w:r w:rsidRPr="0036261C">
        <w:rPr>
          <w:rFonts w:ascii="Times New Roman" w:eastAsia="Malgun Gothic" w:hAnsi="Times New Roman"/>
          <w:sz w:val="20"/>
          <w:szCs w:val="20"/>
          <w:lang w:val="en-GB"/>
        </w:rPr>
        <w:t>, V1</w:t>
      </w:r>
      <w:r w:rsidR="00B864DD">
        <w:rPr>
          <w:rFonts w:ascii="Times New Roman" w:eastAsia="Malgun Gothic" w:hAnsi="Times New Roman"/>
          <w:sz w:val="20"/>
          <w:szCs w:val="20"/>
          <w:lang w:val="en-GB"/>
        </w:rPr>
        <w:t>6.0.0</w:t>
      </w:r>
      <w:bookmarkEnd w:id="6"/>
    </w:p>
    <w:p w14:paraId="3924EF86" w14:textId="57F621F8" w:rsidR="008019E3" w:rsidRPr="0036261C" w:rsidRDefault="008019E3" w:rsidP="001D6A5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R5-21</w:t>
      </w:r>
      <w:r w:rsidR="00BB2F58">
        <w:rPr>
          <w:rFonts w:ascii="Times New Roman" w:eastAsia="Malgun Gothic" w:hAnsi="Times New Roman"/>
          <w:sz w:val="20"/>
          <w:szCs w:val="20"/>
          <w:lang w:val="en-GB"/>
        </w:rPr>
        <w:t>3288, “</w:t>
      </w:r>
      <w:r w:rsidR="000B7BC6" w:rsidRPr="000B7BC6">
        <w:rPr>
          <w:rFonts w:ascii="Times New Roman" w:eastAsia="Malgun Gothic" w:hAnsi="Times New Roman"/>
          <w:sz w:val="20"/>
          <w:szCs w:val="20"/>
          <w:lang w:val="en-GB"/>
        </w:rPr>
        <w:t>UE Beamlock Function update for MIMO</w:t>
      </w:r>
      <w:r w:rsidR="000B7BC6">
        <w:rPr>
          <w:rFonts w:ascii="Times New Roman" w:eastAsia="Malgun Gothic" w:hAnsi="Times New Roman"/>
          <w:sz w:val="20"/>
          <w:szCs w:val="20"/>
          <w:lang w:val="en-GB"/>
        </w:rPr>
        <w:t>”, Keysight Technologies, RAN5#91e</w:t>
      </w:r>
    </w:p>
    <w:p w14:paraId="5F4830E1" w14:textId="06A201FF" w:rsidR="00E6037F" w:rsidRPr="00874D63" w:rsidRDefault="00E6037F" w:rsidP="00874D63"/>
    <w:sectPr w:rsidR="00E6037F" w:rsidRPr="00874D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B59CE" w14:textId="77777777" w:rsidR="002B6A67" w:rsidRDefault="002B6A67">
      <w:r>
        <w:separator/>
      </w:r>
    </w:p>
  </w:endnote>
  <w:endnote w:type="continuationSeparator" w:id="0">
    <w:p w14:paraId="4FF927A1" w14:textId="77777777" w:rsidR="002B6A67" w:rsidRDefault="002B6A67">
      <w:r>
        <w:continuationSeparator/>
      </w:r>
    </w:p>
  </w:endnote>
  <w:endnote w:type="continuationNotice" w:id="1">
    <w:p w14:paraId="4D3694D9" w14:textId="77777777" w:rsidR="002B6A67" w:rsidRDefault="002B6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6A781" w14:textId="77777777" w:rsidR="002B6A67" w:rsidRDefault="002B6A67">
      <w:r>
        <w:separator/>
      </w:r>
    </w:p>
  </w:footnote>
  <w:footnote w:type="continuationSeparator" w:id="0">
    <w:p w14:paraId="6AAEF503" w14:textId="77777777" w:rsidR="002B6A67" w:rsidRDefault="002B6A67">
      <w:r>
        <w:continuationSeparator/>
      </w:r>
    </w:p>
  </w:footnote>
  <w:footnote w:type="continuationNotice" w:id="1">
    <w:p w14:paraId="23CB5B45" w14:textId="77777777" w:rsidR="002B6A67" w:rsidRDefault="002B6A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D0A0BF3"/>
    <w:multiLevelType w:val="hybridMultilevel"/>
    <w:tmpl w:val="12E0870A"/>
    <w:lvl w:ilvl="0" w:tplc="FE90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0A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7C1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0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A8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160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E6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22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2C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46EE1"/>
    <w:multiLevelType w:val="hybridMultilevel"/>
    <w:tmpl w:val="0F741FC2"/>
    <w:lvl w:ilvl="0" w:tplc="D1C62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82D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2F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8C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98E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B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3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69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7"/>
  </w:num>
  <w:num w:numId="12">
    <w:abstractNumId w:val="11"/>
  </w:num>
  <w:num w:numId="13">
    <w:abstractNumId w:val="25"/>
  </w:num>
  <w:num w:numId="14">
    <w:abstractNumId w:val="33"/>
  </w:num>
  <w:num w:numId="15">
    <w:abstractNumId w:val="10"/>
  </w:num>
  <w:num w:numId="16">
    <w:abstractNumId w:val="32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6"/>
  </w:num>
  <w:num w:numId="32">
    <w:abstractNumId w:val="30"/>
  </w:num>
  <w:num w:numId="33">
    <w:abstractNumId w:val="35"/>
  </w:num>
  <w:num w:numId="34">
    <w:abstractNumId w:val="14"/>
  </w:num>
  <w:num w:numId="35">
    <w:abstractNumId w:val="6"/>
  </w:num>
  <w:num w:numId="36">
    <w:abstractNumId w:val="1"/>
  </w:num>
  <w:num w:numId="37">
    <w:abstractNumId w:val="28"/>
  </w:num>
  <w:num w:numId="38">
    <w:abstractNumId w:val="12"/>
  </w:num>
  <w:num w:numId="39">
    <w:abstractNumId w:val="26"/>
  </w:num>
  <w:num w:numId="40">
    <w:abstractNumId w:val="29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448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B7BC6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6A52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1B8A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ED3"/>
    <w:rsid w:val="002B3F06"/>
    <w:rsid w:val="002B4D62"/>
    <w:rsid w:val="002B6A67"/>
    <w:rsid w:val="002C1E1B"/>
    <w:rsid w:val="002C2040"/>
    <w:rsid w:val="002C7D13"/>
    <w:rsid w:val="002D01F2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261C"/>
    <w:rsid w:val="00364DC7"/>
    <w:rsid w:val="00365EF7"/>
    <w:rsid w:val="00366F9B"/>
    <w:rsid w:val="00367724"/>
    <w:rsid w:val="003679B5"/>
    <w:rsid w:val="00371BA6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0AEA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4102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279D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59FB"/>
    <w:rsid w:val="005A616F"/>
    <w:rsid w:val="005A6F48"/>
    <w:rsid w:val="005C00A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5A0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212A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1227"/>
    <w:rsid w:val="00735C81"/>
    <w:rsid w:val="00736A17"/>
    <w:rsid w:val="007373B0"/>
    <w:rsid w:val="007403F2"/>
    <w:rsid w:val="00741775"/>
    <w:rsid w:val="00744CC1"/>
    <w:rsid w:val="0074650E"/>
    <w:rsid w:val="00747AD4"/>
    <w:rsid w:val="007518BE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9E3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3D56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4D63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21AD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4EB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3C8A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1F"/>
    <w:rsid w:val="009C0727"/>
    <w:rsid w:val="009C3CF2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001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64DD"/>
    <w:rsid w:val="00B92920"/>
    <w:rsid w:val="00B93A4D"/>
    <w:rsid w:val="00B943D6"/>
    <w:rsid w:val="00BA0D2D"/>
    <w:rsid w:val="00BA47FD"/>
    <w:rsid w:val="00BA5EFD"/>
    <w:rsid w:val="00BB2B4D"/>
    <w:rsid w:val="00BB2F58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4116"/>
    <w:rsid w:val="00C050BC"/>
    <w:rsid w:val="00C050CF"/>
    <w:rsid w:val="00C06487"/>
    <w:rsid w:val="00C0651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60DF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0FC8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27C5"/>
    <w:rsid w:val="00E502C4"/>
    <w:rsid w:val="00E55ABC"/>
    <w:rsid w:val="00E56168"/>
    <w:rsid w:val="00E57B74"/>
    <w:rsid w:val="00E57FEF"/>
    <w:rsid w:val="00E6037F"/>
    <w:rsid w:val="00E642B3"/>
    <w:rsid w:val="00E70C18"/>
    <w:rsid w:val="00E8629F"/>
    <w:rsid w:val="00E90B54"/>
    <w:rsid w:val="00E9474E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51E2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6261C"/>
    <w:rPr>
      <w:rFonts w:ascii="Calibri" w:eastAsia="Calibri" w:hAnsi="Calibri"/>
      <w:sz w:val="22"/>
      <w:szCs w:val="22"/>
    </w:rPr>
  </w:style>
  <w:style w:type="character" w:customStyle="1" w:styleId="CRCoverPageChar">
    <w:name w:val="CR Cover Page Char"/>
    <w:link w:val="CRCoverPage"/>
    <w:locked/>
    <w:rsid w:val="00874D63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874D63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7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7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3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8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3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9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4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E9DBD-7821-4849-BAFB-2EFF51A54F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14</cp:revision>
  <dcterms:created xsi:type="dcterms:W3CDTF">2021-05-07T12:35:00Z</dcterms:created>
  <dcterms:modified xsi:type="dcterms:W3CDTF">2021-05-07T21:29:00Z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