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6252B6" w:rsidRDefault="00A65F7E" w:rsidP="004D1E8C">
      <w:pPr>
        <w:pStyle w:val="Header"/>
        <w:rPr>
          <w:noProof w:val="0"/>
          <w:color w:val="000000"/>
          <w:sz w:val="28"/>
          <w:szCs w:val="28"/>
          <w:lang w:val="en-US"/>
        </w:rPr>
      </w:pPr>
      <w:bookmarkStart w:id="0" w:name="OLE_LINK3"/>
      <w:r>
        <w:rPr>
          <w:bCs/>
          <w:color w:val="000000"/>
          <w:sz w:val="28"/>
          <w:szCs w:val="28"/>
        </w:rPr>
        <w:t>3GPP TSG RAN WG4 Meeting #</w:t>
      </w:r>
      <w:r w:rsidR="00071314">
        <w:rPr>
          <w:bCs/>
          <w:color w:val="000000"/>
          <w:sz w:val="28"/>
          <w:szCs w:val="28"/>
        </w:rPr>
        <w:t>7</w:t>
      </w:r>
      <w:r w:rsidR="00151F6D">
        <w:rPr>
          <w:bCs/>
          <w:color w:val="000000"/>
          <w:sz w:val="28"/>
          <w:szCs w:val="28"/>
        </w:rPr>
        <w:t>8</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w:t>
      </w:r>
      <w:r w:rsidR="00151F6D" w:rsidRPr="00151F6D">
        <w:rPr>
          <w:bCs/>
          <w:color w:val="000000"/>
          <w:sz w:val="28"/>
          <w:szCs w:val="28"/>
        </w:rPr>
        <w:t>R4-1</w:t>
      </w:r>
      <w:r w:rsidR="00BC41C0">
        <w:rPr>
          <w:bCs/>
          <w:color w:val="000000"/>
          <w:sz w:val="28"/>
          <w:szCs w:val="28"/>
        </w:rPr>
        <w:t>709851</w:t>
      </w:r>
    </w:p>
    <w:p w:rsidR="009E154B" w:rsidRDefault="0010144B" w:rsidP="00BC41C0">
      <w:pPr>
        <w:pStyle w:val="Header"/>
        <w:tabs>
          <w:tab w:val="left" w:pos="2445"/>
        </w:tabs>
        <w:rPr>
          <w:bCs/>
          <w:color w:val="000000"/>
          <w:sz w:val="28"/>
          <w:szCs w:val="28"/>
          <w:lang w:val="en-US"/>
        </w:rPr>
      </w:pPr>
      <w:r>
        <w:rPr>
          <w:bCs/>
          <w:color w:val="000000"/>
          <w:sz w:val="28"/>
          <w:szCs w:val="28"/>
          <w:lang w:val="en-US"/>
        </w:rPr>
        <w:t>Nagoya, Japan</w:t>
      </w:r>
    </w:p>
    <w:p w:rsidR="009E154B" w:rsidRPr="00101904" w:rsidRDefault="00BC41C0" w:rsidP="009E154B">
      <w:pPr>
        <w:pStyle w:val="Header"/>
        <w:rPr>
          <w:bCs/>
          <w:color w:val="FF0000"/>
          <w:sz w:val="28"/>
          <w:szCs w:val="28"/>
        </w:rPr>
      </w:pPr>
      <w:r>
        <w:rPr>
          <w:bCs/>
          <w:color w:val="000000"/>
          <w:sz w:val="28"/>
          <w:szCs w:val="28"/>
        </w:rPr>
        <w:t>September</w:t>
      </w:r>
      <w:r w:rsidR="003D5CD7">
        <w:rPr>
          <w:bCs/>
          <w:color w:val="000000"/>
          <w:sz w:val="28"/>
          <w:szCs w:val="28"/>
        </w:rPr>
        <w:t xml:space="preserve"> </w:t>
      </w:r>
      <w:r>
        <w:rPr>
          <w:bCs/>
          <w:color w:val="000000"/>
          <w:sz w:val="28"/>
          <w:szCs w:val="28"/>
        </w:rPr>
        <w:t>18-22</w:t>
      </w:r>
      <w:r w:rsidR="00071314">
        <w:rPr>
          <w:bCs/>
          <w:color w:val="000000"/>
          <w:sz w:val="28"/>
          <w:szCs w:val="28"/>
        </w:rPr>
        <w:t>, 201</w:t>
      </w:r>
      <w:r>
        <w:rPr>
          <w:bCs/>
          <w:color w:val="000000"/>
          <w:sz w:val="28"/>
          <w:szCs w:val="28"/>
        </w:rPr>
        <w:t>7</w:t>
      </w:r>
    </w:p>
    <w:p w:rsidR="006252B6" w:rsidRDefault="006252B6" w:rsidP="004D1E8C">
      <w:pPr>
        <w:pBdr>
          <w:top w:val="single" w:sz="4" w:space="1" w:color="auto"/>
        </w:pBdr>
        <w:spacing w:before="120"/>
        <w:ind w:left="1800" w:hanging="1800"/>
        <w:rPr>
          <w:rFonts w:ascii="Arial" w:hAnsi="Arial" w:cs="Arial"/>
          <w:b/>
          <w:szCs w:val="24"/>
        </w:rPr>
      </w:pPr>
    </w:p>
    <w:p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0010144B" w:rsidRPr="0010144B">
        <w:rPr>
          <w:rFonts w:ascii="Arial" w:hAnsi="Arial" w:cs="Arial"/>
          <w:b/>
          <w:szCs w:val="24"/>
        </w:rPr>
        <w:t>3.3.3.3.2</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10144B" w:rsidRPr="0010144B">
        <w:rPr>
          <w:bCs/>
          <w:sz w:val="24"/>
          <w:szCs w:val="24"/>
        </w:rPr>
        <w:t xml:space="preserve">Considerations for </w:t>
      </w:r>
      <w:r w:rsidR="003D0AB0">
        <w:rPr>
          <w:bCs/>
          <w:sz w:val="24"/>
          <w:szCs w:val="24"/>
        </w:rPr>
        <w:t>Almost Contiguous</w:t>
      </w:r>
      <w:r w:rsidR="0010144B" w:rsidRPr="0010144B">
        <w:rPr>
          <w:bCs/>
          <w:sz w:val="24"/>
          <w:szCs w:val="24"/>
        </w:rPr>
        <w:t xml:space="preserve"> MPR</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5E0F70">
        <w:rPr>
          <w:rFonts w:ascii="Arial" w:hAnsi="Arial"/>
          <w:b/>
          <w:color w:val="000000"/>
        </w:rPr>
        <w:t xml:space="preserve">ument for:   </w:t>
      </w:r>
      <w:r w:rsidR="00151F6D">
        <w:rPr>
          <w:rFonts w:ascii="Arial" w:hAnsi="Arial"/>
          <w:b/>
          <w:color w:val="000000"/>
        </w:rPr>
        <w:t>Discussion</w:t>
      </w:r>
    </w:p>
    <w:bookmarkEnd w:id="0"/>
    <w:p w:rsidR="00900DAE" w:rsidRPr="008F18C6" w:rsidRDefault="00900DAE" w:rsidP="008F18C6">
      <w:pPr>
        <w:pStyle w:val="Heading1"/>
        <w:spacing w:after="120"/>
        <w:jc w:val="both"/>
        <w:rPr>
          <w:b/>
          <w:color w:val="000000"/>
        </w:rPr>
      </w:pPr>
      <w:r w:rsidRPr="008F18C6">
        <w:rPr>
          <w:b/>
          <w:color w:val="000000"/>
        </w:rPr>
        <w:t>Introduction</w:t>
      </w:r>
    </w:p>
    <w:p w:rsidR="00FD2848" w:rsidRDefault="005A333F" w:rsidP="005A333F">
      <w:pPr>
        <w:shd w:val="clear" w:color="auto" w:fill="FFFFFF"/>
        <w:rPr>
          <w:rFonts w:eastAsia="Times New Roman"/>
          <w:color w:val="222222"/>
        </w:rPr>
      </w:pPr>
      <w:r w:rsidRPr="005A333F">
        <w:rPr>
          <w:rFonts w:eastAsia="Times New Roman"/>
          <w:color w:val="222222"/>
        </w:rPr>
        <w:t>In recent meetings, several contributions</w:t>
      </w:r>
      <w:r w:rsidR="00796374">
        <w:rPr>
          <w:rFonts w:eastAsia="Times New Roman"/>
          <w:color w:val="222222"/>
        </w:rPr>
        <w:t xml:space="preserve"> [1</w:t>
      </w:r>
      <w:proofErr w:type="gramStart"/>
      <w:r w:rsidR="00796374">
        <w:rPr>
          <w:rFonts w:eastAsia="Times New Roman"/>
          <w:color w:val="222222"/>
        </w:rPr>
        <w:t>,</w:t>
      </w:r>
      <w:r w:rsidR="00655E74">
        <w:rPr>
          <w:rFonts w:eastAsia="Times New Roman"/>
          <w:color w:val="222222"/>
        </w:rPr>
        <w:t>2</w:t>
      </w:r>
      <w:proofErr w:type="gramEnd"/>
      <w:r w:rsidR="00655E74">
        <w:rPr>
          <w:rFonts w:eastAsia="Times New Roman"/>
          <w:color w:val="222222"/>
        </w:rPr>
        <w:t xml:space="preserve">] </w:t>
      </w:r>
      <w:r w:rsidRPr="005A333F">
        <w:rPr>
          <w:rFonts w:eastAsia="Times New Roman"/>
          <w:color w:val="222222"/>
        </w:rPr>
        <w:t>have addresse</w:t>
      </w:r>
      <w:r>
        <w:rPr>
          <w:rFonts w:eastAsia="Times New Roman"/>
          <w:color w:val="222222"/>
        </w:rPr>
        <w:t xml:space="preserve">d the </w:t>
      </w:r>
      <w:r w:rsidR="00FD2848">
        <w:rPr>
          <w:rFonts w:eastAsia="Times New Roman"/>
          <w:color w:val="222222"/>
        </w:rPr>
        <w:t>issue</w:t>
      </w:r>
      <w:r>
        <w:rPr>
          <w:rFonts w:eastAsia="Times New Roman"/>
          <w:color w:val="222222"/>
        </w:rPr>
        <w:t xml:space="preserve"> of the</w:t>
      </w:r>
      <w:r w:rsidRPr="005A333F">
        <w:rPr>
          <w:rFonts w:eastAsia="Times New Roman"/>
          <w:color w:val="222222"/>
        </w:rPr>
        <w:t xml:space="preserve"> PUCCH</w:t>
      </w:r>
      <w:r w:rsidR="00FD2848">
        <w:rPr>
          <w:rFonts w:eastAsia="Times New Roman"/>
          <w:color w:val="222222"/>
        </w:rPr>
        <w:t xml:space="preserve"> region of narrow bandwidth</w:t>
      </w:r>
      <w:r>
        <w:rPr>
          <w:rFonts w:eastAsia="Times New Roman"/>
          <w:color w:val="222222"/>
        </w:rPr>
        <w:t xml:space="preserve"> </w:t>
      </w:r>
      <w:r w:rsidRPr="005A333F">
        <w:rPr>
          <w:rFonts w:eastAsia="Times New Roman"/>
          <w:color w:val="222222"/>
        </w:rPr>
        <w:t>UE's blocking large contiguous all</w:t>
      </w:r>
      <w:r w:rsidR="00FD2848">
        <w:rPr>
          <w:rFonts w:eastAsia="Times New Roman"/>
          <w:color w:val="222222"/>
        </w:rPr>
        <w:t>ocations for wide bandwidth</w:t>
      </w:r>
      <w:r>
        <w:rPr>
          <w:rFonts w:eastAsia="Times New Roman"/>
          <w:color w:val="222222"/>
        </w:rPr>
        <w:t xml:space="preserve"> UE's</w:t>
      </w:r>
      <w:r w:rsidR="00796374">
        <w:rPr>
          <w:rFonts w:eastAsia="Times New Roman"/>
          <w:color w:val="222222"/>
        </w:rPr>
        <w:t xml:space="preserve"> within the same carrier</w:t>
      </w:r>
      <w:r>
        <w:rPr>
          <w:rFonts w:eastAsia="Times New Roman"/>
          <w:color w:val="222222"/>
        </w:rPr>
        <w:t xml:space="preserve">.  </w:t>
      </w:r>
      <w:r w:rsidR="00796374">
        <w:rPr>
          <w:rFonts w:eastAsia="Times New Roman"/>
          <w:color w:val="222222"/>
        </w:rPr>
        <w:t>If MPR is</w:t>
      </w:r>
      <w:r>
        <w:rPr>
          <w:rFonts w:eastAsia="Times New Roman"/>
          <w:color w:val="222222"/>
        </w:rPr>
        <w:t xml:space="preserve"> </w:t>
      </w:r>
      <w:r w:rsidR="00655E74">
        <w:rPr>
          <w:rFonts w:eastAsia="Times New Roman"/>
          <w:color w:val="222222"/>
        </w:rPr>
        <w:t xml:space="preserve">only defined for </w:t>
      </w:r>
      <w:r w:rsidR="00FD2848">
        <w:rPr>
          <w:rFonts w:eastAsia="Times New Roman"/>
          <w:color w:val="222222"/>
        </w:rPr>
        <w:t xml:space="preserve">contiguous </w:t>
      </w:r>
      <w:r w:rsidRPr="005A333F">
        <w:rPr>
          <w:rFonts w:eastAsia="Times New Roman"/>
          <w:color w:val="222222"/>
        </w:rPr>
        <w:t xml:space="preserve">RB allocations, then both the peak and average </w:t>
      </w:r>
      <w:r w:rsidR="00FD2848">
        <w:rPr>
          <w:rFonts w:eastAsia="Times New Roman"/>
          <w:color w:val="222222"/>
        </w:rPr>
        <w:t>uplink data rate of the wide bandwidth</w:t>
      </w:r>
      <w:r w:rsidR="00655E74">
        <w:rPr>
          <w:rFonts w:eastAsia="Times New Roman"/>
          <w:color w:val="222222"/>
        </w:rPr>
        <w:t xml:space="preserve"> UE is</w:t>
      </w:r>
      <w:r w:rsidRPr="005A333F">
        <w:rPr>
          <w:rFonts w:eastAsia="Times New Roman"/>
          <w:color w:val="222222"/>
        </w:rPr>
        <w:t xml:space="preserve"> greatly reduced</w:t>
      </w:r>
      <w:r w:rsidR="00655E74">
        <w:rPr>
          <w:rFonts w:eastAsia="Times New Roman"/>
          <w:color w:val="222222"/>
        </w:rPr>
        <w:t xml:space="preserve">. </w:t>
      </w:r>
      <w:r w:rsidRPr="005A333F">
        <w:rPr>
          <w:rFonts w:eastAsia="Times New Roman"/>
          <w:color w:val="222222"/>
        </w:rPr>
        <w:t xml:space="preserve"> In order to avoid this limitation on the peak and average uplink data throughput, it has been proposed</w:t>
      </w:r>
      <w:r w:rsidR="00796374">
        <w:rPr>
          <w:rFonts w:eastAsia="Times New Roman"/>
          <w:color w:val="222222"/>
        </w:rPr>
        <w:t xml:space="preserve"> in [1</w:t>
      </w:r>
      <w:proofErr w:type="gramStart"/>
      <w:r w:rsidR="00796374">
        <w:rPr>
          <w:rFonts w:eastAsia="Times New Roman"/>
          <w:color w:val="222222"/>
        </w:rPr>
        <w:t>,2</w:t>
      </w:r>
      <w:proofErr w:type="gramEnd"/>
      <w:r w:rsidR="00796374">
        <w:rPr>
          <w:rFonts w:eastAsia="Times New Roman"/>
          <w:color w:val="222222"/>
        </w:rPr>
        <w:t>]</w:t>
      </w:r>
      <w:r w:rsidRPr="005A333F">
        <w:rPr>
          <w:rFonts w:eastAsia="Times New Roman"/>
          <w:color w:val="222222"/>
        </w:rPr>
        <w:t xml:space="preserve"> that</w:t>
      </w:r>
      <w:r>
        <w:rPr>
          <w:rFonts w:eastAsia="Times New Roman"/>
          <w:color w:val="222222"/>
        </w:rPr>
        <w:t xml:space="preserve"> </w:t>
      </w:r>
      <w:r w:rsidR="003D0AB0">
        <w:rPr>
          <w:rFonts w:eastAsia="Times New Roman"/>
          <w:color w:val="222222"/>
        </w:rPr>
        <w:t>almost contiguous</w:t>
      </w:r>
      <w:r w:rsidRPr="005A333F">
        <w:rPr>
          <w:rFonts w:eastAsia="Times New Roman"/>
          <w:color w:val="222222"/>
        </w:rPr>
        <w:t xml:space="preserve"> allocations be allowed and that corresponding MPR be defined for these allocations.</w:t>
      </w:r>
      <w:r>
        <w:rPr>
          <w:rFonts w:eastAsia="Times New Roman"/>
          <w:color w:val="222222"/>
        </w:rPr>
        <w:t xml:space="preserve"> </w:t>
      </w:r>
      <w:r w:rsidRPr="005A333F">
        <w:rPr>
          <w:rFonts w:eastAsia="Times New Roman"/>
          <w:color w:val="222222"/>
        </w:rPr>
        <w:t>In [</w:t>
      </w:r>
      <w:r w:rsidR="00655E74">
        <w:rPr>
          <w:rFonts w:eastAsia="Times New Roman"/>
          <w:color w:val="222222"/>
        </w:rPr>
        <w:t>2</w:t>
      </w:r>
      <w:r w:rsidRPr="005A333F">
        <w:rPr>
          <w:rFonts w:eastAsia="Times New Roman"/>
          <w:color w:val="222222"/>
        </w:rPr>
        <w:t xml:space="preserve">], it has been proposed that no additional MPR be allowed for these </w:t>
      </w:r>
      <w:r w:rsidR="003D0AB0">
        <w:rPr>
          <w:rFonts w:eastAsia="Times New Roman"/>
          <w:color w:val="222222"/>
        </w:rPr>
        <w:t>almost contiguous</w:t>
      </w:r>
      <w:r w:rsidRPr="005A333F">
        <w:rPr>
          <w:rFonts w:eastAsia="Times New Roman"/>
          <w:color w:val="222222"/>
        </w:rPr>
        <w:t xml:space="preserve"> allocations.</w:t>
      </w:r>
    </w:p>
    <w:p w:rsidR="005A333F" w:rsidRPr="005A333F" w:rsidRDefault="005A333F" w:rsidP="005A333F">
      <w:pPr>
        <w:shd w:val="clear" w:color="auto" w:fill="FFFFFF"/>
        <w:rPr>
          <w:rFonts w:eastAsia="Times New Roman"/>
          <w:color w:val="222222"/>
        </w:rPr>
      </w:pPr>
      <w:r w:rsidRPr="005A333F">
        <w:rPr>
          <w:rFonts w:eastAsia="Times New Roman"/>
          <w:color w:val="222222"/>
        </w:rPr>
        <w:tab/>
      </w:r>
      <w:r w:rsidRPr="005A333F">
        <w:rPr>
          <w:rFonts w:eastAsia="Times New Roman"/>
          <w:color w:val="222222"/>
        </w:rPr>
        <w:tab/>
      </w:r>
      <w:r w:rsidRPr="005A333F">
        <w:rPr>
          <w:rFonts w:eastAsia="Times New Roman"/>
          <w:color w:val="222222"/>
        </w:rPr>
        <w:tab/>
      </w:r>
      <w:r w:rsidRPr="005A333F">
        <w:rPr>
          <w:rFonts w:eastAsia="Times New Roman"/>
          <w:color w:val="222222"/>
        </w:rPr>
        <w:tab/>
      </w:r>
    </w:p>
    <w:p w:rsidR="005A333F" w:rsidRPr="005A333F" w:rsidRDefault="005A333F" w:rsidP="005A333F">
      <w:pPr>
        <w:shd w:val="clear" w:color="auto" w:fill="FFFFFF"/>
        <w:rPr>
          <w:rFonts w:eastAsia="Times New Roman"/>
          <w:color w:val="222222"/>
        </w:rPr>
      </w:pPr>
      <w:r w:rsidRPr="005A333F">
        <w:rPr>
          <w:rFonts w:eastAsia="Times New Roman"/>
          <w:color w:val="222222"/>
        </w:rPr>
        <w:t xml:space="preserve">A similar problem with PUCCH blocking occurs in LTE with contiguous uplink carrier </w:t>
      </w:r>
      <w:r>
        <w:rPr>
          <w:rFonts w:eastAsia="Times New Roman"/>
          <w:color w:val="222222"/>
        </w:rPr>
        <w:t xml:space="preserve">aggregation and was discussed </w:t>
      </w:r>
      <w:r w:rsidR="00FD2848">
        <w:rPr>
          <w:rFonts w:eastAsia="Times New Roman"/>
          <w:color w:val="222222"/>
        </w:rPr>
        <w:t xml:space="preserve">extensively </w:t>
      </w:r>
      <w:r>
        <w:rPr>
          <w:rFonts w:eastAsia="Times New Roman"/>
          <w:color w:val="222222"/>
        </w:rPr>
        <w:t>in [</w:t>
      </w:r>
      <w:r w:rsidR="003D0AB0">
        <w:rPr>
          <w:rFonts w:eastAsia="Times New Roman"/>
          <w:color w:val="222222"/>
        </w:rPr>
        <w:t>3-9</w:t>
      </w:r>
      <w:r>
        <w:rPr>
          <w:rFonts w:eastAsia="Times New Roman"/>
          <w:color w:val="222222"/>
        </w:rPr>
        <w:t>]</w:t>
      </w:r>
      <w:r w:rsidR="00655E74">
        <w:rPr>
          <w:rFonts w:eastAsia="Times New Roman"/>
          <w:color w:val="222222"/>
        </w:rPr>
        <w:t>.</w:t>
      </w:r>
      <w:r w:rsidR="00796374">
        <w:rPr>
          <w:rFonts w:eastAsia="Times New Roman"/>
          <w:color w:val="222222"/>
        </w:rPr>
        <w:t xml:space="preserve"> </w:t>
      </w:r>
      <w:r>
        <w:rPr>
          <w:rFonts w:eastAsia="Times New Roman"/>
          <w:color w:val="222222"/>
        </w:rPr>
        <w:t xml:space="preserve">In this </w:t>
      </w:r>
      <w:r w:rsidRPr="005A333F">
        <w:rPr>
          <w:rFonts w:eastAsia="Times New Roman"/>
          <w:color w:val="222222"/>
        </w:rPr>
        <w:t xml:space="preserve">case, large contiguous allocations for </w:t>
      </w:r>
      <w:r w:rsidR="00FD2848">
        <w:rPr>
          <w:rFonts w:eastAsia="Times New Roman"/>
          <w:color w:val="222222"/>
        </w:rPr>
        <w:t>the UE configured for carrier aggregation are</w:t>
      </w:r>
      <w:r w:rsidRPr="005A333F">
        <w:rPr>
          <w:rFonts w:eastAsia="Times New Roman"/>
          <w:color w:val="222222"/>
        </w:rPr>
        <w:t xml:space="preserve"> blocked by the PUCCH regio</w:t>
      </w:r>
      <w:r>
        <w:rPr>
          <w:rFonts w:eastAsia="Times New Roman"/>
          <w:color w:val="222222"/>
        </w:rPr>
        <w:t xml:space="preserve">n of the non-CA UE's.  </w:t>
      </w:r>
      <w:r w:rsidRPr="005A333F">
        <w:rPr>
          <w:rFonts w:eastAsia="Times New Roman"/>
          <w:color w:val="222222"/>
        </w:rPr>
        <w:t>For LTE</w:t>
      </w:r>
      <w:r w:rsidR="00FD2848">
        <w:rPr>
          <w:rFonts w:eastAsia="Times New Roman"/>
          <w:color w:val="222222"/>
        </w:rPr>
        <w:t xml:space="preserve">, </w:t>
      </w:r>
      <w:r w:rsidRPr="005A333F">
        <w:rPr>
          <w:rFonts w:eastAsia="Times New Roman"/>
          <w:color w:val="222222"/>
        </w:rPr>
        <w:t>non-contiguous allocations are allowed using non-contiguous A-MPR</w:t>
      </w:r>
      <w:r w:rsidR="00FD2848">
        <w:rPr>
          <w:rFonts w:eastAsia="Times New Roman"/>
          <w:color w:val="222222"/>
        </w:rPr>
        <w:t xml:space="preserve">, but the non-contiguous A-MPR is typically much larger than the A-MPR for the smallest contiguous allocation containing the non-contiguous allocation. </w:t>
      </w:r>
      <w:r w:rsidRPr="005A333F">
        <w:rPr>
          <w:rFonts w:eastAsia="Times New Roman"/>
          <w:color w:val="222222"/>
        </w:rPr>
        <w:t xml:space="preserve">For this reason, </w:t>
      </w:r>
      <w:r w:rsidR="003D0AB0">
        <w:rPr>
          <w:rFonts w:eastAsia="Times New Roman"/>
          <w:color w:val="222222"/>
        </w:rPr>
        <w:t>almost contiguous</w:t>
      </w:r>
      <w:r>
        <w:rPr>
          <w:rFonts w:eastAsia="Times New Roman"/>
          <w:color w:val="222222"/>
        </w:rPr>
        <w:t xml:space="preserve"> A-MPR was proposed and evaluated in [</w:t>
      </w:r>
      <w:r w:rsidR="0008793E">
        <w:rPr>
          <w:rFonts w:eastAsia="Times New Roman"/>
          <w:color w:val="222222"/>
        </w:rPr>
        <w:t>3-9</w:t>
      </w:r>
      <w:r>
        <w:rPr>
          <w:rFonts w:eastAsia="Times New Roman"/>
          <w:color w:val="222222"/>
        </w:rPr>
        <w:t>].</w:t>
      </w:r>
      <w:r w:rsidRPr="005A333F">
        <w:rPr>
          <w:rFonts w:eastAsia="Times New Roman"/>
          <w:color w:val="222222"/>
        </w:rPr>
        <w:tab/>
      </w:r>
    </w:p>
    <w:p w:rsidR="005A333F" w:rsidRDefault="005A333F" w:rsidP="005A333F">
      <w:pPr>
        <w:shd w:val="clear" w:color="auto" w:fill="FFFFFF"/>
        <w:rPr>
          <w:rFonts w:eastAsia="Times New Roman"/>
          <w:color w:val="222222"/>
        </w:rPr>
      </w:pPr>
      <w:r w:rsidRPr="005A333F">
        <w:rPr>
          <w:rFonts w:eastAsia="Times New Roman"/>
          <w:color w:val="222222"/>
        </w:rPr>
        <w:t xml:space="preserve">In this contribution, we briefly review the previous proposal defining A-MPR </w:t>
      </w:r>
      <w:r>
        <w:rPr>
          <w:rFonts w:eastAsia="Times New Roman"/>
          <w:color w:val="222222"/>
        </w:rPr>
        <w:t xml:space="preserve">for </w:t>
      </w:r>
      <w:r w:rsidR="003D0AB0">
        <w:rPr>
          <w:rFonts w:eastAsia="Times New Roman"/>
          <w:color w:val="222222"/>
        </w:rPr>
        <w:t>almost contiguous</w:t>
      </w:r>
      <w:r>
        <w:rPr>
          <w:rFonts w:eastAsia="Times New Roman"/>
          <w:color w:val="222222"/>
        </w:rPr>
        <w:t xml:space="preserve"> </w:t>
      </w:r>
      <w:r w:rsidR="00655E74">
        <w:rPr>
          <w:rFonts w:eastAsia="Times New Roman"/>
          <w:color w:val="222222"/>
        </w:rPr>
        <w:t xml:space="preserve">allocations </w:t>
      </w:r>
      <w:r w:rsidRPr="005A333F">
        <w:rPr>
          <w:rFonts w:eastAsia="Times New Roman"/>
          <w:color w:val="222222"/>
        </w:rPr>
        <w:t xml:space="preserve">and explain </w:t>
      </w:r>
      <w:r w:rsidR="00655E74">
        <w:rPr>
          <w:rFonts w:eastAsia="Times New Roman"/>
          <w:color w:val="222222"/>
        </w:rPr>
        <w:t>the rationale for the proposal</w:t>
      </w:r>
      <w:r w:rsidRPr="005A333F">
        <w:rPr>
          <w:rFonts w:eastAsia="Times New Roman"/>
          <w:color w:val="222222"/>
        </w:rPr>
        <w:t>.  We also review some of the</w:t>
      </w:r>
      <w:r>
        <w:rPr>
          <w:rFonts w:eastAsia="Times New Roman"/>
          <w:color w:val="222222"/>
        </w:rPr>
        <w:t xml:space="preserve"> previous simulations </w:t>
      </w:r>
      <w:r w:rsidRPr="005A333F">
        <w:rPr>
          <w:rFonts w:eastAsia="Times New Roman"/>
          <w:color w:val="222222"/>
        </w:rPr>
        <w:t xml:space="preserve">results comparing the proposed A-MPR relaxation with the observed increase in </w:t>
      </w:r>
      <w:r w:rsidR="004E2414">
        <w:rPr>
          <w:rFonts w:eastAsia="Times New Roman"/>
          <w:color w:val="222222"/>
        </w:rPr>
        <w:t>the needed A-</w:t>
      </w:r>
      <w:r w:rsidRPr="005A333F">
        <w:rPr>
          <w:rFonts w:eastAsia="Times New Roman"/>
          <w:color w:val="222222"/>
        </w:rPr>
        <w:t>MPR.  It should be noted,</w:t>
      </w:r>
      <w:r>
        <w:rPr>
          <w:rFonts w:eastAsia="Times New Roman"/>
          <w:color w:val="222222"/>
        </w:rPr>
        <w:t xml:space="preserve"> </w:t>
      </w:r>
      <w:r w:rsidRPr="005A333F">
        <w:rPr>
          <w:rFonts w:eastAsia="Times New Roman"/>
          <w:color w:val="222222"/>
        </w:rPr>
        <w:t>however, that these previous simulation results are for the case of DFT</w:t>
      </w:r>
      <w:r w:rsidR="003D0AB0">
        <w:rPr>
          <w:rFonts w:eastAsia="Times New Roman"/>
          <w:color w:val="222222"/>
        </w:rPr>
        <w:t>-</w:t>
      </w:r>
      <w:r w:rsidRPr="005A333F">
        <w:rPr>
          <w:rFonts w:eastAsia="Times New Roman"/>
          <w:color w:val="222222"/>
        </w:rPr>
        <w:t>spread OFDM and not for</w:t>
      </w:r>
      <w:r w:rsidR="00655E74">
        <w:rPr>
          <w:rFonts w:eastAsia="Times New Roman"/>
          <w:color w:val="222222"/>
        </w:rPr>
        <w:t xml:space="preserve"> CP-OFDM</w:t>
      </w:r>
    </w:p>
    <w:p w:rsidR="00655E74" w:rsidRPr="0008793E" w:rsidRDefault="00FD2848" w:rsidP="00655E74">
      <w:pPr>
        <w:pStyle w:val="Heading1"/>
        <w:spacing w:after="120"/>
        <w:rPr>
          <w:b/>
          <w:color w:val="000000"/>
        </w:rPr>
      </w:pPr>
      <w:r>
        <w:rPr>
          <w:b/>
          <w:color w:val="000000"/>
        </w:rPr>
        <w:t>Background</w:t>
      </w:r>
    </w:p>
    <w:p w:rsidR="005A333F" w:rsidRDefault="00796374" w:rsidP="005A333F">
      <w:r>
        <w:t xml:space="preserve">The problem is described in </w:t>
      </w:r>
      <w:r w:rsidR="00FD2848">
        <w:t>Figure 1 taken from [1]</w:t>
      </w:r>
      <w:r>
        <w:t xml:space="preserve"> in which narrow bandwidth and wide bandwidth UE’ co-exist within the same channel as shown below.  Due to the PUCCH</w:t>
      </w:r>
      <w:r w:rsidR="00124998">
        <w:t xml:space="preserve"> transmission of the </w:t>
      </w:r>
    </w:p>
    <w:p w:rsidR="005A333F" w:rsidRPr="005A333F" w:rsidRDefault="005A333F" w:rsidP="005A333F"/>
    <w:p w:rsidR="005A333F" w:rsidRDefault="004C127D" w:rsidP="005A333F">
      <w:pPr>
        <w:jc w:val="center"/>
      </w:pPr>
      <w:r w:rsidRPr="00A03265">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54.25pt;height:146.2pt;visibility:visible;mso-wrap-style:square">
            <v:imagedata r:id="rId7" o:title=""/>
          </v:shape>
        </w:pict>
      </w:r>
    </w:p>
    <w:p w:rsidR="005A333F" w:rsidRPr="00345EFB" w:rsidRDefault="005A333F" w:rsidP="005A333F">
      <w:pPr>
        <w:jc w:val="center"/>
        <w:rPr>
          <w:b/>
        </w:rPr>
      </w:pPr>
      <w:r>
        <w:rPr>
          <w:b/>
        </w:rPr>
        <w:t>Figure 1: Non-contiguous PUSCH scenarios from [1]</w:t>
      </w:r>
    </w:p>
    <w:p w:rsidR="005A333F" w:rsidRPr="005A333F" w:rsidRDefault="005A333F" w:rsidP="005A333F"/>
    <w:p w:rsidR="00124998" w:rsidRDefault="00FD2848" w:rsidP="00F950EE">
      <w:proofErr w:type="gramStart"/>
      <w:r>
        <w:lastRenderedPageBreak/>
        <w:t>narrow</w:t>
      </w:r>
      <w:proofErr w:type="gramEnd"/>
      <w:r>
        <w:t xml:space="preserve"> bandwidth UE, the largest </w:t>
      </w:r>
      <w:r w:rsidR="00124998">
        <w:t>contiguous allocation for the wider bandwidth UE is limited to the larger of the two bandwidth parts as is shown in Figure 1.  S</w:t>
      </w:r>
      <w:r w:rsidR="00133186">
        <w:t>ince MPR is not to be defined for non-contiguous allocations, this is the largest uplink allocation the wide bandwidth UE can be given.  As a result, PUCCH blocking due to the narrow bandwidth UE limits both the peak and average bandwidth of the wide bandwidth UE.</w:t>
      </w:r>
    </w:p>
    <w:p w:rsidR="00133186" w:rsidRDefault="00133186" w:rsidP="00F950EE"/>
    <w:p w:rsidR="00875DEB" w:rsidRDefault="00133186" w:rsidP="00F950EE">
      <w:r>
        <w:t>A similar problem exists for LTE contiguous carrier aggregation in which the PUCCH region of the component carrier blocks contiguous uplink allocations spanning the boundary between component carriers for the UE configured for carrier aggregation as shown in Figure 2.</w:t>
      </w:r>
    </w:p>
    <w:p w:rsidR="00587B92" w:rsidRDefault="004C127D" w:rsidP="00587B92">
      <w:r>
        <w:pict>
          <v:shape id="_x0000_i1026" type="#_x0000_t75" style="width:498.25pt;height:113.95pt">
            <v:imagedata r:id="rId8" o:title=""/>
          </v:shape>
        </w:pict>
      </w:r>
    </w:p>
    <w:p w:rsidR="00587B92" w:rsidRDefault="00587B92" w:rsidP="00587B92">
      <w:pPr>
        <w:jc w:val="center"/>
      </w:pPr>
      <w:r w:rsidRPr="00D80D7C">
        <w:rPr>
          <w:b/>
          <w:sz w:val="22"/>
        </w:rPr>
        <w:t xml:space="preserve">Figure </w:t>
      </w:r>
      <w:r>
        <w:rPr>
          <w:b/>
          <w:sz w:val="22"/>
        </w:rPr>
        <w:t>2</w:t>
      </w:r>
      <w:r w:rsidRPr="00D80D7C">
        <w:rPr>
          <w:b/>
          <w:sz w:val="22"/>
        </w:rPr>
        <w:t xml:space="preserve">:  </w:t>
      </w:r>
      <w:r>
        <w:rPr>
          <w:b/>
          <w:sz w:val="22"/>
        </w:rPr>
        <w:t>A non-contiguous resource allocation over two aggregated component carriers</w:t>
      </w:r>
    </w:p>
    <w:p w:rsidR="00133186" w:rsidRDefault="00133186" w:rsidP="00F950EE"/>
    <w:p w:rsidR="00133186" w:rsidRDefault="00133186" w:rsidP="00133186">
      <w:pPr>
        <w:tabs>
          <w:tab w:val="left" w:pos="3090"/>
          <w:tab w:val="left" w:pos="7770"/>
        </w:tabs>
        <w:rPr>
          <w:bCs/>
        </w:rPr>
      </w:pPr>
      <w:r>
        <w:t>In previous contributions, it was proposed A-MPR be defined for RB allocations</w:t>
      </w:r>
      <w:r w:rsidR="00E6257E">
        <w:t xml:space="preserve"> crossing the boundary between component carriers that were contiguous except for the puncturing of RB’s due to the PUCCH regions at the edges of the component</w:t>
      </w:r>
      <w:r w:rsidR="00AD4961">
        <w:t xml:space="preserve"> carriers.  The punctured allocations were referred to as “</w:t>
      </w:r>
      <w:r w:rsidR="003D0AB0">
        <w:t>almost contiguous</w:t>
      </w:r>
      <w:r w:rsidR="00AD4961">
        <w:t>” allocations.</w:t>
      </w:r>
      <w:r w:rsidR="00587B92">
        <w:t xml:space="preserve">  </w:t>
      </w:r>
      <w:r w:rsidR="00875DEB">
        <w:t xml:space="preserve">The </w:t>
      </w:r>
      <w:r w:rsidR="003D0AB0">
        <w:t>almost contiguous</w:t>
      </w:r>
      <w:r w:rsidR="00587B92">
        <w:t xml:space="preserve"> </w:t>
      </w:r>
      <w:r w:rsidR="004C127D">
        <w:t>A-</w:t>
      </w:r>
      <w:r w:rsidR="00587B92">
        <w:t>MPR</w:t>
      </w:r>
      <w:r w:rsidR="008331AE">
        <w:t xml:space="preserve"> proposed</w:t>
      </w:r>
      <w:r w:rsidR="00587B92">
        <w:t xml:space="preserve"> </w:t>
      </w:r>
      <w:r w:rsidR="00875DEB">
        <w:t>in</w:t>
      </w:r>
      <w:r w:rsidR="00875DEB">
        <w:rPr>
          <w:bCs/>
        </w:rPr>
        <w:t xml:space="preserve"> </w:t>
      </w:r>
      <w:r w:rsidR="004C127D">
        <w:rPr>
          <w:bCs/>
        </w:rPr>
        <w:t>[3]</w:t>
      </w:r>
      <w:r w:rsidR="00875DEB">
        <w:rPr>
          <w:bCs/>
        </w:rPr>
        <w:t xml:space="preserve"> was given by</w:t>
      </w:r>
    </w:p>
    <w:p w:rsidR="008331AE" w:rsidRDefault="008331AE" w:rsidP="00133186">
      <w:pPr>
        <w:tabs>
          <w:tab w:val="left" w:pos="3090"/>
          <w:tab w:val="left" w:pos="7770"/>
        </w:tabs>
        <w:rPr>
          <w:bCs/>
        </w:rPr>
      </w:pPr>
    </w:p>
    <w:p w:rsidR="00875DEB" w:rsidRPr="002D349C" w:rsidRDefault="00875DEB" w:rsidP="008331AE">
      <w:pPr>
        <w:jc w:val="center"/>
        <w:rPr>
          <w:rFonts w:eastAsia="Batang"/>
          <w:sz w:val="22"/>
          <w:szCs w:val="22"/>
          <w:lang w:eastAsia="ko-KR"/>
        </w:rPr>
      </w:pPr>
      <w:proofErr w:type="spellStart"/>
      <w:r w:rsidRPr="002D349C">
        <w:rPr>
          <w:rFonts w:eastAsia="Batang"/>
          <w:b/>
          <w:sz w:val="22"/>
          <w:szCs w:val="22"/>
          <w:lang w:eastAsia="ko-KR"/>
        </w:rPr>
        <w:t>A_MPR_almost_co</w:t>
      </w:r>
      <w:r w:rsidRPr="002D349C">
        <w:rPr>
          <w:rFonts w:eastAsia="Batang"/>
          <w:sz w:val="22"/>
          <w:szCs w:val="22"/>
          <w:lang w:eastAsia="ko-KR"/>
        </w:rPr>
        <w:t>ntig</w:t>
      </w:r>
      <w:proofErr w:type="spellEnd"/>
      <w:r w:rsidRPr="002D349C">
        <w:rPr>
          <w:rFonts w:eastAsia="Batang"/>
          <w:sz w:val="22"/>
          <w:szCs w:val="22"/>
          <w:lang w:eastAsia="ko-KR"/>
        </w:rPr>
        <w:t xml:space="preserve"> = </w:t>
      </w:r>
      <w:proofErr w:type="spellStart"/>
      <w:r w:rsidRPr="002D349C">
        <w:rPr>
          <w:rFonts w:eastAsia="Batang"/>
          <w:b/>
          <w:sz w:val="22"/>
          <w:szCs w:val="22"/>
          <w:lang w:eastAsia="ko-KR"/>
        </w:rPr>
        <w:t>A_MPR_contig</w:t>
      </w:r>
      <w:proofErr w:type="spellEnd"/>
      <w:r w:rsidRPr="002D349C">
        <w:rPr>
          <w:rFonts w:eastAsia="Batang"/>
          <w:sz w:val="22"/>
          <w:szCs w:val="22"/>
          <w:lang w:eastAsia="ko-KR"/>
        </w:rPr>
        <w:t xml:space="preserve"> </w:t>
      </w:r>
      <w:r>
        <w:rPr>
          <w:rFonts w:eastAsia="Batang"/>
          <w:sz w:val="22"/>
          <w:szCs w:val="22"/>
          <w:lang w:eastAsia="ko-KR"/>
        </w:rPr>
        <w:t>(</w:t>
      </w:r>
      <w:proofErr w:type="spellStart"/>
      <w:r>
        <w:rPr>
          <w:rFonts w:eastAsia="Batang"/>
          <w:sz w:val="22"/>
          <w:szCs w:val="22"/>
          <w:lang w:eastAsia="ko-KR"/>
        </w:rPr>
        <w:t>RB</w:t>
      </w:r>
      <w:r>
        <w:rPr>
          <w:rFonts w:eastAsia="Batang"/>
          <w:sz w:val="22"/>
          <w:szCs w:val="22"/>
          <w:vertAlign w:val="subscript"/>
          <w:lang w:eastAsia="ko-KR"/>
        </w:rPr>
        <w:t>start</w:t>
      </w:r>
      <w:proofErr w:type="spellEnd"/>
      <w:r w:rsidR="008331AE">
        <w:rPr>
          <w:rFonts w:eastAsia="Batang"/>
          <w:sz w:val="22"/>
          <w:szCs w:val="22"/>
          <w:lang w:eastAsia="ko-KR"/>
        </w:rPr>
        <w:t xml:space="preserve">, </w:t>
      </w:r>
      <w:proofErr w:type="spellStart"/>
      <w:r w:rsidR="008331AE">
        <w:rPr>
          <w:rFonts w:eastAsia="Batang"/>
          <w:sz w:val="22"/>
          <w:szCs w:val="22"/>
          <w:lang w:eastAsia="ko-KR"/>
        </w:rPr>
        <w:t>RB</w:t>
      </w:r>
      <w:r w:rsidR="008331AE">
        <w:rPr>
          <w:rFonts w:eastAsia="Batang"/>
          <w:sz w:val="22"/>
          <w:szCs w:val="22"/>
          <w:vertAlign w:val="subscript"/>
          <w:lang w:eastAsia="ko-KR"/>
        </w:rPr>
        <w:t>end</w:t>
      </w:r>
      <w:proofErr w:type="spellEnd"/>
      <w:proofErr w:type="gramStart"/>
      <w:r w:rsidR="008331AE">
        <w:rPr>
          <w:rFonts w:eastAsia="Batang"/>
          <w:sz w:val="22"/>
          <w:szCs w:val="22"/>
          <w:lang w:eastAsia="ko-KR"/>
        </w:rPr>
        <w:t xml:space="preserve">) </w:t>
      </w:r>
      <w:proofErr w:type="gramEnd"/>
      <w:r w:rsidRPr="002D349C">
        <w:rPr>
          <w:rFonts w:eastAsia="Batang"/>
          <w:position w:val="-34"/>
          <w:sz w:val="22"/>
          <w:szCs w:val="22"/>
          <w:lang w:eastAsia="ko-KR"/>
        </w:rPr>
        <w:object w:dxaOrig="3580" w:dyaOrig="800">
          <v:shape id="_x0000_i1027" type="#_x0000_t75" style="width:179.35pt;height:39.75pt" o:ole="">
            <v:imagedata r:id="rId9" o:title=""/>
          </v:shape>
          <o:OLEObject Type="Embed" ProgID="Equation.DSMT4" ShapeID="_x0000_i1027" DrawAspect="Content" ObjectID="_1567147294" r:id="rId10"/>
        </w:object>
      </w:r>
      <w:r>
        <w:rPr>
          <w:rFonts w:eastAsia="Batang"/>
          <w:sz w:val="22"/>
          <w:szCs w:val="22"/>
          <w:lang w:eastAsia="ko-KR"/>
        </w:rPr>
        <w:t>.</w:t>
      </w:r>
    </w:p>
    <w:p w:rsidR="008331AE" w:rsidRDefault="008331AE" w:rsidP="00133186">
      <w:pPr>
        <w:tabs>
          <w:tab w:val="left" w:pos="3090"/>
          <w:tab w:val="left" w:pos="7770"/>
        </w:tabs>
      </w:pPr>
      <w:proofErr w:type="gramStart"/>
      <w:r>
        <w:t>where</w:t>
      </w:r>
      <w:proofErr w:type="gramEnd"/>
      <w:r>
        <w:t xml:space="preserve"> the added term</w:t>
      </w:r>
    </w:p>
    <w:p w:rsidR="008331AE" w:rsidRDefault="008331AE" w:rsidP="008331AE">
      <w:pPr>
        <w:tabs>
          <w:tab w:val="left" w:pos="3090"/>
          <w:tab w:val="left" w:pos="7770"/>
        </w:tabs>
        <w:jc w:val="center"/>
      </w:pPr>
      <w:r w:rsidRPr="002D349C">
        <w:rPr>
          <w:rFonts w:eastAsia="Batang"/>
          <w:position w:val="-34"/>
          <w:sz w:val="22"/>
          <w:szCs w:val="22"/>
          <w:lang w:eastAsia="ko-KR"/>
        </w:rPr>
        <w:object w:dxaOrig="3420" w:dyaOrig="800">
          <v:shape id="_x0000_i1028" type="#_x0000_t75" style="width:171.4pt;height:39.75pt" o:ole="">
            <v:imagedata r:id="rId11" o:title=""/>
          </v:shape>
          <o:OLEObject Type="Embed" ProgID="Equation.DSMT4" ShapeID="_x0000_i1028" DrawAspect="Content" ObjectID="_1567147295" r:id="rId12"/>
        </w:object>
      </w:r>
    </w:p>
    <w:p w:rsidR="00133186" w:rsidRDefault="00585E25" w:rsidP="00F950EE">
      <w:r>
        <w:t xml:space="preserve"> </w:t>
      </w:r>
    </w:p>
    <w:p w:rsidR="008331AE" w:rsidRDefault="008331AE" w:rsidP="00F950EE">
      <w:proofErr w:type="gramStart"/>
      <w:r>
        <w:t>is</w:t>
      </w:r>
      <w:proofErr w:type="gramEnd"/>
      <w:r>
        <w:t xml:space="preserve"> used so that the power spectral density of the non-contiguous resource allocation is the same as contiguous resource allocation, as is shown in Figure 3.</w:t>
      </w:r>
      <w:r w:rsidR="00585E25">
        <w:t xml:space="preserve">  If the PSD of the </w:t>
      </w:r>
      <w:r w:rsidR="003D0AB0">
        <w:t>almost contiguous</w:t>
      </w:r>
      <w:r w:rsidR="00585E25">
        <w:t xml:space="preserve"> allocation is everywhere at or below the PSD of the contiguous allocation that meets emissions requirements, then the </w:t>
      </w:r>
      <w:r w:rsidR="003D0AB0">
        <w:t>almost contiguous</w:t>
      </w:r>
      <w:r w:rsidR="00585E25">
        <w:t xml:space="preserve"> allocation should meet emissions requirements also.</w:t>
      </w:r>
    </w:p>
    <w:p w:rsidR="008331AE" w:rsidRDefault="008331AE" w:rsidP="00F950EE"/>
    <w:p w:rsidR="008331AE" w:rsidRDefault="008223A8" w:rsidP="00F950EE">
      <w:r w:rsidRPr="008223A8">
        <w:pict>
          <v:shape id="_x0000_i1030" type="#_x0000_t75" style="width:497.8pt;height:140pt">
            <v:imagedata r:id="rId13" o:title=""/>
          </v:shape>
        </w:pict>
      </w:r>
    </w:p>
    <w:p w:rsidR="008331AE" w:rsidRDefault="008331AE" w:rsidP="008331AE">
      <w:pPr>
        <w:jc w:val="center"/>
      </w:pPr>
      <w:r w:rsidRPr="00D80D7C">
        <w:rPr>
          <w:b/>
          <w:sz w:val="22"/>
        </w:rPr>
        <w:t xml:space="preserve">Figure </w:t>
      </w:r>
      <w:r>
        <w:rPr>
          <w:b/>
          <w:sz w:val="22"/>
        </w:rPr>
        <w:t>3</w:t>
      </w:r>
      <w:r w:rsidRPr="00D80D7C">
        <w:rPr>
          <w:b/>
          <w:sz w:val="22"/>
        </w:rPr>
        <w:t xml:space="preserve">:  </w:t>
      </w:r>
      <w:r>
        <w:rPr>
          <w:b/>
          <w:sz w:val="22"/>
        </w:rPr>
        <w:t xml:space="preserve">Power Spectral Density of Contiguous and </w:t>
      </w:r>
      <w:r w:rsidR="003D0AB0">
        <w:rPr>
          <w:b/>
          <w:sz w:val="22"/>
        </w:rPr>
        <w:t>Almost contiguous</w:t>
      </w:r>
      <w:r>
        <w:rPr>
          <w:b/>
          <w:sz w:val="22"/>
        </w:rPr>
        <w:t xml:space="preserve"> Resource Allocations</w:t>
      </w:r>
    </w:p>
    <w:p w:rsidR="008331AE" w:rsidRDefault="008331AE" w:rsidP="00F950EE"/>
    <w:p w:rsidR="008331AE" w:rsidRDefault="008331AE" w:rsidP="00F950EE"/>
    <w:p w:rsidR="008331AE" w:rsidRDefault="008331AE" w:rsidP="00F950EE"/>
    <w:p w:rsidR="005062F8" w:rsidRDefault="00117D5F" w:rsidP="005062F8">
      <w:pPr>
        <w:pStyle w:val="Heading1"/>
        <w:spacing w:after="120"/>
        <w:jc w:val="both"/>
        <w:rPr>
          <w:b/>
          <w:color w:val="000000"/>
        </w:rPr>
      </w:pPr>
      <w:r>
        <w:rPr>
          <w:b/>
          <w:color w:val="000000"/>
        </w:rPr>
        <w:t>Previous Simulation Results</w:t>
      </w:r>
    </w:p>
    <w:p w:rsidR="00FD66F4" w:rsidRDefault="00117D5F" w:rsidP="00D04A73">
      <w:r>
        <w:t>Extensive simulation results were provided in [</w:t>
      </w:r>
      <w:r w:rsidR="003D0AB0">
        <w:t>4-8</w:t>
      </w:r>
      <w:r>
        <w:t xml:space="preserve">] to </w:t>
      </w:r>
      <w:r w:rsidR="00FD66F4">
        <w:t xml:space="preserve">show that the </w:t>
      </w:r>
      <w:r w:rsidR="003D0AB0">
        <w:t>almost contiguous</w:t>
      </w:r>
      <w:r w:rsidR="00FD66F4">
        <w:t xml:space="preserve"> </w:t>
      </w:r>
      <w:r>
        <w:t>A-MPR proposed for contiguous CA with NS signalling was adequate t</w:t>
      </w:r>
      <w:r w:rsidR="00052318">
        <w:t xml:space="preserve">o meet emissions requirements. </w:t>
      </w:r>
      <w:r>
        <w:t>As a result,</w:t>
      </w:r>
      <w:r w:rsidR="00FD66F4">
        <w:t xml:space="preserve"> the vast majority </w:t>
      </w:r>
      <w:r>
        <w:t>of the simulation results show the A-MPR margin (the difference between the allowed A-MPR and the A-MPR that is actually needed to meet emissions requirements</w:t>
      </w:r>
      <w:r w:rsidR="00FD66F4">
        <w:t>)</w:t>
      </w:r>
      <w:r>
        <w:t>.  However, there is one set of simulation results in [</w:t>
      </w:r>
      <w:r w:rsidR="003D0AB0">
        <w:t>8</w:t>
      </w:r>
      <w:r>
        <w:t xml:space="preserve">] that </w:t>
      </w:r>
      <w:proofErr w:type="gramStart"/>
      <w:r>
        <w:t>shows</w:t>
      </w:r>
      <w:proofErr w:type="gramEnd"/>
      <w:r>
        <w:t xml:space="preserve"> </w:t>
      </w:r>
      <w:r w:rsidR="00FD66F4">
        <w:t xml:space="preserve">the </w:t>
      </w:r>
      <w:r>
        <w:t>increase in the required A-MPR</w:t>
      </w:r>
      <w:r w:rsidR="00FD66F4">
        <w:t xml:space="preserve"> due to PUCCH puncturing.</w:t>
      </w:r>
    </w:p>
    <w:p w:rsidR="00FD66F4" w:rsidRDefault="00FD66F4" w:rsidP="00D04A73"/>
    <w:p w:rsidR="00FD66F4" w:rsidRDefault="00FD66F4" w:rsidP="00D04A73">
      <w:r>
        <w:t>The results of interest can be found in Figure 4 below (Figure 5 in [</w:t>
      </w:r>
      <w:r w:rsidR="003D0AB0">
        <w:t>8</w:t>
      </w:r>
      <w:r>
        <w:t>]).  The results in Figure 4 are for the case of two contiguously</w:t>
      </w:r>
      <w:r w:rsidR="00052318">
        <w:t xml:space="preserve"> aggregated 15 MHz carriers </w:t>
      </w:r>
      <w:r w:rsidR="004C127D">
        <w:t>with the</w:t>
      </w:r>
      <w:r w:rsidR="00052318">
        <w:t xml:space="preserve"> CA_NS_01 emissions </w:t>
      </w:r>
      <w:r w:rsidR="004C127D">
        <w:t xml:space="preserve">requirements shown in Table 1. </w:t>
      </w:r>
      <w:r w:rsidR="00052318">
        <w:t>The results in Figure 4 show the increase in the required A-MPR when the 4 RB’s on each side of the boundary between the component carriers are punctured.  The total number of punctured RB’s is 8.</w:t>
      </w:r>
    </w:p>
    <w:p w:rsidR="00052318" w:rsidRDefault="00052318" w:rsidP="00D04A73"/>
    <w:p w:rsidR="00052318" w:rsidRPr="00865CF6" w:rsidRDefault="00052318" w:rsidP="00052318">
      <w:pPr>
        <w:pStyle w:val="TH"/>
        <w:rPr>
          <w:sz w:val="22"/>
        </w:rPr>
      </w:pPr>
      <w:r w:rsidRPr="00865CF6">
        <w:rPr>
          <w:sz w:val="22"/>
        </w:rPr>
        <w:t xml:space="preserve">Table </w:t>
      </w:r>
      <w:r>
        <w:rPr>
          <w:sz w:val="22"/>
        </w:rPr>
        <w:t>1</w:t>
      </w:r>
      <w:r w:rsidRPr="00865CF6">
        <w:rPr>
          <w:sz w:val="22"/>
        </w:rPr>
        <w:t xml:space="preserve">: Additional requirements for CA_NS_01 (TS 36.101 Table 6.6.3.3A.1-1) </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33"/>
        <w:gridCol w:w="1133"/>
        <w:gridCol w:w="337"/>
        <w:gridCol w:w="1218"/>
        <w:gridCol w:w="2591"/>
        <w:gridCol w:w="1469"/>
        <w:gridCol w:w="752"/>
      </w:tblGrid>
      <w:tr w:rsidR="00052318" w:rsidRPr="00BE6D03" w:rsidTr="00682254">
        <w:trPr>
          <w:trHeight w:val="450"/>
          <w:jc w:val="center"/>
        </w:trPr>
        <w:tc>
          <w:tcPr>
            <w:tcW w:w="0" w:type="auto"/>
            <w:shd w:val="clear" w:color="auto" w:fill="auto"/>
          </w:tcPr>
          <w:p w:rsidR="00052318" w:rsidRPr="00BE6D03" w:rsidRDefault="00052318" w:rsidP="00682254">
            <w:pPr>
              <w:pStyle w:val="TAH"/>
              <w:rPr>
                <w:rFonts w:cs="Arial"/>
                <w:lang w:eastAsia="en-US"/>
              </w:rPr>
            </w:pPr>
            <w:r w:rsidRPr="00BE6D03">
              <w:rPr>
                <w:rFonts w:cs="Arial"/>
                <w:lang w:eastAsia="en-US"/>
              </w:rPr>
              <w:t>Protected band</w:t>
            </w:r>
          </w:p>
        </w:tc>
        <w:tc>
          <w:tcPr>
            <w:tcW w:w="0" w:type="auto"/>
            <w:gridSpan w:val="3"/>
            <w:shd w:val="clear" w:color="auto" w:fill="auto"/>
          </w:tcPr>
          <w:p w:rsidR="00052318" w:rsidRPr="00BE6D03" w:rsidRDefault="00052318" w:rsidP="00682254">
            <w:pPr>
              <w:pStyle w:val="TAH"/>
              <w:rPr>
                <w:rFonts w:cs="Arial"/>
                <w:lang w:eastAsia="en-US"/>
              </w:rPr>
            </w:pPr>
            <w:r w:rsidRPr="00BE6D03">
              <w:rPr>
                <w:rFonts w:cs="Arial"/>
                <w:lang w:eastAsia="en-US"/>
              </w:rPr>
              <w:t>Frequency range (MHz)</w:t>
            </w:r>
          </w:p>
        </w:tc>
        <w:tc>
          <w:tcPr>
            <w:tcW w:w="0" w:type="auto"/>
            <w:shd w:val="clear" w:color="auto" w:fill="auto"/>
          </w:tcPr>
          <w:p w:rsidR="00052318" w:rsidRPr="00BE6D03" w:rsidRDefault="00052318" w:rsidP="00682254">
            <w:pPr>
              <w:pStyle w:val="TAH"/>
              <w:rPr>
                <w:rFonts w:cs="Arial"/>
                <w:lang w:eastAsia="en-US"/>
              </w:rPr>
            </w:pPr>
            <w:r w:rsidRPr="00BE6D03">
              <w:rPr>
                <w:rFonts w:cs="Arial"/>
                <w:lang w:eastAsia="en-US"/>
              </w:rPr>
              <w:t>Maximum Level (</w:t>
            </w:r>
            <w:proofErr w:type="spellStart"/>
            <w:r w:rsidRPr="00BE6D03">
              <w:rPr>
                <w:rFonts w:cs="Arial"/>
                <w:lang w:eastAsia="en-US"/>
              </w:rPr>
              <w:t>dBm</w:t>
            </w:r>
            <w:proofErr w:type="spellEnd"/>
            <w:r w:rsidRPr="00BE6D03">
              <w:rPr>
                <w:rFonts w:cs="Arial"/>
                <w:lang w:eastAsia="en-US"/>
              </w:rPr>
              <w:t>)</w:t>
            </w:r>
          </w:p>
        </w:tc>
        <w:tc>
          <w:tcPr>
            <w:tcW w:w="0" w:type="auto"/>
            <w:shd w:val="clear" w:color="auto" w:fill="auto"/>
          </w:tcPr>
          <w:p w:rsidR="00052318" w:rsidRPr="00BE6D03" w:rsidRDefault="00052318" w:rsidP="00682254">
            <w:pPr>
              <w:pStyle w:val="TAH"/>
              <w:rPr>
                <w:rFonts w:cs="Arial"/>
                <w:lang w:eastAsia="en-US"/>
              </w:rPr>
            </w:pPr>
            <w:r w:rsidRPr="00BE6D03">
              <w:rPr>
                <w:rFonts w:cs="Arial"/>
                <w:lang w:eastAsia="en-US"/>
              </w:rPr>
              <w:t>MBW (MHz)</w:t>
            </w:r>
          </w:p>
        </w:tc>
        <w:tc>
          <w:tcPr>
            <w:tcW w:w="0" w:type="auto"/>
          </w:tcPr>
          <w:p w:rsidR="00052318" w:rsidRPr="00BE6D03" w:rsidRDefault="00052318" w:rsidP="00682254">
            <w:pPr>
              <w:pStyle w:val="TAH"/>
              <w:rPr>
                <w:rFonts w:cs="Arial"/>
                <w:lang w:eastAsia="en-US"/>
              </w:rPr>
            </w:pPr>
            <w:r w:rsidRPr="00BE6D03">
              <w:rPr>
                <w:rFonts w:cs="Arial"/>
                <w:lang w:eastAsia="en-US"/>
              </w:rPr>
              <w:t>Note</w:t>
            </w:r>
          </w:p>
        </w:tc>
      </w:tr>
      <w:tr w:rsidR="00052318" w:rsidRPr="00BE6D03" w:rsidTr="00682254">
        <w:trPr>
          <w:trHeight w:val="225"/>
          <w:jc w:val="center"/>
        </w:trPr>
        <w:tc>
          <w:tcPr>
            <w:tcW w:w="0" w:type="auto"/>
            <w:shd w:val="clear" w:color="auto" w:fill="auto"/>
          </w:tcPr>
          <w:p w:rsidR="00052318" w:rsidRPr="00BE6D03" w:rsidRDefault="00052318" w:rsidP="00682254">
            <w:pPr>
              <w:pStyle w:val="TAL"/>
              <w:rPr>
                <w:rFonts w:cs="Arial"/>
              </w:rPr>
            </w:pPr>
            <w:r w:rsidRPr="00BE6D03">
              <w:rPr>
                <w:rFonts w:cs="Arial"/>
              </w:rPr>
              <w:t>E-UTRA band 34</w:t>
            </w:r>
          </w:p>
        </w:tc>
        <w:tc>
          <w:tcPr>
            <w:tcW w:w="0" w:type="auto"/>
            <w:shd w:val="clear" w:color="auto" w:fill="auto"/>
            <w:vAlign w:val="bottom"/>
          </w:tcPr>
          <w:p w:rsidR="00052318" w:rsidRPr="00BE6D03" w:rsidRDefault="00052318" w:rsidP="00682254">
            <w:pPr>
              <w:pStyle w:val="TAR"/>
              <w:rPr>
                <w:rFonts w:cs="Arial"/>
              </w:rPr>
            </w:pPr>
            <w:proofErr w:type="spellStart"/>
            <w:r w:rsidRPr="00BE6D03">
              <w:rPr>
                <w:rFonts w:cs="Arial"/>
              </w:rPr>
              <w:t>FDL_low</w:t>
            </w:r>
            <w:proofErr w:type="spellEnd"/>
          </w:p>
        </w:tc>
        <w:tc>
          <w:tcPr>
            <w:tcW w:w="0" w:type="auto"/>
            <w:shd w:val="clear" w:color="auto" w:fill="auto"/>
            <w:vAlign w:val="bottom"/>
          </w:tcPr>
          <w:p w:rsidR="00052318" w:rsidRPr="00BE6D03" w:rsidRDefault="00052318" w:rsidP="00682254">
            <w:pPr>
              <w:pStyle w:val="TAC"/>
              <w:rPr>
                <w:rFonts w:cs="Arial"/>
                <w:lang w:eastAsia="en-US"/>
              </w:rPr>
            </w:pPr>
            <w:r w:rsidRPr="00BE6D03">
              <w:rPr>
                <w:rFonts w:cs="Arial"/>
                <w:lang w:eastAsia="en-US"/>
              </w:rPr>
              <w:t xml:space="preserve">- </w:t>
            </w:r>
          </w:p>
        </w:tc>
        <w:tc>
          <w:tcPr>
            <w:tcW w:w="0" w:type="auto"/>
            <w:shd w:val="clear" w:color="auto" w:fill="auto"/>
            <w:vAlign w:val="bottom"/>
          </w:tcPr>
          <w:p w:rsidR="00052318" w:rsidRPr="00BE6D03" w:rsidRDefault="00052318" w:rsidP="00682254">
            <w:pPr>
              <w:pStyle w:val="TAL"/>
              <w:rPr>
                <w:rFonts w:cs="Arial"/>
              </w:rPr>
            </w:pPr>
            <w:proofErr w:type="spellStart"/>
            <w:r w:rsidRPr="00BE6D03">
              <w:rPr>
                <w:rFonts w:cs="Arial"/>
              </w:rPr>
              <w:t>FDL_high</w:t>
            </w:r>
            <w:proofErr w:type="spellEnd"/>
          </w:p>
        </w:tc>
        <w:tc>
          <w:tcPr>
            <w:tcW w:w="0" w:type="auto"/>
            <w:shd w:val="clear" w:color="auto" w:fill="auto"/>
            <w:vAlign w:val="center"/>
          </w:tcPr>
          <w:p w:rsidR="00052318" w:rsidRPr="00BE6D03" w:rsidRDefault="00052318" w:rsidP="00682254">
            <w:pPr>
              <w:pStyle w:val="TAC"/>
              <w:rPr>
                <w:rFonts w:cs="Arial"/>
                <w:lang w:eastAsia="en-US"/>
              </w:rPr>
            </w:pPr>
            <w:r w:rsidRPr="00BE6D03">
              <w:rPr>
                <w:rFonts w:cs="Arial"/>
                <w:lang w:eastAsia="en-US"/>
              </w:rPr>
              <w:t>-50</w:t>
            </w:r>
          </w:p>
        </w:tc>
        <w:tc>
          <w:tcPr>
            <w:tcW w:w="0" w:type="auto"/>
            <w:shd w:val="clear" w:color="auto" w:fill="auto"/>
            <w:noWrap/>
            <w:vAlign w:val="center"/>
          </w:tcPr>
          <w:p w:rsidR="00052318" w:rsidRPr="00BE6D03" w:rsidRDefault="00052318" w:rsidP="00682254">
            <w:pPr>
              <w:pStyle w:val="TAC"/>
              <w:rPr>
                <w:rFonts w:cs="Arial"/>
                <w:lang w:eastAsia="en-US"/>
              </w:rPr>
            </w:pPr>
            <w:r w:rsidRPr="00BE6D03">
              <w:rPr>
                <w:rFonts w:cs="Arial"/>
                <w:lang w:eastAsia="en-US"/>
              </w:rPr>
              <w:t>1</w:t>
            </w:r>
          </w:p>
        </w:tc>
        <w:tc>
          <w:tcPr>
            <w:tcW w:w="0" w:type="auto"/>
          </w:tcPr>
          <w:p w:rsidR="00052318" w:rsidRPr="00BE6D03" w:rsidRDefault="00052318" w:rsidP="00682254">
            <w:pPr>
              <w:pStyle w:val="TAC"/>
              <w:rPr>
                <w:rFonts w:cs="Arial"/>
                <w:lang w:eastAsia="en-US"/>
              </w:rPr>
            </w:pPr>
          </w:p>
        </w:tc>
      </w:tr>
      <w:tr w:rsidR="00052318" w:rsidRPr="00BE6D03" w:rsidTr="00682254">
        <w:trPr>
          <w:trHeight w:val="225"/>
          <w:jc w:val="center"/>
        </w:trPr>
        <w:tc>
          <w:tcPr>
            <w:tcW w:w="0" w:type="auto"/>
            <w:shd w:val="clear" w:color="auto" w:fill="auto"/>
          </w:tcPr>
          <w:p w:rsidR="00052318" w:rsidRPr="00BE6D03" w:rsidRDefault="00052318" w:rsidP="00682254">
            <w:pPr>
              <w:pStyle w:val="TAL"/>
              <w:rPr>
                <w:rFonts w:cs="Arial"/>
              </w:rPr>
            </w:pPr>
            <w:r w:rsidRPr="00BE6D03">
              <w:rPr>
                <w:rFonts w:cs="Arial"/>
              </w:rPr>
              <w:t xml:space="preserve">Frequency range </w:t>
            </w:r>
          </w:p>
        </w:tc>
        <w:tc>
          <w:tcPr>
            <w:tcW w:w="0" w:type="auto"/>
            <w:shd w:val="clear" w:color="auto" w:fill="auto"/>
            <w:vAlign w:val="bottom"/>
          </w:tcPr>
          <w:p w:rsidR="00052318" w:rsidRPr="00BE6D03" w:rsidRDefault="00052318" w:rsidP="00682254">
            <w:pPr>
              <w:pStyle w:val="TAR"/>
              <w:rPr>
                <w:rFonts w:cs="Arial"/>
              </w:rPr>
            </w:pPr>
            <w:r w:rsidRPr="00BE6D03">
              <w:rPr>
                <w:rFonts w:cs="Arial"/>
              </w:rPr>
              <w:t>1884.5</w:t>
            </w:r>
          </w:p>
        </w:tc>
        <w:tc>
          <w:tcPr>
            <w:tcW w:w="0" w:type="auto"/>
            <w:shd w:val="clear" w:color="auto" w:fill="auto"/>
            <w:vAlign w:val="bottom"/>
          </w:tcPr>
          <w:p w:rsidR="00052318" w:rsidRPr="00BE6D03" w:rsidRDefault="00052318" w:rsidP="00682254">
            <w:pPr>
              <w:pStyle w:val="TAC"/>
              <w:rPr>
                <w:rFonts w:cs="Arial"/>
                <w:lang w:eastAsia="en-US"/>
              </w:rPr>
            </w:pPr>
            <w:r w:rsidRPr="00BE6D03">
              <w:rPr>
                <w:rFonts w:cs="Arial"/>
                <w:lang w:eastAsia="en-US"/>
              </w:rPr>
              <w:t>-</w:t>
            </w:r>
          </w:p>
        </w:tc>
        <w:tc>
          <w:tcPr>
            <w:tcW w:w="0" w:type="auto"/>
            <w:shd w:val="clear" w:color="auto" w:fill="auto"/>
            <w:vAlign w:val="bottom"/>
          </w:tcPr>
          <w:p w:rsidR="00052318" w:rsidRPr="00BE6D03" w:rsidRDefault="00052318" w:rsidP="00682254">
            <w:pPr>
              <w:pStyle w:val="TAL"/>
              <w:rPr>
                <w:rFonts w:cs="Arial"/>
              </w:rPr>
            </w:pPr>
            <w:r w:rsidRPr="00BE6D03">
              <w:rPr>
                <w:rFonts w:cs="Arial"/>
              </w:rPr>
              <w:t>191</w:t>
            </w:r>
            <w:r w:rsidRPr="00BE6D03">
              <w:rPr>
                <w:rFonts w:cs="Arial" w:hint="eastAsia"/>
              </w:rPr>
              <w:t>5.7</w:t>
            </w:r>
          </w:p>
        </w:tc>
        <w:tc>
          <w:tcPr>
            <w:tcW w:w="0" w:type="auto"/>
            <w:shd w:val="clear" w:color="auto" w:fill="auto"/>
            <w:vAlign w:val="center"/>
          </w:tcPr>
          <w:p w:rsidR="00052318" w:rsidRPr="00BE6D03" w:rsidRDefault="00052318" w:rsidP="00682254">
            <w:pPr>
              <w:pStyle w:val="TAC"/>
              <w:rPr>
                <w:rFonts w:cs="Arial"/>
                <w:lang w:eastAsia="en-US"/>
              </w:rPr>
            </w:pPr>
            <w:r w:rsidRPr="00BE6D03">
              <w:rPr>
                <w:rFonts w:cs="Arial"/>
                <w:lang w:eastAsia="en-US"/>
              </w:rPr>
              <w:t>-41</w:t>
            </w:r>
          </w:p>
        </w:tc>
        <w:tc>
          <w:tcPr>
            <w:tcW w:w="0" w:type="auto"/>
            <w:shd w:val="clear" w:color="auto" w:fill="auto"/>
            <w:noWrap/>
            <w:vAlign w:val="center"/>
          </w:tcPr>
          <w:p w:rsidR="00052318" w:rsidRPr="00BE6D03" w:rsidRDefault="00052318" w:rsidP="00682254">
            <w:pPr>
              <w:pStyle w:val="TAC"/>
              <w:rPr>
                <w:rFonts w:cs="Arial"/>
                <w:lang w:eastAsia="en-US"/>
              </w:rPr>
            </w:pPr>
            <w:r w:rsidRPr="00BE6D03">
              <w:rPr>
                <w:rFonts w:cs="Arial"/>
                <w:lang w:eastAsia="en-US"/>
              </w:rPr>
              <w:t>0.3</w:t>
            </w:r>
          </w:p>
        </w:tc>
        <w:tc>
          <w:tcPr>
            <w:tcW w:w="0" w:type="auto"/>
          </w:tcPr>
          <w:p w:rsidR="00052318" w:rsidRPr="00BE6D03" w:rsidRDefault="00052318" w:rsidP="00682254">
            <w:pPr>
              <w:pStyle w:val="TAC"/>
              <w:rPr>
                <w:rFonts w:cs="Arial"/>
                <w:lang w:eastAsia="en-US"/>
              </w:rPr>
            </w:pPr>
            <w:r w:rsidRPr="00BE6D03">
              <w:rPr>
                <w:rFonts w:cs="Arial"/>
                <w:lang w:eastAsia="en-US"/>
              </w:rPr>
              <w:t>1</w:t>
            </w:r>
          </w:p>
        </w:tc>
      </w:tr>
      <w:tr w:rsidR="00052318" w:rsidRPr="00BE6D03" w:rsidTr="00682254">
        <w:trPr>
          <w:trHeight w:val="225"/>
          <w:jc w:val="center"/>
        </w:trPr>
        <w:tc>
          <w:tcPr>
            <w:tcW w:w="0" w:type="auto"/>
            <w:gridSpan w:val="7"/>
            <w:shd w:val="clear" w:color="auto" w:fill="auto"/>
            <w:vAlign w:val="bottom"/>
          </w:tcPr>
          <w:p w:rsidR="00052318" w:rsidRPr="00BE6D03" w:rsidRDefault="00052318" w:rsidP="00682254">
            <w:pPr>
              <w:pStyle w:val="TAN"/>
              <w:rPr>
                <w:rFonts w:cs="Arial"/>
                <w:lang w:eastAsia="en-US"/>
              </w:rPr>
            </w:pPr>
            <w:r w:rsidRPr="00BE6D03">
              <w:rPr>
                <w:rFonts w:cs="Arial"/>
                <w:lang w:eastAsia="en-US"/>
              </w:rPr>
              <w:t>NOTE 1:</w:t>
            </w:r>
            <w:r w:rsidRPr="00BE6D03">
              <w:rPr>
                <w:rFonts w:cs="Arial"/>
                <w:lang w:eastAsia="en-US"/>
              </w:rPr>
              <w:tab/>
              <w:t>Applicable when the aggregated channel bandwidth is confined within frequency range 1940 – 1980 MHz</w:t>
            </w:r>
          </w:p>
        </w:tc>
      </w:tr>
    </w:tbl>
    <w:p w:rsidR="00052318" w:rsidRPr="00BE6D03" w:rsidRDefault="00052318" w:rsidP="00052318"/>
    <w:p w:rsidR="00052318" w:rsidRPr="00052318" w:rsidRDefault="00052318" w:rsidP="00052318">
      <w:pPr>
        <w:ind w:left="720"/>
        <w:jc w:val="both"/>
        <w:rPr>
          <w:sz w:val="18"/>
        </w:rPr>
      </w:pPr>
      <w:r w:rsidRPr="00052318">
        <w:rPr>
          <w:sz w:val="18"/>
        </w:rPr>
        <w:t>NOTE:</w:t>
      </w:r>
      <w:r w:rsidRPr="00052318">
        <w:rPr>
          <w:sz w:val="18"/>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(300 kHz).</w:t>
      </w:r>
    </w:p>
    <w:p w:rsidR="00117D5F" w:rsidRDefault="00117D5F" w:rsidP="00FD66F4">
      <w:pPr>
        <w:tabs>
          <w:tab w:val="left" w:pos="8960"/>
        </w:tabs>
      </w:pPr>
      <w:r>
        <w:tab/>
      </w:r>
    </w:p>
    <w:p w:rsidR="00D04A73" w:rsidRDefault="00D04A73" w:rsidP="00D04A73">
      <w:r>
        <w:t xml:space="preserve">The simulation results in Figure </w:t>
      </w:r>
      <w:r w:rsidR="00FD66F4">
        <w:t>4</w:t>
      </w:r>
      <w:r>
        <w:t xml:space="preserve"> indicate the amount by which required A-MPR increases for a contiguous allocation when the PUCCH region is punctured.  For each possible </w:t>
      </w:r>
      <w:r w:rsidR="003D0AB0">
        <w:t>almost contiguous</w:t>
      </w:r>
      <w:r>
        <w:t xml:space="preserve"> allocation, an additional simulation was performed with the PUCCH region restored.  Thus, the table indicates the difference between the A-MPR needed for the </w:t>
      </w:r>
      <w:r w:rsidR="003D0AB0">
        <w:t>almost contiguous</w:t>
      </w:r>
      <w:r>
        <w:t xml:space="preserve"> allocation and the A-MPR needed f</w:t>
      </w:r>
      <w:r w:rsidR="004C127D">
        <w:t>or a contiguous</w:t>
      </w:r>
      <w:r>
        <w:t xml:space="preserve"> allocation with the same </w:t>
      </w:r>
      <w:proofErr w:type="spellStart"/>
      <w:r>
        <w:t>RB</w:t>
      </w:r>
      <w:r w:rsidRPr="005D07A8">
        <w:rPr>
          <w:vertAlign w:val="subscript"/>
        </w:rPr>
        <w:t>start</w:t>
      </w:r>
      <w:proofErr w:type="spellEnd"/>
      <w:r>
        <w:t xml:space="preserve"> and </w:t>
      </w:r>
      <w:proofErr w:type="spellStart"/>
      <w:r>
        <w:t>RB</w:t>
      </w:r>
      <w:r w:rsidRPr="005D07A8">
        <w:rPr>
          <w:vertAlign w:val="subscript"/>
        </w:rPr>
        <w:t>end</w:t>
      </w:r>
      <w:proofErr w:type="spellEnd"/>
      <w:r>
        <w:t>.  In most cases, the increase in the necessary A-MPR resulting from the puncturing of the PUCCH region was less than 0.5 dB, and in all cases the increase in the necessary A-MPR was less than 1 dB.</w:t>
      </w:r>
      <w:r w:rsidR="000D34B3">
        <w:t xml:space="preserve">  It can be noted however, that there </w:t>
      </w:r>
      <w:r w:rsidR="003D0AB0">
        <w:t>are</w:t>
      </w:r>
      <w:r w:rsidR="000D34B3">
        <w:t xml:space="preserve"> case</w:t>
      </w:r>
      <w:r w:rsidR="003D0AB0">
        <w:t>s</w:t>
      </w:r>
      <w:r w:rsidR="000D34B3">
        <w:t xml:space="preserve"> </w:t>
      </w:r>
      <w:r w:rsidR="003D0AB0">
        <w:t>for</w:t>
      </w:r>
      <w:r w:rsidR="000D34B3">
        <w:t xml:space="preserve"> which the fraction of </w:t>
      </w:r>
      <w:r w:rsidR="003D0AB0">
        <w:t xml:space="preserve">punctured </w:t>
      </w:r>
      <w:r w:rsidR="000D34B3">
        <w:t xml:space="preserve">RB’s </w:t>
      </w:r>
      <w:r w:rsidR="003D0AB0">
        <w:t xml:space="preserve">is around 10% </w:t>
      </w:r>
      <w:r w:rsidR="000D34B3">
        <w:t>for which</w:t>
      </w:r>
      <w:r w:rsidR="00525CA5">
        <w:t xml:space="preserve"> the increase in A-MPR </w:t>
      </w:r>
      <w:r w:rsidR="003D0AB0">
        <w:t>is at least 0.5 dB</w:t>
      </w:r>
      <w:r w:rsidR="00525CA5">
        <w:t>.</w:t>
      </w:r>
    </w:p>
    <w:p w:rsidR="00525CA5" w:rsidRDefault="00525CA5" w:rsidP="00D04A73"/>
    <w:p w:rsidR="003D0AB0" w:rsidRDefault="00525CA5" w:rsidP="00D04A73">
      <w:r>
        <w:t>It should be noted that these simulation results are for DFT-spread OFDM and not for CP-OFDM, so additional simulation results with CP-OFDM modulation are needed.</w:t>
      </w:r>
    </w:p>
    <w:p w:rsidR="003D0AB0" w:rsidRPr="003D0AB0" w:rsidRDefault="003D0AB0" w:rsidP="003D0AB0"/>
    <w:p w:rsidR="003D0AB0" w:rsidRPr="003D0AB0" w:rsidRDefault="003D0AB0" w:rsidP="003D0AB0"/>
    <w:p w:rsidR="003D0AB0" w:rsidRPr="003D0AB0" w:rsidRDefault="003D0AB0" w:rsidP="003D0AB0"/>
    <w:p w:rsidR="003D0AB0" w:rsidRPr="003D0AB0" w:rsidRDefault="003D0AB0" w:rsidP="003D0AB0"/>
    <w:p w:rsidR="003D0AB0" w:rsidRDefault="003D0AB0" w:rsidP="003D0AB0"/>
    <w:p w:rsidR="00525CA5" w:rsidRPr="003D0AB0" w:rsidRDefault="003D0AB0" w:rsidP="003D0AB0">
      <w:pPr>
        <w:tabs>
          <w:tab w:val="left" w:pos="8711"/>
        </w:tabs>
      </w:pPr>
      <w:r>
        <w:tab/>
      </w:r>
    </w:p>
    <w:p w:rsidR="00D04A73" w:rsidRDefault="004C127D" w:rsidP="00D04A73">
      <w:pPr>
        <w:jc w:val="center"/>
      </w:pPr>
      <w:r>
        <w:lastRenderedPageBreak/>
        <w:pict>
          <v:shape id="_x0000_i1029" type="#_x0000_t75" style="width:435.55pt;height:289.75pt">
            <v:imagedata r:id="rId14" o:title=""/>
          </v:shape>
        </w:pict>
      </w:r>
    </w:p>
    <w:p w:rsidR="00D04A73" w:rsidRDefault="00D04A73" w:rsidP="00D04A73">
      <w:pPr>
        <w:jc w:val="center"/>
        <w:rPr>
          <w:b/>
        </w:rPr>
      </w:pPr>
    </w:p>
    <w:p w:rsidR="00D04A73" w:rsidRPr="00D80D7C" w:rsidRDefault="00D04A73" w:rsidP="00D04A73">
      <w:pPr>
        <w:ind w:left="720"/>
        <w:jc w:val="center"/>
        <w:rPr>
          <w:b/>
          <w:sz w:val="22"/>
        </w:rPr>
      </w:pPr>
      <w:r w:rsidRPr="00D80D7C">
        <w:rPr>
          <w:b/>
          <w:sz w:val="22"/>
        </w:rPr>
        <w:t xml:space="preserve">Figure </w:t>
      </w:r>
      <w:r w:rsidR="00525CA5">
        <w:rPr>
          <w:b/>
          <w:sz w:val="22"/>
        </w:rPr>
        <w:t>4</w:t>
      </w:r>
      <w:r w:rsidRPr="00D80D7C">
        <w:rPr>
          <w:b/>
          <w:sz w:val="22"/>
        </w:rPr>
        <w:t>:  The increase of the required A-MPR for contiguous allocations when the PUCCH region is punctured</w:t>
      </w:r>
      <w:r>
        <w:rPr>
          <w:b/>
          <w:sz w:val="22"/>
        </w:rPr>
        <w:t xml:space="preserve"> for CA_NS_01 signalling.</w:t>
      </w:r>
      <w:r w:rsidR="00525CA5">
        <w:rPr>
          <w:b/>
          <w:sz w:val="22"/>
        </w:rPr>
        <w:t xml:space="preserve"> (Figure 5 in [</w:t>
      </w:r>
      <w:r w:rsidR="003D0AB0">
        <w:rPr>
          <w:b/>
          <w:sz w:val="22"/>
        </w:rPr>
        <w:t>8</w:t>
      </w:r>
      <w:r w:rsidR="00525CA5">
        <w:rPr>
          <w:b/>
          <w:sz w:val="22"/>
        </w:rPr>
        <w:t>])</w:t>
      </w:r>
    </w:p>
    <w:p w:rsidR="00D04A73" w:rsidRPr="00D04A73" w:rsidRDefault="00D04A73" w:rsidP="00D04A73"/>
    <w:p w:rsidR="00525CA5" w:rsidRPr="0008793E" w:rsidRDefault="00525CA5" w:rsidP="0008793E">
      <w:pPr>
        <w:pStyle w:val="Heading1"/>
        <w:spacing w:after="120"/>
        <w:jc w:val="both"/>
        <w:rPr>
          <w:b/>
          <w:color w:val="000000"/>
        </w:rPr>
      </w:pPr>
      <w:r>
        <w:rPr>
          <w:b/>
          <w:color w:val="000000"/>
        </w:rPr>
        <w:t>Conclusion</w:t>
      </w:r>
    </w:p>
    <w:p w:rsidR="00947F0A" w:rsidRDefault="00947F0A" w:rsidP="005062F8">
      <w:pPr>
        <w:shd w:val="clear" w:color="auto" w:fill="FFFFFF"/>
        <w:rPr>
          <w:rFonts w:eastAsia="Times New Roman"/>
          <w:color w:val="222222"/>
        </w:rPr>
      </w:pPr>
      <w:r w:rsidRPr="005A333F">
        <w:rPr>
          <w:rFonts w:eastAsia="Times New Roman"/>
          <w:color w:val="222222"/>
        </w:rPr>
        <w:t>In recent meetings, several contributions</w:t>
      </w:r>
      <w:r>
        <w:rPr>
          <w:rFonts w:eastAsia="Times New Roman"/>
          <w:color w:val="222222"/>
        </w:rPr>
        <w:t xml:space="preserve"> [1,2] </w:t>
      </w:r>
      <w:r w:rsidRPr="005A333F">
        <w:rPr>
          <w:rFonts w:eastAsia="Times New Roman"/>
          <w:color w:val="222222"/>
        </w:rPr>
        <w:t>have addresse</w:t>
      </w:r>
      <w:r>
        <w:rPr>
          <w:rFonts w:eastAsia="Times New Roman"/>
          <w:color w:val="222222"/>
        </w:rPr>
        <w:t>d the issue of the</w:t>
      </w:r>
      <w:r w:rsidRPr="005A333F">
        <w:rPr>
          <w:rFonts w:eastAsia="Times New Roman"/>
          <w:color w:val="222222"/>
        </w:rPr>
        <w:t xml:space="preserve"> PUCCH</w:t>
      </w:r>
      <w:r>
        <w:rPr>
          <w:rFonts w:eastAsia="Times New Roman"/>
          <w:color w:val="222222"/>
        </w:rPr>
        <w:t xml:space="preserve"> region of narrow bandwidth </w:t>
      </w:r>
      <w:r w:rsidRPr="005A333F">
        <w:rPr>
          <w:rFonts w:eastAsia="Times New Roman"/>
          <w:color w:val="222222"/>
        </w:rPr>
        <w:t>UE's blocking large contiguous all</w:t>
      </w:r>
      <w:r>
        <w:rPr>
          <w:rFonts w:eastAsia="Times New Roman"/>
          <w:color w:val="222222"/>
        </w:rPr>
        <w:t xml:space="preserve">ocations for wide bandwidth UE's within the same carrier and the need to define </w:t>
      </w:r>
      <w:r w:rsidR="003D0AB0">
        <w:rPr>
          <w:rFonts w:eastAsia="Times New Roman"/>
          <w:color w:val="222222"/>
        </w:rPr>
        <w:t>almost contiguous</w:t>
      </w:r>
      <w:r>
        <w:rPr>
          <w:rFonts w:eastAsia="Times New Roman"/>
          <w:color w:val="222222"/>
        </w:rPr>
        <w:t xml:space="preserve"> MPR.  </w:t>
      </w:r>
      <w:r w:rsidRPr="005A333F">
        <w:rPr>
          <w:rFonts w:eastAsia="Times New Roman"/>
          <w:color w:val="222222"/>
        </w:rPr>
        <w:t>.</w:t>
      </w:r>
      <w:r>
        <w:rPr>
          <w:rFonts w:eastAsia="Times New Roman"/>
          <w:color w:val="222222"/>
        </w:rPr>
        <w:t xml:space="preserve"> </w:t>
      </w:r>
      <w:r w:rsidRPr="005A333F">
        <w:rPr>
          <w:rFonts w:eastAsia="Times New Roman"/>
          <w:color w:val="222222"/>
        </w:rPr>
        <w:t>In [</w:t>
      </w:r>
      <w:r>
        <w:rPr>
          <w:rFonts w:eastAsia="Times New Roman"/>
          <w:color w:val="222222"/>
        </w:rPr>
        <w:t>2</w:t>
      </w:r>
      <w:r w:rsidRPr="005A333F">
        <w:rPr>
          <w:rFonts w:eastAsia="Times New Roman"/>
          <w:color w:val="222222"/>
        </w:rPr>
        <w:t xml:space="preserve">], it has been proposed that no additional MPR be allowed for these </w:t>
      </w:r>
      <w:r w:rsidR="003D0AB0">
        <w:rPr>
          <w:rFonts w:eastAsia="Times New Roman"/>
          <w:color w:val="222222"/>
        </w:rPr>
        <w:t>almost contiguous</w:t>
      </w:r>
      <w:r w:rsidRPr="005A333F">
        <w:rPr>
          <w:rFonts w:eastAsia="Times New Roman"/>
          <w:color w:val="222222"/>
        </w:rPr>
        <w:t xml:space="preserve"> allocations.</w:t>
      </w:r>
      <w:r>
        <w:rPr>
          <w:rFonts w:eastAsia="Times New Roman"/>
          <w:color w:val="222222"/>
        </w:rPr>
        <w:t xml:space="preserve"> </w:t>
      </w:r>
    </w:p>
    <w:p w:rsidR="00947F0A" w:rsidRDefault="00947F0A" w:rsidP="005062F8">
      <w:pPr>
        <w:shd w:val="clear" w:color="auto" w:fill="FFFFFF"/>
        <w:rPr>
          <w:rFonts w:eastAsia="Times New Roman"/>
          <w:color w:val="222222"/>
        </w:rPr>
      </w:pPr>
    </w:p>
    <w:p w:rsidR="00937E25" w:rsidRPr="0008793E" w:rsidRDefault="00947F0A" w:rsidP="0008793E">
      <w:pPr>
        <w:shd w:val="clear" w:color="auto" w:fill="FFFFFF"/>
        <w:rPr>
          <w:rFonts w:eastAsia="Times New Roman"/>
          <w:color w:val="222222"/>
        </w:rPr>
      </w:pPr>
      <w:r w:rsidRPr="005A333F">
        <w:rPr>
          <w:rFonts w:eastAsia="Times New Roman"/>
          <w:color w:val="222222"/>
        </w:rPr>
        <w:t xml:space="preserve">In this contribution, we review the previous proposal defining A-MPR </w:t>
      </w:r>
      <w:r>
        <w:rPr>
          <w:rFonts w:eastAsia="Times New Roman"/>
          <w:color w:val="222222"/>
        </w:rPr>
        <w:t xml:space="preserve">for </w:t>
      </w:r>
      <w:r w:rsidR="003D0AB0">
        <w:rPr>
          <w:rFonts w:eastAsia="Times New Roman"/>
          <w:color w:val="222222"/>
        </w:rPr>
        <w:t>almost contiguous</w:t>
      </w:r>
      <w:r>
        <w:rPr>
          <w:rFonts w:eastAsia="Times New Roman"/>
          <w:color w:val="222222"/>
        </w:rPr>
        <w:t xml:space="preserve"> allocations for LTE carrier aggregation </w:t>
      </w:r>
      <w:r w:rsidRPr="005A333F">
        <w:rPr>
          <w:rFonts w:eastAsia="Times New Roman"/>
          <w:color w:val="222222"/>
        </w:rPr>
        <w:t xml:space="preserve">and explain </w:t>
      </w:r>
      <w:r>
        <w:rPr>
          <w:rFonts w:eastAsia="Times New Roman"/>
          <w:color w:val="222222"/>
        </w:rPr>
        <w:t xml:space="preserve">the rationale for the proposal.  One benefit of the previous proposal is that it is not necessary to limit the set of </w:t>
      </w:r>
      <w:r w:rsidR="003D0AB0">
        <w:rPr>
          <w:rFonts w:eastAsia="Times New Roman"/>
          <w:color w:val="222222"/>
        </w:rPr>
        <w:t>almost contiguous</w:t>
      </w:r>
      <w:r>
        <w:rPr>
          <w:rFonts w:eastAsia="Times New Roman"/>
          <w:color w:val="222222"/>
        </w:rPr>
        <w:t xml:space="preserve"> allocations to only those for whic</w:t>
      </w:r>
      <w:r w:rsidR="004C127D">
        <w:rPr>
          <w:rFonts w:eastAsia="Times New Roman"/>
          <w:color w:val="222222"/>
        </w:rPr>
        <w:t xml:space="preserve">h there is no increase in A-MPR.  This may be necessary as </w:t>
      </w:r>
      <w:r w:rsidR="0008793E">
        <w:rPr>
          <w:rFonts w:eastAsia="Times New Roman"/>
          <w:color w:val="222222"/>
        </w:rPr>
        <w:t xml:space="preserve">A-MPR will not be defined </w:t>
      </w:r>
      <w:r w:rsidR="004C127D">
        <w:rPr>
          <w:rFonts w:eastAsia="Times New Roman"/>
          <w:color w:val="222222"/>
        </w:rPr>
        <w:t xml:space="preserve">for NR </w:t>
      </w:r>
      <w:r w:rsidR="0008793E">
        <w:rPr>
          <w:rFonts w:eastAsia="Times New Roman"/>
          <w:color w:val="222222"/>
        </w:rPr>
        <w:t xml:space="preserve">and the size of the PUCCH region can vary significantly depending on the </w:t>
      </w:r>
      <w:r w:rsidR="004C127D">
        <w:rPr>
          <w:rFonts w:eastAsia="Times New Roman"/>
          <w:color w:val="222222"/>
        </w:rPr>
        <w:t xml:space="preserve">particular </w:t>
      </w:r>
      <w:r w:rsidR="0008793E">
        <w:rPr>
          <w:rFonts w:eastAsia="Times New Roman"/>
          <w:color w:val="222222"/>
        </w:rPr>
        <w:t>deployment.</w:t>
      </w:r>
    </w:p>
    <w:p w:rsidR="00E2260C" w:rsidRDefault="00E2260C" w:rsidP="00937E25">
      <w:pPr>
        <w:tabs>
          <w:tab w:val="left" w:pos="4470"/>
        </w:tabs>
      </w:pPr>
    </w:p>
    <w:p w:rsidR="00E2260C" w:rsidRPr="00937E25" w:rsidRDefault="00E2260C" w:rsidP="00937E25">
      <w:pPr>
        <w:tabs>
          <w:tab w:val="left" w:pos="4470"/>
        </w:tabs>
        <w:rPr>
          <w:b/>
          <w:sz w:val="22"/>
          <w:szCs w:val="22"/>
        </w:rPr>
      </w:pPr>
    </w:p>
    <w:p w:rsidR="00A80961" w:rsidRPr="0008793E" w:rsidRDefault="00900DAE" w:rsidP="0008793E">
      <w:pPr>
        <w:pStyle w:val="Heading1"/>
        <w:numPr>
          <w:ilvl w:val="0"/>
          <w:numId w:val="0"/>
        </w:numPr>
        <w:spacing w:before="0" w:after="120"/>
        <w:jc w:val="both"/>
        <w:rPr>
          <w:b/>
          <w:color w:val="000000"/>
        </w:rPr>
      </w:pPr>
      <w:r w:rsidRPr="003D1980">
        <w:rPr>
          <w:b/>
          <w:color w:val="000000"/>
        </w:rPr>
        <w:t>References</w:t>
      </w:r>
    </w:p>
    <w:p w:rsidR="00A80961" w:rsidRDefault="00A80961" w:rsidP="00A80961">
      <w:pPr>
        <w:numPr>
          <w:ilvl w:val="0"/>
          <w:numId w:val="5"/>
        </w:numPr>
      </w:pPr>
      <w:r>
        <w:t xml:space="preserve"> </w:t>
      </w:r>
      <w:r w:rsidRPr="00DF60F1">
        <w:t>R4-1707597</w:t>
      </w:r>
      <w:r>
        <w:t xml:space="preserve">, </w:t>
      </w:r>
      <w:r w:rsidRPr="00DF60F1">
        <w:t>Almost-contiguous uplink resource allocation for NR</w:t>
      </w:r>
      <w:r>
        <w:t xml:space="preserve">, </w:t>
      </w:r>
      <w:r w:rsidRPr="00DF60F1">
        <w:t>Nokia, Nokia Shanghai Bell</w:t>
      </w:r>
      <w:r>
        <w:t>, RAN4</w:t>
      </w:r>
      <w:r w:rsidR="004C127D">
        <w:t xml:space="preserve"> </w:t>
      </w:r>
      <w:r>
        <w:t>#84</w:t>
      </w:r>
      <w:r w:rsidR="004C127D">
        <w:t>.</w:t>
      </w:r>
    </w:p>
    <w:p w:rsidR="00A80961" w:rsidRDefault="00A80961" w:rsidP="00A80961">
      <w:pPr>
        <w:ind w:left="420"/>
      </w:pPr>
    </w:p>
    <w:p w:rsidR="00A80961" w:rsidRDefault="00A80961" w:rsidP="00A80961">
      <w:pPr>
        <w:numPr>
          <w:ilvl w:val="0"/>
          <w:numId w:val="5"/>
        </w:numPr>
      </w:pPr>
      <w:r w:rsidRPr="00B55BFC">
        <w:t>R4-170</w:t>
      </w:r>
      <w:r>
        <w:t>6828</w:t>
      </w:r>
      <w:r w:rsidRPr="00B55BFC">
        <w:t xml:space="preserve">, </w:t>
      </w:r>
      <w:r w:rsidRPr="00AF2233">
        <w:t>Views on UL non-contiguous allocation</w:t>
      </w:r>
      <w:r w:rsidRPr="00B55BFC">
        <w:t xml:space="preserve">, </w:t>
      </w:r>
      <w:r w:rsidRPr="00AF2233">
        <w:t>NTT DOCOMO, INC.</w:t>
      </w:r>
      <w:r w:rsidRPr="00B55BFC">
        <w:t>, RAN4</w:t>
      </w:r>
      <w:r>
        <w:t xml:space="preserve"> NR Meeting#2. </w:t>
      </w:r>
    </w:p>
    <w:p w:rsidR="004C127D" w:rsidRDefault="004C127D" w:rsidP="004C127D">
      <w:pPr>
        <w:pStyle w:val="ListParagraph"/>
      </w:pPr>
    </w:p>
    <w:p w:rsidR="004C127D" w:rsidRPr="004C127D" w:rsidRDefault="004C127D" w:rsidP="004C127D">
      <w:pPr>
        <w:pStyle w:val="11BodyText"/>
        <w:numPr>
          <w:ilvl w:val="0"/>
          <w:numId w:val="5"/>
        </w:numPr>
        <w:rPr>
          <w:rFonts w:ascii="Times New Roman" w:hAnsi="Times New Roman"/>
          <w:sz w:val="22"/>
          <w:lang w:val="en-US"/>
        </w:rPr>
      </w:pPr>
      <w:r w:rsidRPr="006F5452">
        <w:rPr>
          <w:rFonts w:ascii="Times New Roman" w:hAnsi="Times New Roman"/>
          <w:sz w:val="22"/>
          <w:lang w:val="en-US"/>
        </w:rPr>
        <w:t>R4</w:t>
      </w:r>
      <w:r>
        <w:rPr>
          <w:rFonts w:ascii="MS Mincho" w:eastAsia="MS Mincho" w:hAnsi="MS Mincho" w:cs="MS Mincho"/>
          <w:sz w:val="22"/>
          <w:lang w:val="en-US"/>
        </w:rPr>
        <w:t>-</w:t>
      </w:r>
      <w:r>
        <w:rPr>
          <w:rFonts w:ascii="Times New Roman" w:hAnsi="Times New Roman"/>
          <w:sz w:val="22"/>
          <w:lang w:val="en-US"/>
        </w:rPr>
        <w:t xml:space="preserve">146503 </w:t>
      </w:r>
      <w:r w:rsidRPr="006F5452">
        <w:rPr>
          <w:rFonts w:ascii="Times New Roman" w:hAnsi="Times New Roman"/>
          <w:sz w:val="22"/>
          <w:lang w:val="en-US"/>
        </w:rPr>
        <w:t xml:space="preserve">A-MPR for contiguous CA with almost-contiguous resource allocations and CA_NS </w:t>
      </w:r>
      <w:r>
        <w:rPr>
          <w:rFonts w:ascii="Times New Roman" w:hAnsi="Times New Roman"/>
          <w:sz w:val="22"/>
          <w:lang w:val="en-US"/>
        </w:rPr>
        <w:t>signaling, RAN4 #72bis.</w:t>
      </w:r>
    </w:p>
    <w:p w:rsidR="00A80961" w:rsidRPr="00A80961" w:rsidRDefault="00A80961" w:rsidP="00A80961">
      <w:pPr>
        <w:pStyle w:val="11BodyText"/>
        <w:numPr>
          <w:ilvl w:val="0"/>
          <w:numId w:val="5"/>
        </w:numPr>
        <w:rPr>
          <w:rFonts w:ascii="Times New Roman" w:hAnsi="Times New Roman"/>
          <w:sz w:val="22"/>
          <w:lang w:val="en-US"/>
        </w:rPr>
      </w:pPr>
      <w:r w:rsidRPr="0010144B">
        <w:rPr>
          <w:rFonts w:ascii="Times New Roman" w:hAnsi="Times New Roman"/>
          <w:sz w:val="22"/>
          <w:lang w:val="en-US"/>
        </w:rPr>
        <w:lastRenderedPageBreak/>
        <w:t>R4</w:t>
      </w:r>
      <w:r>
        <w:rPr>
          <w:rFonts w:ascii="MS Mincho" w:eastAsia="MS Mincho" w:hAnsi="MS Mincho" w:cs="MS Mincho"/>
          <w:sz w:val="22"/>
          <w:lang w:val="en-US"/>
        </w:rPr>
        <w:t>-</w:t>
      </w:r>
      <w:r>
        <w:rPr>
          <w:rFonts w:ascii="Times New Roman" w:hAnsi="Times New Roman"/>
          <w:sz w:val="22"/>
          <w:lang w:val="en-US"/>
        </w:rPr>
        <w:t xml:space="preserve">161018, </w:t>
      </w:r>
      <w:r w:rsidRPr="0010144B">
        <w:rPr>
          <w:rFonts w:ascii="Times New Roman" w:hAnsi="Times New Roman"/>
          <w:sz w:val="22"/>
          <w:lang w:val="en-US"/>
        </w:rPr>
        <w:t>PUCCH Considerations for Intra-Band Carrier Aggregation</w:t>
      </w:r>
      <w:r>
        <w:rPr>
          <w:rFonts w:ascii="Times New Roman" w:hAnsi="Times New Roman"/>
          <w:sz w:val="22"/>
          <w:lang w:val="en-US"/>
        </w:rPr>
        <w:t>, Motorola Mobility</w:t>
      </w:r>
      <w:r w:rsidR="004C127D">
        <w:rPr>
          <w:rFonts w:ascii="Times New Roman" w:hAnsi="Times New Roman"/>
          <w:sz w:val="22"/>
          <w:lang w:val="en-US"/>
        </w:rPr>
        <w:t>, RAN4 #78.</w:t>
      </w:r>
    </w:p>
    <w:p w:rsidR="0010144B" w:rsidRDefault="0010144B" w:rsidP="00E35CF2">
      <w:pPr>
        <w:pStyle w:val="11BodyText"/>
        <w:numPr>
          <w:ilvl w:val="0"/>
          <w:numId w:val="5"/>
        </w:numPr>
        <w:rPr>
          <w:rFonts w:ascii="Times New Roman" w:hAnsi="Times New Roman"/>
          <w:sz w:val="22"/>
          <w:lang w:val="en-US"/>
        </w:rPr>
      </w:pPr>
      <w:r w:rsidRPr="0010144B">
        <w:rPr>
          <w:rFonts w:ascii="Times New Roman" w:hAnsi="Times New Roman"/>
          <w:sz w:val="22"/>
          <w:lang w:val="en-US"/>
        </w:rPr>
        <w:t>R4</w:t>
      </w:r>
      <w:r w:rsidR="006F5452">
        <w:rPr>
          <w:rFonts w:ascii="MS Mincho" w:eastAsia="MS Mincho" w:hAnsi="MS Mincho" w:cs="MS Mincho"/>
          <w:sz w:val="22"/>
          <w:lang w:val="en-US"/>
        </w:rPr>
        <w:t>-</w:t>
      </w:r>
      <w:r w:rsidRPr="0010144B">
        <w:rPr>
          <w:rFonts w:ascii="Times New Roman" w:hAnsi="Times New Roman"/>
          <w:sz w:val="22"/>
          <w:lang w:val="en-US"/>
        </w:rPr>
        <w:t>156532</w:t>
      </w:r>
      <w:r w:rsidR="006F5452">
        <w:rPr>
          <w:rFonts w:ascii="Times New Roman" w:hAnsi="Times New Roman"/>
          <w:sz w:val="22"/>
          <w:lang w:val="en-US"/>
        </w:rPr>
        <w:t xml:space="preserve">, </w:t>
      </w:r>
      <w:r w:rsidRPr="0010144B">
        <w:rPr>
          <w:rFonts w:ascii="Times New Roman" w:hAnsi="Times New Roman"/>
          <w:sz w:val="22"/>
          <w:lang w:val="en-US"/>
        </w:rPr>
        <w:t>CA_NS_08 A-MPR for Band 42 with Almost Contiguous Resource Allocations</w:t>
      </w:r>
      <w:r w:rsidR="006F5452">
        <w:rPr>
          <w:rFonts w:ascii="Times New Roman" w:hAnsi="Times New Roman"/>
          <w:sz w:val="22"/>
          <w:lang w:val="en-US"/>
        </w:rPr>
        <w:t>, Motorola Mobility</w:t>
      </w:r>
      <w:r w:rsidR="004C127D">
        <w:rPr>
          <w:rFonts w:ascii="Times New Roman" w:hAnsi="Times New Roman"/>
          <w:sz w:val="22"/>
          <w:lang w:val="en-US"/>
        </w:rPr>
        <w:t>, RAN4 #76bis.</w:t>
      </w:r>
    </w:p>
    <w:p w:rsidR="006F5452" w:rsidRPr="007B181D" w:rsidRDefault="006F5452" w:rsidP="006F5452">
      <w:pPr>
        <w:pStyle w:val="11BodyText"/>
        <w:numPr>
          <w:ilvl w:val="0"/>
          <w:numId w:val="5"/>
        </w:numPr>
        <w:rPr>
          <w:rFonts w:ascii="Times New Roman" w:hAnsi="Times New Roman"/>
          <w:sz w:val="22"/>
          <w:lang w:val="en-US"/>
        </w:rPr>
      </w:pPr>
      <w:r w:rsidRPr="000042A5">
        <w:rPr>
          <w:rFonts w:ascii="Times New Roman" w:hAnsi="Times New Roman"/>
          <w:bCs/>
          <w:sz w:val="22"/>
        </w:rPr>
        <w:t>R4</w:t>
      </w:r>
      <w:r w:rsidRPr="000042A5">
        <w:rPr>
          <w:rFonts w:ascii="Times New Roman" w:hAnsi="Times New Roman"/>
          <w:bCs/>
          <w:sz w:val="22"/>
          <w:lang w:val="en-US"/>
        </w:rPr>
        <w:t>-</w:t>
      </w:r>
      <w:r w:rsidRPr="000042A5">
        <w:rPr>
          <w:rFonts w:ascii="Times New Roman" w:hAnsi="Times New Roman"/>
          <w:sz w:val="22"/>
          <w:lang w:val="en-US"/>
        </w:rPr>
        <w:t>155081,</w:t>
      </w:r>
      <w:r w:rsidRPr="000042A5">
        <w:rPr>
          <w:rFonts w:ascii="Times New Roman" w:hAnsi="Times New Roman"/>
          <w:bCs/>
          <w:sz w:val="22"/>
          <w:lang w:val="en-US"/>
        </w:rPr>
        <w:t xml:space="preserve"> Almost-Contiguous A-MPR for Band 42 with CA_NS_08, Motorola Mobility, RAN4 #76.</w:t>
      </w:r>
    </w:p>
    <w:p w:rsidR="006F5452" w:rsidRPr="000042A5" w:rsidRDefault="006F5452" w:rsidP="006F5452">
      <w:pPr>
        <w:pStyle w:val="11BodyText"/>
        <w:numPr>
          <w:ilvl w:val="0"/>
          <w:numId w:val="5"/>
        </w:numPr>
        <w:rPr>
          <w:rFonts w:ascii="Times New Roman" w:hAnsi="Times New Roman"/>
          <w:sz w:val="22"/>
          <w:lang w:val="en-US"/>
        </w:rPr>
      </w:pPr>
      <w:r>
        <w:rPr>
          <w:rFonts w:ascii="Times New Roman" w:hAnsi="Times New Roman"/>
          <w:sz w:val="22"/>
          <w:lang w:val="en-US"/>
        </w:rPr>
        <w:t>R4-153393, A-MPR for Almost Contiguous Resource Allocations, Motorola Mobility, RAN4 #75.</w:t>
      </w:r>
    </w:p>
    <w:p w:rsidR="006F5452" w:rsidRDefault="006F5452" w:rsidP="006F5452">
      <w:pPr>
        <w:pStyle w:val="11BodyText"/>
        <w:numPr>
          <w:ilvl w:val="0"/>
          <w:numId w:val="5"/>
        </w:numPr>
        <w:rPr>
          <w:rFonts w:ascii="Times New Roman" w:hAnsi="Times New Roman"/>
          <w:sz w:val="22"/>
          <w:lang w:val="en-US"/>
        </w:rPr>
      </w:pPr>
      <w:r>
        <w:rPr>
          <w:rFonts w:ascii="Times New Roman" w:hAnsi="Times New Roman"/>
          <w:sz w:val="22"/>
          <w:lang w:val="en-US"/>
        </w:rPr>
        <w:t>R4-152218, A-MPR Reduction for Contiguous CA with Almost-contiguous Resource Allocations, Motorola Mobility, RAN4 #74bis.</w:t>
      </w:r>
    </w:p>
    <w:p w:rsidR="006F5452" w:rsidRDefault="006F5452" w:rsidP="006F5452">
      <w:pPr>
        <w:pStyle w:val="11BodyText"/>
        <w:numPr>
          <w:ilvl w:val="0"/>
          <w:numId w:val="5"/>
        </w:numPr>
        <w:rPr>
          <w:rFonts w:ascii="Times New Roman" w:hAnsi="Times New Roman"/>
          <w:sz w:val="22"/>
          <w:lang w:val="en-US"/>
        </w:rPr>
      </w:pPr>
      <w:r w:rsidRPr="00D3089C">
        <w:rPr>
          <w:rFonts w:ascii="Times New Roman" w:hAnsi="Times New Roman"/>
          <w:sz w:val="22"/>
          <w:lang w:val="en-US"/>
        </w:rPr>
        <w:t>R4-150925</w:t>
      </w:r>
      <w:r>
        <w:rPr>
          <w:rFonts w:ascii="Times New Roman" w:hAnsi="Times New Roman"/>
          <w:sz w:val="22"/>
          <w:lang w:val="en-US"/>
        </w:rPr>
        <w:t xml:space="preserve">, </w:t>
      </w:r>
      <w:r w:rsidRPr="00D3089C">
        <w:rPr>
          <w:rFonts w:ascii="Times New Roman" w:hAnsi="Times New Roman"/>
          <w:sz w:val="22"/>
          <w:lang w:val="en-US"/>
        </w:rPr>
        <w:t xml:space="preserve">A-MPR for CA with </w:t>
      </w:r>
      <w:r>
        <w:rPr>
          <w:rFonts w:ascii="Times New Roman" w:hAnsi="Times New Roman"/>
          <w:sz w:val="22"/>
          <w:lang w:val="en-US"/>
        </w:rPr>
        <w:t>Almost-contiguous</w:t>
      </w:r>
      <w:r w:rsidRPr="00D3089C">
        <w:rPr>
          <w:rFonts w:ascii="Times New Roman" w:hAnsi="Times New Roman"/>
          <w:sz w:val="22"/>
          <w:lang w:val="en-US"/>
        </w:rPr>
        <w:t xml:space="preserve"> Resource Allocations and CA_NS </w:t>
      </w:r>
      <w:r>
        <w:rPr>
          <w:rFonts w:ascii="Times New Roman" w:hAnsi="Times New Roman"/>
          <w:sz w:val="22"/>
          <w:lang w:val="en-US"/>
        </w:rPr>
        <w:t>signaling, Motorola Mobility, RAN4</w:t>
      </w:r>
      <w:r w:rsidR="004C127D">
        <w:rPr>
          <w:rFonts w:ascii="Times New Roman" w:hAnsi="Times New Roman"/>
          <w:sz w:val="22"/>
          <w:lang w:val="en-US"/>
        </w:rPr>
        <w:t xml:space="preserve"> </w:t>
      </w:r>
      <w:r>
        <w:rPr>
          <w:rFonts w:ascii="Times New Roman" w:hAnsi="Times New Roman"/>
          <w:sz w:val="22"/>
          <w:lang w:val="en-US"/>
        </w:rPr>
        <w:t>#74.</w:t>
      </w:r>
    </w:p>
    <w:sectPr w:rsidR="006F5452" w:rsidSect="00CA686D">
      <w:footerReference w:type="default" r:id="rId15"/>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8DE" w:rsidRDefault="000C68DE">
      <w:r>
        <w:separator/>
      </w:r>
    </w:p>
  </w:endnote>
  <w:endnote w:type="continuationSeparator" w:id="0">
    <w:p w:rsidR="000C68DE" w:rsidRDefault="000C68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仿宋">
    <w:altName w:val="Arial Unicode MS"/>
    <w:panose1 w:val="00000000000000000000"/>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4B0" w:rsidRDefault="00E90D61" w:rsidP="00E90D61">
    <w:pPr>
      <w:pStyle w:val="Footer"/>
      <w:tabs>
        <w:tab w:val="left" w:pos="2341"/>
        <w:tab w:val="center" w:pos="4986"/>
      </w:tabs>
    </w:pPr>
    <w:r>
      <w:rPr>
        <w:rStyle w:val="PageNumber"/>
        <w:rFonts w:eastAsia="MS Gothic"/>
      </w:rPr>
      <w:tab/>
    </w:r>
    <w:r>
      <w:rPr>
        <w:rStyle w:val="PageNumber"/>
        <w:rFonts w:eastAsia="MS Gothic"/>
      </w:rPr>
      <w:tab/>
    </w:r>
    <w:r>
      <w:rPr>
        <w:rStyle w:val="PageNumber"/>
        <w:rFonts w:eastAsia="MS Gothic"/>
      </w:rPr>
      <w:tab/>
    </w:r>
    <w:r w:rsidR="007E24B0">
      <w:rPr>
        <w:rStyle w:val="PageNumber"/>
        <w:rFonts w:eastAsia="MS Gothic"/>
      </w:rPr>
      <w:t xml:space="preserve">- </w:t>
    </w:r>
    <w:r w:rsidR="00A03265">
      <w:rPr>
        <w:rStyle w:val="PageNumber"/>
        <w:rFonts w:eastAsia="MS Gothic"/>
      </w:rPr>
      <w:fldChar w:fldCharType="begin"/>
    </w:r>
    <w:r w:rsidR="007E24B0">
      <w:rPr>
        <w:rStyle w:val="PageNumber"/>
        <w:rFonts w:eastAsia="MS Gothic"/>
      </w:rPr>
      <w:instrText xml:space="preserve"> PAGE </w:instrText>
    </w:r>
    <w:r w:rsidR="00A03265">
      <w:rPr>
        <w:rStyle w:val="PageNumber"/>
        <w:rFonts w:eastAsia="MS Gothic"/>
      </w:rPr>
      <w:fldChar w:fldCharType="separate"/>
    </w:r>
    <w:r w:rsidR="004E2414">
      <w:rPr>
        <w:rStyle w:val="PageNumber"/>
        <w:rFonts w:eastAsia="MS Gothic"/>
        <w:noProof/>
      </w:rPr>
      <w:t>1</w:t>
    </w:r>
    <w:r w:rsidR="00A03265">
      <w:rPr>
        <w:rStyle w:val="PageNumber"/>
        <w:rFonts w:eastAsia="MS Gothic"/>
      </w:rPr>
      <w:fldChar w:fldCharType="end"/>
    </w:r>
    <w:r w:rsidR="007E24B0">
      <w:rPr>
        <w:rStyle w:val="PageNumber"/>
        <w:rFonts w:eastAsia="MS Gothic"/>
      </w:rPr>
      <w:t>/</w:t>
    </w:r>
    <w:r w:rsidR="00A03265">
      <w:rPr>
        <w:rStyle w:val="PageNumber"/>
        <w:rFonts w:eastAsia="MS Gothic"/>
      </w:rPr>
      <w:fldChar w:fldCharType="begin"/>
    </w:r>
    <w:r w:rsidR="007E24B0">
      <w:rPr>
        <w:rStyle w:val="PageNumber"/>
        <w:rFonts w:eastAsia="MS Gothic"/>
      </w:rPr>
      <w:instrText xml:space="preserve"> NUMPAGES </w:instrText>
    </w:r>
    <w:r w:rsidR="00A03265">
      <w:rPr>
        <w:rStyle w:val="PageNumber"/>
        <w:rFonts w:eastAsia="MS Gothic"/>
      </w:rPr>
      <w:fldChar w:fldCharType="separate"/>
    </w:r>
    <w:r w:rsidR="004E2414">
      <w:rPr>
        <w:rStyle w:val="PageNumber"/>
        <w:rFonts w:eastAsia="MS Gothic"/>
        <w:noProof/>
      </w:rPr>
      <w:t>5</w:t>
    </w:r>
    <w:r w:rsidR="00A03265">
      <w:rPr>
        <w:rStyle w:val="PageNumber"/>
        <w:rFonts w:eastAsia="MS Gothic"/>
      </w:rPr>
      <w:fldChar w:fldCharType="end"/>
    </w:r>
    <w:r w:rsidR="007E24B0">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8DE" w:rsidRDefault="000C68DE">
      <w:r>
        <w:separator/>
      </w:r>
    </w:p>
  </w:footnote>
  <w:footnote w:type="continuationSeparator" w:id="0">
    <w:p w:rsidR="000C68DE" w:rsidRDefault="000C68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8B7BBD"/>
    <w:multiLevelType w:val="hybridMultilevel"/>
    <w:tmpl w:val="169234D8"/>
    <w:lvl w:ilvl="0" w:tplc="140EE3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F9E599F"/>
    <w:multiLevelType w:val="hybridMultilevel"/>
    <w:tmpl w:val="401AA0C0"/>
    <w:lvl w:ilvl="0" w:tplc="EF1EF8D2">
      <w:start w:val="1"/>
      <w:numFmt w:val="lowerRoman"/>
      <w:lvlText w:val="%1)"/>
      <w:lvlJc w:val="left"/>
      <w:pPr>
        <w:ind w:left="1800" w:hanging="720"/>
      </w:pPr>
      <w:rPr>
        <w:rFonts w:hint="default"/>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5">
    <w:nsid w:val="157D10A0"/>
    <w:multiLevelType w:val="hybridMultilevel"/>
    <w:tmpl w:val="F2A2D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770697"/>
    <w:multiLevelType w:val="hybridMultilevel"/>
    <w:tmpl w:val="2040B25A"/>
    <w:lvl w:ilvl="0" w:tplc="E7E61B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BE2E0F"/>
    <w:multiLevelType w:val="hybridMultilevel"/>
    <w:tmpl w:val="442E0C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9067B07"/>
    <w:multiLevelType w:val="hybridMultilevel"/>
    <w:tmpl w:val="4058D344"/>
    <w:lvl w:ilvl="0" w:tplc="8DDEF0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322546"/>
    <w:multiLevelType w:val="hybridMultilevel"/>
    <w:tmpl w:val="427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71C6C83"/>
    <w:multiLevelType w:val="hybridMultilevel"/>
    <w:tmpl w:val="06C41094"/>
    <w:lvl w:ilvl="0" w:tplc="AC98DF74">
      <w:start w:val="1"/>
      <w:numFmt w:val="low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9">
    <w:nsid w:val="3D61001B"/>
    <w:multiLevelType w:val="multilevel"/>
    <w:tmpl w:val="BF0012A4"/>
    <w:lvl w:ilvl="0">
      <w:start w:val="1"/>
      <w:numFmt w:val="decimalZero"/>
      <w:pStyle w:val="Para0-99"/>
      <w:lvlText w:val="[00%1]"/>
      <w:lvlJc w:val="left"/>
      <w:pPr>
        <w:tabs>
          <w:tab w:val="num" w:pos="1080"/>
        </w:tabs>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0720686"/>
    <w:multiLevelType w:val="hybridMultilevel"/>
    <w:tmpl w:val="0FCA0FDE"/>
    <w:lvl w:ilvl="0" w:tplc="623AE7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1A0CDA"/>
    <w:multiLevelType w:val="hybridMultilevel"/>
    <w:tmpl w:val="AA7C0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DD25A1"/>
    <w:multiLevelType w:val="hybridMultilevel"/>
    <w:tmpl w:val="9626CF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C5F192E"/>
    <w:multiLevelType w:val="hybridMultilevel"/>
    <w:tmpl w:val="58760A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28A4D96"/>
    <w:multiLevelType w:val="hybridMultilevel"/>
    <w:tmpl w:val="4C42FE9E"/>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7AD2ABD"/>
    <w:multiLevelType w:val="hybridMultilevel"/>
    <w:tmpl w:val="993635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1E9513E"/>
    <w:multiLevelType w:val="hybridMultilevel"/>
    <w:tmpl w:val="57DCE896"/>
    <w:lvl w:ilvl="0" w:tplc="280A74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6D5562"/>
    <w:multiLevelType w:val="hybridMultilevel"/>
    <w:tmpl w:val="A9CC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F89775E"/>
    <w:multiLevelType w:val="hybridMultilevel"/>
    <w:tmpl w:val="55E6E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6"/>
  </w:num>
  <w:num w:numId="4">
    <w:abstractNumId w:val="16"/>
  </w:num>
  <w:num w:numId="5">
    <w:abstractNumId w:val="8"/>
  </w:num>
  <w:num w:numId="6">
    <w:abstractNumId w:val="41"/>
  </w:num>
  <w:num w:numId="7">
    <w:abstractNumId w:val="4"/>
  </w:num>
  <w:num w:numId="8">
    <w:abstractNumId w:val="35"/>
  </w:num>
  <w:num w:numId="9">
    <w:abstractNumId w:val="18"/>
  </w:num>
  <w:num w:numId="10">
    <w:abstractNumId w:val="29"/>
  </w:num>
  <w:num w:numId="11">
    <w:abstractNumId w:val="36"/>
  </w:num>
  <w:num w:numId="12">
    <w:abstractNumId w:val="20"/>
  </w:num>
  <w:num w:numId="13">
    <w:abstractNumId w:val="27"/>
  </w:num>
  <w:num w:numId="14">
    <w:abstractNumId w:val="7"/>
  </w:num>
  <w:num w:numId="15">
    <w:abstractNumId w:val="1"/>
  </w:num>
  <w:num w:numId="16">
    <w:abstractNumId w:val="31"/>
  </w:num>
  <w:num w:numId="17">
    <w:abstractNumId w:val="37"/>
  </w:num>
  <w:num w:numId="18">
    <w:abstractNumId w:val="40"/>
  </w:num>
  <w:num w:numId="19">
    <w:abstractNumId w:val="15"/>
  </w:num>
  <w:num w:numId="20">
    <w:abstractNumId w:val="11"/>
  </w:num>
  <w:num w:numId="21">
    <w:abstractNumId w:val="25"/>
  </w:num>
  <w:num w:numId="22">
    <w:abstractNumId w:val="6"/>
  </w:num>
  <w:num w:numId="23">
    <w:abstractNumId w:val="32"/>
  </w:num>
  <w:num w:numId="24">
    <w:abstractNumId w:val="24"/>
  </w:num>
  <w:num w:numId="25">
    <w:abstractNumId w:val="9"/>
  </w:num>
  <w:num w:numId="26">
    <w:abstractNumId w:val="39"/>
  </w:num>
  <w:num w:numId="27">
    <w:abstractNumId w:val="23"/>
  </w:num>
  <w:num w:numId="28">
    <w:abstractNumId w:val="2"/>
  </w:num>
  <w:num w:numId="29">
    <w:abstractNumId w:val="30"/>
  </w:num>
  <w:num w:numId="30">
    <w:abstractNumId w:val="28"/>
  </w:num>
  <w:num w:numId="31">
    <w:abstractNumId w:val="10"/>
  </w:num>
  <w:num w:numId="32">
    <w:abstractNumId w:val="13"/>
  </w:num>
  <w:num w:numId="33">
    <w:abstractNumId w:val="42"/>
  </w:num>
  <w:num w:numId="34">
    <w:abstractNumId w:val="34"/>
  </w:num>
  <w:num w:numId="35">
    <w:abstractNumId w:val="26"/>
  </w:num>
  <w:num w:numId="36">
    <w:abstractNumId w:val="19"/>
  </w:num>
  <w:num w:numId="37">
    <w:abstractNumId w:val="12"/>
  </w:num>
  <w:num w:numId="38">
    <w:abstractNumId w:val="22"/>
  </w:num>
  <w:num w:numId="39">
    <w:abstractNumId w:val="14"/>
  </w:num>
  <w:num w:numId="40">
    <w:abstractNumId w:val="38"/>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5"/>
  </w:num>
  <w:num w:numId="44">
    <w:abstractNumId w:val="3"/>
  </w:num>
  <w:num w:numId="45">
    <w:abstractNumId w:val="1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98306">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40E"/>
    <w:rsid w:val="0000255B"/>
    <w:rsid w:val="00003973"/>
    <w:rsid w:val="00003A56"/>
    <w:rsid w:val="000042A5"/>
    <w:rsid w:val="0000530F"/>
    <w:rsid w:val="00005C60"/>
    <w:rsid w:val="0000600D"/>
    <w:rsid w:val="000065F7"/>
    <w:rsid w:val="00010CB1"/>
    <w:rsid w:val="00011941"/>
    <w:rsid w:val="0001251B"/>
    <w:rsid w:val="0001297C"/>
    <w:rsid w:val="00012DFF"/>
    <w:rsid w:val="00012E98"/>
    <w:rsid w:val="000131E4"/>
    <w:rsid w:val="000139A9"/>
    <w:rsid w:val="000153FF"/>
    <w:rsid w:val="00015E0A"/>
    <w:rsid w:val="00016846"/>
    <w:rsid w:val="00016BE7"/>
    <w:rsid w:val="0001734F"/>
    <w:rsid w:val="000173ED"/>
    <w:rsid w:val="000208F2"/>
    <w:rsid w:val="00021545"/>
    <w:rsid w:val="000219CD"/>
    <w:rsid w:val="00022E12"/>
    <w:rsid w:val="000233B7"/>
    <w:rsid w:val="00024474"/>
    <w:rsid w:val="0002447B"/>
    <w:rsid w:val="00025D3B"/>
    <w:rsid w:val="0002724D"/>
    <w:rsid w:val="0003024D"/>
    <w:rsid w:val="000319C0"/>
    <w:rsid w:val="00031B8A"/>
    <w:rsid w:val="000339FC"/>
    <w:rsid w:val="00034A93"/>
    <w:rsid w:val="00034E72"/>
    <w:rsid w:val="00035038"/>
    <w:rsid w:val="00035722"/>
    <w:rsid w:val="00035CCE"/>
    <w:rsid w:val="00036917"/>
    <w:rsid w:val="000373FB"/>
    <w:rsid w:val="00037C0E"/>
    <w:rsid w:val="00037D20"/>
    <w:rsid w:val="000404A6"/>
    <w:rsid w:val="00040ACA"/>
    <w:rsid w:val="00041699"/>
    <w:rsid w:val="00041715"/>
    <w:rsid w:val="00043CE6"/>
    <w:rsid w:val="000445C0"/>
    <w:rsid w:val="00044B4D"/>
    <w:rsid w:val="0004558E"/>
    <w:rsid w:val="0004620F"/>
    <w:rsid w:val="00046C36"/>
    <w:rsid w:val="000473AF"/>
    <w:rsid w:val="000473C8"/>
    <w:rsid w:val="000474F1"/>
    <w:rsid w:val="000478E7"/>
    <w:rsid w:val="00047C54"/>
    <w:rsid w:val="00047E01"/>
    <w:rsid w:val="00047EB1"/>
    <w:rsid w:val="000501EB"/>
    <w:rsid w:val="00050401"/>
    <w:rsid w:val="00050BAA"/>
    <w:rsid w:val="000514EA"/>
    <w:rsid w:val="00051B43"/>
    <w:rsid w:val="00051BB4"/>
    <w:rsid w:val="00052318"/>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0B"/>
    <w:rsid w:val="00063997"/>
    <w:rsid w:val="0006633E"/>
    <w:rsid w:val="00066EA6"/>
    <w:rsid w:val="00066FAF"/>
    <w:rsid w:val="00067AD3"/>
    <w:rsid w:val="00070323"/>
    <w:rsid w:val="00070BD1"/>
    <w:rsid w:val="00071314"/>
    <w:rsid w:val="00071382"/>
    <w:rsid w:val="00071987"/>
    <w:rsid w:val="00072998"/>
    <w:rsid w:val="00073891"/>
    <w:rsid w:val="0007585B"/>
    <w:rsid w:val="000761E9"/>
    <w:rsid w:val="0007776E"/>
    <w:rsid w:val="00080907"/>
    <w:rsid w:val="00081697"/>
    <w:rsid w:val="00081C3F"/>
    <w:rsid w:val="0008201A"/>
    <w:rsid w:val="00082A22"/>
    <w:rsid w:val="0008390F"/>
    <w:rsid w:val="000840C3"/>
    <w:rsid w:val="000850E1"/>
    <w:rsid w:val="0008577F"/>
    <w:rsid w:val="00086246"/>
    <w:rsid w:val="00086611"/>
    <w:rsid w:val="00086C10"/>
    <w:rsid w:val="00086D89"/>
    <w:rsid w:val="0008771A"/>
    <w:rsid w:val="0008793E"/>
    <w:rsid w:val="000900C9"/>
    <w:rsid w:val="00092BE4"/>
    <w:rsid w:val="00092D77"/>
    <w:rsid w:val="00093F84"/>
    <w:rsid w:val="00094631"/>
    <w:rsid w:val="0009490A"/>
    <w:rsid w:val="00095181"/>
    <w:rsid w:val="0009643A"/>
    <w:rsid w:val="000966A3"/>
    <w:rsid w:val="00096728"/>
    <w:rsid w:val="00096C08"/>
    <w:rsid w:val="00097021"/>
    <w:rsid w:val="00097E0F"/>
    <w:rsid w:val="000A0315"/>
    <w:rsid w:val="000A053B"/>
    <w:rsid w:val="000A0C59"/>
    <w:rsid w:val="000A0D64"/>
    <w:rsid w:val="000A0D90"/>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746"/>
    <w:rsid w:val="000B1BDB"/>
    <w:rsid w:val="000B244F"/>
    <w:rsid w:val="000B2B16"/>
    <w:rsid w:val="000B442C"/>
    <w:rsid w:val="000B46A2"/>
    <w:rsid w:val="000B4AA2"/>
    <w:rsid w:val="000B53EB"/>
    <w:rsid w:val="000B540E"/>
    <w:rsid w:val="000B5591"/>
    <w:rsid w:val="000B57BE"/>
    <w:rsid w:val="000B6715"/>
    <w:rsid w:val="000B6737"/>
    <w:rsid w:val="000B7BFE"/>
    <w:rsid w:val="000C0010"/>
    <w:rsid w:val="000C0B19"/>
    <w:rsid w:val="000C0F4D"/>
    <w:rsid w:val="000C1BDD"/>
    <w:rsid w:val="000C2058"/>
    <w:rsid w:val="000C21A2"/>
    <w:rsid w:val="000C22B0"/>
    <w:rsid w:val="000C259D"/>
    <w:rsid w:val="000C2B5C"/>
    <w:rsid w:val="000C2D27"/>
    <w:rsid w:val="000C2E07"/>
    <w:rsid w:val="000C3236"/>
    <w:rsid w:val="000C3DF3"/>
    <w:rsid w:val="000C49BD"/>
    <w:rsid w:val="000C54DC"/>
    <w:rsid w:val="000C58B9"/>
    <w:rsid w:val="000C664F"/>
    <w:rsid w:val="000C68DE"/>
    <w:rsid w:val="000C735F"/>
    <w:rsid w:val="000C73D8"/>
    <w:rsid w:val="000C76AD"/>
    <w:rsid w:val="000D0184"/>
    <w:rsid w:val="000D0461"/>
    <w:rsid w:val="000D0465"/>
    <w:rsid w:val="000D05C5"/>
    <w:rsid w:val="000D0F6A"/>
    <w:rsid w:val="000D26B1"/>
    <w:rsid w:val="000D2BBB"/>
    <w:rsid w:val="000D34B3"/>
    <w:rsid w:val="000D3567"/>
    <w:rsid w:val="000D41B8"/>
    <w:rsid w:val="000D4E5A"/>
    <w:rsid w:val="000D54AA"/>
    <w:rsid w:val="000D571C"/>
    <w:rsid w:val="000D5D1B"/>
    <w:rsid w:val="000D6509"/>
    <w:rsid w:val="000D6548"/>
    <w:rsid w:val="000D6B81"/>
    <w:rsid w:val="000D6FD8"/>
    <w:rsid w:val="000D7D6C"/>
    <w:rsid w:val="000D7E41"/>
    <w:rsid w:val="000E0145"/>
    <w:rsid w:val="000E0529"/>
    <w:rsid w:val="000E0606"/>
    <w:rsid w:val="000E070C"/>
    <w:rsid w:val="000E0829"/>
    <w:rsid w:val="000E1BAF"/>
    <w:rsid w:val="000E2243"/>
    <w:rsid w:val="000E31E6"/>
    <w:rsid w:val="000E44C6"/>
    <w:rsid w:val="000E4940"/>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5D7"/>
    <w:rsid w:val="000F470C"/>
    <w:rsid w:val="000F4A86"/>
    <w:rsid w:val="000F4D77"/>
    <w:rsid w:val="000F64C4"/>
    <w:rsid w:val="000F6E17"/>
    <w:rsid w:val="000F72F0"/>
    <w:rsid w:val="000F7B2D"/>
    <w:rsid w:val="0010015A"/>
    <w:rsid w:val="00100728"/>
    <w:rsid w:val="0010144B"/>
    <w:rsid w:val="00101465"/>
    <w:rsid w:val="00101904"/>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934"/>
    <w:rsid w:val="00111506"/>
    <w:rsid w:val="00111A25"/>
    <w:rsid w:val="00111B38"/>
    <w:rsid w:val="00111B99"/>
    <w:rsid w:val="00112138"/>
    <w:rsid w:val="00112926"/>
    <w:rsid w:val="001130CF"/>
    <w:rsid w:val="001144D3"/>
    <w:rsid w:val="00115471"/>
    <w:rsid w:val="00115EBE"/>
    <w:rsid w:val="0011674F"/>
    <w:rsid w:val="0011733B"/>
    <w:rsid w:val="00117D5F"/>
    <w:rsid w:val="00117FE0"/>
    <w:rsid w:val="00120A55"/>
    <w:rsid w:val="00122527"/>
    <w:rsid w:val="001228EC"/>
    <w:rsid w:val="00123696"/>
    <w:rsid w:val="00123AFF"/>
    <w:rsid w:val="0012467C"/>
    <w:rsid w:val="00124998"/>
    <w:rsid w:val="00124B11"/>
    <w:rsid w:val="00130086"/>
    <w:rsid w:val="001301F9"/>
    <w:rsid w:val="001302E3"/>
    <w:rsid w:val="00131429"/>
    <w:rsid w:val="00131D85"/>
    <w:rsid w:val="00132B84"/>
    <w:rsid w:val="00132C75"/>
    <w:rsid w:val="00133186"/>
    <w:rsid w:val="001331DC"/>
    <w:rsid w:val="00133F70"/>
    <w:rsid w:val="001353C2"/>
    <w:rsid w:val="00135F39"/>
    <w:rsid w:val="00136244"/>
    <w:rsid w:val="00136640"/>
    <w:rsid w:val="00137B67"/>
    <w:rsid w:val="00137D34"/>
    <w:rsid w:val="00137E66"/>
    <w:rsid w:val="0014009D"/>
    <w:rsid w:val="00141234"/>
    <w:rsid w:val="0014168F"/>
    <w:rsid w:val="00141694"/>
    <w:rsid w:val="00141FB9"/>
    <w:rsid w:val="00142757"/>
    <w:rsid w:val="00142FEA"/>
    <w:rsid w:val="00143377"/>
    <w:rsid w:val="001437CA"/>
    <w:rsid w:val="00143A94"/>
    <w:rsid w:val="00143DBE"/>
    <w:rsid w:val="00144294"/>
    <w:rsid w:val="00144613"/>
    <w:rsid w:val="0014491B"/>
    <w:rsid w:val="00144EE2"/>
    <w:rsid w:val="001450AD"/>
    <w:rsid w:val="00146823"/>
    <w:rsid w:val="00146F5C"/>
    <w:rsid w:val="00147200"/>
    <w:rsid w:val="00150C74"/>
    <w:rsid w:val="00151A8D"/>
    <w:rsid w:val="00151F6D"/>
    <w:rsid w:val="00151FC5"/>
    <w:rsid w:val="0015215C"/>
    <w:rsid w:val="001532DD"/>
    <w:rsid w:val="00153490"/>
    <w:rsid w:val="0015365F"/>
    <w:rsid w:val="0015439F"/>
    <w:rsid w:val="001545B1"/>
    <w:rsid w:val="00154C6A"/>
    <w:rsid w:val="001551D0"/>
    <w:rsid w:val="00155549"/>
    <w:rsid w:val="00155694"/>
    <w:rsid w:val="00155951"/>
    <w:rsid w:val="00156214"/>
    <w:rsid w:val="0015737C"/>
    <w:rsid w:val="00157421"/>
    <w:rsid w:val="001606A8"/>
    <w:rsid w:val="00160828"/>
    <w:rsid w:val="00160971"/>
    <w:rsid w:val="00160E1D"/>
    <w:rsid w:val="001633BE"/>
    <w:rsid w:val="00163495"/>
    <w:rsid w:val="00164694"/>
    <w:rsid w:val="00165DE5"/>
    <w:rsid w:val="00165DE9"/>
    <w:rsid w:val="00166A44"/>
    <w:rsid w:val="00167F8D"/>
    <w:rsid w:val="00170154"/>
    <w:rsid w:val="00171579"/>
    <w:rsid w:val="001724ED"/>
    <w:rsid w:val="00172CA9"/>
    <w:rsid w:val="00172DB4"/>
    <w:rsid w:val="001736A5"/>
    <w:rsid w:val="00173903"/>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4AF"/>
    <w:rsid w:val="00182609"/>
    <w:rsid w:val="0018281E"/>
    <w:rsid w:val="0018284C"/>
    <w:rsid w:val="001829B9"/>
    <w:rsid w:val="00183771"/>
    <w:rsid w:val="001839EE"/>
    <w:rsid w:val="00183CEA"/>
    <w:rsid w:val="001840F4"/>
    <w:rsid w:val="00184388"/>
    <w:rsid w:val="00184392"/>
    <w:rsid w:val="00185456"/>
    <w:rsid w:val="00185D80"/>
    <w:rsid w:val="001875EA"/>
    <w:rsid w:val="00187C19"/>
    <w:rsid w:val="00187ED4"/>
    <w:rsid w:val="001900AC"/>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2D6"/>
    <w:rsid w:val="0019533E"/>
    <w:rsid w:val="001957DC"/>
    <w:rsid w:val="00195944"/>
    <w:rsid w:val="0019606F"/>
    <w:rsid w:val="00196F1E"/>
    <w:rsid w:val="0019703A"/>
    <w:rsid w:val="00197A8C"/>
    <w:rsid w:val="00197BA5"/>
    <w:rsid w:val="00197E3A"/>
    <w:rsid w:val="001A027C"/>
    <w:rsid w:val="001A0D10"/>
    <w:rsid w:val="001A130B"/>
    <w:rsid w:val="001A19DB"/>
    <w:rsid w:val="001A1E9B"/>
    <w:rsid w:val="001A2590"/>
    <w:rsid w:val="001A2F38"/>
    <w:rsid w:val="001A3C40"/>
    <w:rsid w:val="001A3D54"/>
    <w:rsid w:val="001A3E2A"/>
    <w:rsid w:val="001A4B90"/>
    <w:rsid w:val="001A627D"/>
    <w:rsid w:val="001A65A8"/>
    <w:rsid w:val="001A6D3D"/>
    <w:rsid w:val="001A731B"/>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47A"/>
    <w:rsid w:val="001C06AE"/>
    <w:rsid w:val="001C12BD"/>
    <w:rsid w:val="001C16FD"/>
    <w:rsid w:val="001C211D"/>
    <w:rsid w:val="001C2D37"/>
    <w:rsid w:val="001C4595"/>
    <w:rsid w:val="001C4835"/>
    <w:rsid w:val="001C48FB"/>
    <w:rsid w:val="001C49E4"/>
    <w:rsid w:val="001C524F"/>
    <w:rsid w:val="001C558B"/>
    <w:rsid w:val="001C5CC8"/>
    <w:rsid w:val="001C5DD2"/>
    <w:rsid w:val="001C5F83"/>
    <w:rsid w:val="001C654B"/>
    <w:rsid w:val="001C68C7"/>
    <w:rsid w:val="001C6F5A"/>
    <w:rsid w:val="001C7209"/>
    <w:rsid w:val="001D02E1"/>
    <w:rsid w:val="001D0316"/>
    <w:rsid w:val="001D1A10"/>
    <w:rsid w:val="001D1B2D"/>
    <w:rsid w:val="001D1D55"/>
    <w:rsid w:val="001D33EB"/>
    <w:rsid w:val="001D3BFB"/>
    <w:rsid w:val="001D4097"/>
    <w:rsid w:val="001D491E"/>
    <w:rsid w:val="001D5150"/>
    <w:rsid w:val="001D59AA"/>
    <w:rsid w:val="001D5A30"/>
    <w:rsid w:val="001D67C0"/>
    <w:rsid w:val="001D6C5A"/>
    <w:rsid w:val="001E1A59"/>
    <w:rsid w:val="001E1B14"/>
    <w:rsid w:val="001E4282"/>
    <w:rsid w:val="001E42AC"/>
    <w:rsid w:val="001E4340"/>
    <w:rsid w:val="001E44CF"/>
    <w:rsid w:val="001E4B78"/>
    <w:rsid w:val="001E6BB3"/>
    <w:rsid w:val="001E763D"/>
    <w:rsid w:val="001E78AD"/>
    <w:rsid w:val="001E7F94"/>
    <w:rsid w:val="001F030E"/>
    <w:rsid w:val="001F0B5E"/>
    <w:rsid w:val="001F1D3C"/>
    <w:rsid w:val="001F2589"/>
    <w:rsid w:val="001F29D1"/>
    <w:rsid w:val="001F2D7A"/>
    <w:rsid w:val="001F2DE8"/>
    <w:rsid w:val="001F316B"/>
    <w:rsid w:val="001F330C"/>
    <w:rsid w:val="001F3F7C"/>
    <w:rsid w:val="001F442F"/>
    <w:rsid w:val="001F5374"/>
    <w:rsid w:val="001F55BE"/>
    <w:rsid w:val="001F59AC"/>
    <w:rsid w:val="001F67E2"/>
    <w:rsid w:val="001F694E"/>
    <w:rsid w:val="001F7468"/>
    <w:rsid w:val="001F74C1"/>
    <w:rsid w:val="001F75A0"/>
    <w:rsid w:val="00200717"/>
    <w:rsid w:val="00200AFA"/>
    <w:rsid w:val="00200B3A"/>
    <w:rsid w:val="00200BCA"/>
    <w:rsid w:val="00200EA2"/>
    <w:rsid w:val="0020144E"/>
    <w:rsid w:val="00202090"/>
    <w:rsid w:val="002035CF"/>
    <w:rsid w:val="00203C2A"/>
    <w:rsid w:val="002041ED"/>
    <w:rsid w:val="002042EE"/>
    <w:rsid w:val="002043A5"/>
    <w:rsid w:val="002048AE"/>
    <w:rsid w:val="00204B06"/>
    <w:rsid w:val="00204D02"/>
    <w:rsid w:val="00205562"/>
    <w:rsid w:val="00205C47"/>
    <w:rsid w:val="0020746F"/>
    <w:rsid w:val="00207591"/>
    <w:rsid w:val="00207B54"/>
    <w:rsid w:val="00211AF9"/>
    <w:rsid w:val="00213330"/>
    <w:rsid w:val="00214BFA"/>
    <w:rsid w:val="00215106"/>
    <w:rsid w:val="0021543B"/>
    <w:rsid w:val="002154CD"/>
    <w:rsid w:val="002155C0"/>
    <w:rsid w:val="0021680A"/>
    <w:rsid w:val="0021681A"/>
    <w:rsid w:val="00217D09"/>
    <w:rsid w:val="0022166D"/>
    <w:rsid w:val="00221826"/>
    <w:rsid w:val="0022207C"/>
    <w:rsid w:val="00222A2D"/>
    <w:rsid w:val="00224402"/>
    <w:rsid w:val="0022589B"/>
    <w:rsid w:val="0022678C"/>
    <w:rsid w:val="00226B0D"/>
    <w:rsid w:val="00226BF4"/>
    <w:rsid w:val="002273D4"/>
    <w:rsid w:val="00227736"/>
    <w:rsid w:val="002279F2"/>
    <w:rsid w:val="00227FDC"/>
    <w:rsid w:val="0023003F"/>
    <w:rsid w:val="0023142F"/>
    <w:rsid w:val="002318EF"/>
    <w:rsid w:val="002318F9"/>
    <w:rsid w:val="00231BE1"/>
    <w:rsid w:val="00231D85"/>
    <w:rsid w:val="00231E77"/>
    <w:rsid w:val="00233553"/>
    <w:rsid w:val="00233E8A"/>
    <w:rsid w:val="002343D8"/>
    <w:rsid w:val="00234D14"/>
    <w:rsid w:val="00235EA3"/>
    <w:rsid w:val="00235FD1"/>
    <w:rsid w:val="00236316"/>
    <w:rsid w:val="0023703D"/>
    <w:rsid w:val="002373B8"/>
    <w:rsid w:val="00237821"/>
    <w:rsid w:val="0024052C"/>
    <w:rsid w:val="00240BBC"/>
    <w:rsid w:val="002413D3"/>
    <w:rsid w:val="00241AD3"/>
    <w:rsid w:val="002422AB"/>
    <w:rsid w:val="00242873"/>
    <w:rsid w:val="00242B8D"/>
    <w:rsid w:val="00242BD8"/>
    <w:rsid w:val="00243123"/>
    <w:rsid w:val="0024327B"/>
    <w:rsid w:val="002435B9"/>
    <w:rsid w:val="00243F6B"/>
    <w:rsid w:val="0024496B"/>
    <w:rsid w:val="00246630"/>
    <w:rsid w:val="00246BC3"/>
    <w:rsid w:val="00247478"/>
    <w:rsid w:val="00247BE8"/>
    <w:rsid w:val="0025101E"/>
    <w:rsid w:val="002524E9"/>
    <w:rsid w:val="00252CB0"/>
    <w:rsid w:val="0025307B"/>
    <w:rsid w:val="00253C43"/>
    <w:rsid w:val="00253CF7"/>
    <w:rsid w:val="00254973"/>
    <w:rsid w:val="00254B50"/>
    <w:rsid w:val="00254B9D"/>
    <w:rsid w:val="002554AD"/>
    <w:rsid w:val="00255B6C"/>
    <w:rsid w:val="00256A5E"/>
    <w:rsid w:val="00256DC7"/>
    <w:rsid w:val="00256ECE"/>
    <w:rsid w:val="00257482"/>
    <w:rsid w:val="00257558"/>
    <w:rsid w:val="00257E18"/>
    <w:rsid w:val="002602CE"/>
    <w:rsid w:val="002603EF"/>
    <w:rsid w:val="002609EE"/>
    <w:rsid w:val="00260C7D"/>
    <w:rsid w:val="00261AED"/>
    <w:rsid w:val="00262223"/>
    <w:rsid w:val="00262359"/>
    <w:rsid w:val="00262442"/>
    <w:rsid w:val="0026255B"/>
    <w:rsid w:val="00262B2C"/>
    <w:rsid w:val="002632C3"/>
    <w:rsid w:val="00263F5B"/>
    <w:rsid w:val="002640D0"/>
    <w:rsid w:val="0026498A"/>
    <w:rsid w:val="002653A3"/>
    <w:rsid w:val="0026556D"/>
    <w:rsid w:val="00265F6D"/>
    <w:rsid w:val="0026689F"/>
    <w:rsid w:val="00266AC3"/>
    <w:rsid w:val="00266F8C"/>
    <w:rsid w:val="00270271"/>
    <w:rsid w:val="0027082D"/>
    <w:rsid w:val="002718B4"/>
    <w:rsid w:val="002732FF"/>
    <w:rsid w:val="00273760"/>
    <w:rsid w:val="00274746"/>
    <w:rsid w:val="00275D61"/>
    <w:rsid w:val="002775FC"/>
    <w:rsid w:val="00280600"/>
    <w:rsid w:val="00280BFF"/>
    <w:rsid w:val="0028122E"/>
    <w:rsid w:val="002826E6"/>
    <w:rsid w:val="00283873"/>
    <w:rsid w:val="00284134"/>
    <w:rsid w:val="002842D2"/>
    <w:rsid w:val="00284580"/>
    <w:rsid w:val="002845F9"/>
    <w:rsid w:val="00285976"/>
    <w:rsid w:val="00285C5E"/>
    <w:rsid w:val="002860D1"/>
    <w:rsid w:val="00286AB3"/>
    <w:rsid w:val="00287EE6"/>
    <w:rsid w:val="00287EFB"/>
    <w:rsid w:val="0029095B"/>
    <w:rsid w:val="002919C2"/>
    <w:rsid w:val="002921E1"/>
    <w:rsid w:val="00293FC9"/>
    <w:rsid w:val="002940A5"/>
    <w:rsid w:val="0029478B"/>
    <w:rsid w:val="00294BC6"/>
    <w:rsid w:val="0029524E"/>
    <w:rsid w:val="00295402"/>
    <w:rsid w:val="002955C6"/>
    <w:rsid w:val="002963B5"/>
    <w:rsid w:val="002964D0"/>
    <w:rsid w:val="00296AA3"/>
    <w:rsid w:val="00297214"/>
    <w:rsid w:val="00297333"/>
    <w:rsid w:val="002A0193"/>
    <w:rsid w:val="002A0F03"/>
    <w:rsid w:val="002A1C9F"/>
    <w:rsid w:val="002A2F34"/>
    <w:rsid w:val="002A309B"/>
    <w:rsid w:val="002A3A9B"/>
    <w:rsid w:val="002A3F6C"/>
    <w:rsid w:val="002A422C"/>
    <w:rsid w:val="002A55B9"/>
    <w:rsid w:val="002A5B3B"/>
    <w:rsid w:val="002A6007"/>
    <w:rsid w:val="002A7FA3"/>
    <w:rsid w:val="002B1321"/>
    <w:rsid w:val="002B1DCF"/>
    <w:rsid w:val="002B2F10"/>
    <w:rsid w:val="002B34C5"/>
    <w:rsid w:val="002B3502"/>
    <w:rsid w:val="002B3B75"/>
    <w:rsid w:val="002B3C18"/>
    <w:rsid w:val="002B3DC1"/>
    <w:rsid w:val="002B4F2B"/>
    <w:rsid w:val="002B5311"/>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4765"/>
    <w:rsid w:val="002C52E2"/>
    <w:rsid w:val="002C570C"/>
    <w:rsid w:val="002C579F"/>
    <w:rsid w:val="002C6836"/>
    <w:rsid w:val="002D0CAF"/>
    <w:rsid w:val="002D217F"/>
    <w:rsid w:val="002D2D99"/>
    <w:rsid w:val="002D349C"/>
    <w:rsid w:val="002D3C3B"/>
    <w:rsid w:val="002D3C6C"/>
    <w:rsid w:val="002D4040"/>
    <w:rsid w:val="002D4A75"/>
    <w:rsid w:val="002D4FD6"/>
    <w:rsid w:val="002D5FE1"/>
    <w:rsid w:val="002D7510"/>
    <w:rsid w:val="002D7916"/>
    <w:rsid w:val="002D7E37"/>
    <w:rsid w:val="002E018D"/>
    <w:rsid w:val="002E1F68"/>
    <w:rsid w:val="002E20A1"/>
    <w:rsid w:val="002E2813"/>
    <w:rsid w:val="002E337D"/>
    <w:rsid w:val="002E3480"/>
    <w:rsid w:val="002E3AF8"/>
    <w:rsid w:val="002E3EE8"/>
    <w:rsid w:val="002E4C5E"/>
    <w:rsid w:val="002E56E8"/>
    <w:rsid w:val="002E5758"/>
    <w:rsid w:val="002E648C"/>
    <w:rsid w:val="002E66A6"/>
    <w:rsid w:val="002E6A65"/>
    <w:rsid w:val="002E6F91"/>
    <w:rsid w:val="002F0253"/>
    <w:rsid w:val="002F1069"/>
    <w:rsid w:val="002F113A"/>
    <w:rsid w:val="002F1796"/>
    <w:rsid w:val="002F1DEE"/>
    <w:rsid w:val="002F1FB1"/>
    <w:rsid w:val="002F2835"/>
    <w:rsid w:val="002F2C7E"/>
    <w:rsid w:val="002F2E22"/>
    <w:rsid w:val="002F33D1"/>
    <w:rsid w:val="002F4F8C"/>
    <w:rsid w:val="002F591D"/>
    <w:rsid w:val="002F6581"/>
    <w:rsid w:val="002F6927"/>
    <w:rsid w:val="002F6B38"/>
    <w:rsid w:val="002F6DEE"/>
    <w:rsid w:val="002F7955"/>
    <w:rsid w:val="00300A4D"/>
    <w:rsid w:val="00301BB3"/>
    <w:rsid w:val="00302254"/>
    <w:rsid w:val="00302595"/>
    <w:rsid w:val="003025DE"/>
    <w:rsid w:val="00302BA1"/>
    <w:rsid w:val="0030300F"/>
    <w:rsid w:val="00303010"/>
    <w:rsid w:val="00303298"/>
    <w:rsid w:val="00303765"/>
    <w:rsid w:val="00303E7C"/>
    <w:rsid w:val="00304149"/>
    <w:rsid w:val="0030429E"/>
    <w:rsid w:val="00305C70"/>
    <w:rsid w:val="003072BE"/>
    <w:rsid w:val="003073D5"/>
    <w:rsid w:val="003112A9"/>
    <w:rsid w:val="003122E5"/>
    <w:rsid w:val="00312C11"/>
    <w:rsid w:val="00313493"/>
    <w:rsid w:val="00315008"/>
    <w:rsid w:val="00315E15"/>
    <w:rsid w:val="00315E54"/>
    <w:rsid w:val="00317174"/>
    <w:rsid w:val="00317A1C"/>
    <w:rsid w:val="003206D1"/>
    <w:rsid w:val="0032103C"/>
    <w:rsid w:val="00321949"/>
    <w:rsid w:val="003220AE"/>
    <w:rsid w:val="003223C9"/>
    <w:rsid w:val="00323C81"/>
    <w:rsid w:val="00323D45"/>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42E"/>
    <w:rsid w:val="00332667"/>
    <w:rsid w:val="00333547"/>
    <w:rsid w:val="003341DD"/>
    <w:rsid w:val="003347FB"/>
    <w:rsid w:val="0033571F"/>
    <w:rsid w:val="00336037"/>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473A5"/>
    <w:rsid w:val="0035037F"/>
    <w:rsid w:val="00350480"/>
    <w:rsid w:val="003518D6"/>
    <w:rsid w:val="00351FD6"/>
    <w:rsid w:val="00354D50"/>
    <w:rsid w:val="003557A2"/>
    <w:rsid w:val="00355D4C"/>
    <w:rsid w:val="00356823"/>
    <w:rsid w:val="003568E5"/>
    <w:rsid w:val="00356E3D"/>
    <w:rsid w:val="003575AA"/>
    <w:rsid w:val="00361E5F"/>
    <w:rsid w:val="00361F3A"/>
    <w:rsid w:val="00363D11"/>
    <w:rsid w:val="00364414"/>
    <w:rsid w:val="003644D3"/>
    <w:rsid w:val="0036482F"/>
    <w:rsid w:val="0036506C"/>
    <w:rsid w:val="00365CAB"/>
    <w:rsid w:val="003666A0"/>
    <w:rsid w:val="00367495"/>
    <w:rsid w:val="00367A35"/>
    <w:rsid w:val="003708F8"/>
    <w:rsid w:val="00370B7E"/>
    <w:rsid w:val="00371221"/>
    <w:rsid w:val="00371998"/>
    <w:rsid w:val="00371C51"/>
    <w:rsid w:val="00371FFA"/>
    <w:rsid w:val="003726B8"/>
    <w:rsid w:val="00372D49"/>
    <w:rsid w:val="00373B32"/>
    <w:rsid w:val="00374A8B"/>
    <w:rsid w:val="003755A6"/>
    <w:rsid w:val="00375707"/>
    <w:rsid w:val="00375872"/>
    <w:rsid w:val="00376123"/>
    <w:rsid w:val="0037676D"/>
    <w:rsid w:val="00376A26"/>
    <w:rsid w:val="00376F70"/>
    <w:rsid w:val="0037742E"/>
    <w:rsid w:val="003807EE"/>
    <w:rsid w:val="00380894"/>
    <w:rsid w:val="0038105E"/>
    <w:rsid w:val="0038128B"/>
    <w:rsid w:val="00381ABA"/>
    <w:rsid w:val="00381F11"/>
    <w:rsid w:val="00382691"/>
    <w:rsid w:val="00383E36"/>
    <w:rsid w:val="00384ABA"/>
    <w:rsid w:val="00384D0F"/>
    <w:rsid w:val="003856FA"/>
    <w:rsid w:val="00385C2F"/>
    <w:rsid w:val="00386062"/>
    <w:rsid w:val="003867EB"/>
    <w:rsid w:val="00387172"/>
    <w:rsid w:val="0038787C"/>
    <w:rsid w:val="00387993"/>
    <w:rsid w:val="00387E45"/>
    <w:rsid w:val="00387E8A"/>
    <w:rsid w:val="00390737"/>
    <w:rsid w:val="003908F9"/>
    <w:rsid w:val="00390D0A"/>
    <w:rsid w:val="00390F69"/>
    <w:rsid w:val="00391265"/>
    <w:rsid w:val="00391327"/>
    <w:rsid w:val="003918DD"/>
    <w:rsid w:val="003918E5"/>
    <w:rsid w:val="00391DEE"/>
    <w:rsid w:val="0039228D"/>
    <w:rsid w:val="00393A2B"/>
    <w:rsid w:val="00394DE8"/>
    <w:rsid w:val="0039530E"/>
    <w:rsid w:val="0039566C"/>
    <w:rsid w:val="00395793"/>
    <w:rsid w:val="00396AAD"/>
    <w:rsid w:val="003977BC"/>
    <w:rsid w:val="00397B0B"/>
    <w:rsid w:val="003A09AA"/>
    <w:rsid w:val="003A0BD9"/>
    <w:rsid w:val="003A0E65"/>
    <w:rsid w:val="003A0F1E"/>
    <w:rsid w:val="003A3DE2"/>
    <w:rsid w:val="003A4469"/>
    <w:rsid w:val="003A4670"/>
    <w:rsid w:val="003A4A4E"/>
    <w:rsid w:val="003A5EAF"/>
    <w:rsid w:val="003A6356"/>
    <w:rsid w:val="003A674A"/>
    <w:rsid w:val="003A6A75"/>
    <w:rsid w:val="003A6ACA"/>
    <w:rsid w:val="003A7FC8"/>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0D9D"/>
    <w:rsid w:val="003C19CE"/>
    <w:rsid w:val="003C1C86"/>
    <w:rsid w:val="003C301F"/>
    <w:rsid w:val="003C3070"/>
    <w:rsid w:val="003C314B"/>
    <w:rsid w:val="003C327F"/>
    <w:rsid w:val="003C42F9"/>
    <w:rsid w:val="003C4A75"/>
    <w:rsid w:val="003C4F71"/>
    <w:rsid w:val="003C5339"/>
    <w:rsid w:val="003C5DC4"/>
    <w:rsid w:val="003C6333"/>
    <w:rsid w:val="003C753D"/>
    <w:rsid w:val="003C7B58"/>
    <w:rsid w:val="003D015C"/>
    <w:rsid w:val="003D08FC"/>
    <w:rsid w:val="003D0AB0"/>
    <w:rsid w:val="003D1166"/>
    <w:rsid w:val="003D1980"/>
    <w:rsid w:val="003D1B92"/>
    <w:rsid w:val="003D1C8F"/>
    <w:rsid w:val="003D20FB"/>
    <w:rsid w:val="003D297D"/>
    <w:rsid w:val="003D2E3C"/>
    <w:rsid w:val="003D352C"/>
    <w:rsid w:val="003D3782"/>
    <w:rsid w:val="003D3989"/>
    <w:rsid w:val="003D3AE8"/>
    <w:rsid w:val="003D4322"/>
    <w:rsid w:val="003D43CF"/>
    <w:rsid w:val="003D4486"/>
    <w:rsid w:val="003D44FA"/>
    <w:rsid w:val="003D4548"/>
    <w:rsid w:val="003D4810"/>
    <w:rsid w:val="003D4FC1"/>
    <w:rsid w:val="003D5873"/>
    <w:rsid w:val="003D5A4A"/>
    <w:rsid w:val="003D5CD7"/>
    <w:rsid w:val="003D5FD6"/>
    <w:rsid w:val="003D6955"/>
    <w:rsid w:val="003D72C8"/>
    <w:rsid w:val="003D7E76"/>
    <w:rsid w:val="003E07EC"/>
    <w:rsid w:val="003E086F"/>
    <w:rsid w:val="003E13DF"/>
    <w:rsid w:val="003E172C"/>
    <w:rsid w:val="003E17F1"/>
    <w:rsid w:val="003E33FB"/>
    <w:rsid w:val="003E388D"/>
    <w:rsid w:val="003E3D8F"/>
    <w:rsid w:val="003E58D8"/>
    <w:rsid w:val="003E5A9F"/>
    <w:rsid w:val="003E5D36"/>
    <w:rsid w:val="003E746D"/>
    <w:rsid w:val="003F01AE"/>
    <w:rsid w:val="003F0885"/>
    <w:rsid w:val="003F0E72"/>
    <w:rsid w:val="003F1DB8"/>
    <w:rsid w:val="003F1E22"/>
    <w:rsid w:val="003F1E84"/>
    <w:rsid w:val="003F4CA0"/>
    <w:rsid w:val="003F5C3F"/>
    <w:rsid w:val="003F5D1D"/>
    <w:rsid w:val="003F7995"/>
    <w:rsid w:val="003F7C29"/>
    <w:rsid w:val="003F7DDF"/>
    <w:rsid w:val="003F7F20"/>
    <w:rsid w:val="004000A1"/>
    <w:rsid w:val="0040011E"/>
    <w:rsid w:val="0040244D"/>
    <w:rsid w:val="0040283C"/>
    <w:rsid w:val="004030CE"/>
    <w:rsid w:val="004035CC"/>
    <w:rsid w:val="00404227"/>
    <w:rsid w:val="00404C2C"/>
    <w:rsid w:val="00405334"/>
    <w:rsid w:val="004062E1"/>
    <w:rsid w:val="00407364"/>
    <w:rsid w:val="004074B8"/>
    <w:rsid w:val="004079D7"/>
    <w:rsid w:val="004102A8"/>
    <w:rsid w:val="00410481"/>
    <w:rsid w:val="00410E1F"/>
    <w:rsid w:val="00411E93"/>
    <w:rsid w:val="0041251F"/>
    <w:rsid w:val="004130BB"/>
    <w:rsid w:val="00413736"/>
    <w:rsid w:val="00413746"/>
    <w:rsid w:val="004158F8"/>
    <w:rsid w:val="00416F24"/>
    <w:rsid w:val="004173AB"/>
    <w:rsid w:val="004173DE"/>
    <w:rsid w:val="004200A4"/>
    <w:rsid w:val="0042022F"/>
    <w:rsid w:val="00420D3B"/>
    <w:rsid w:val="00421524"/>
    <w:rsid w:val="004216BB"/>
    <w:rsid w:val="0042197B"/>
    <w:rsid w:val="00421A98"/>
    <w:rsid w:val="00422655"/>
    <w:rsid w:val="00423892"/>
    <w:rsid w:val="004243F4"/>
    <w:rsid w:val="0042447E"/>
    <w:rsid w:val="00424BB9"/>
    <w:rsid w:val="00425000"/>
    <w:rsid w:val="00425044"/>
    <w:rsid w:val="00425783"/>
    <w:rsid w:val="00425925"/>
    <w:rsid w:val="00426225"/>
    <w:rsid w:val="00426552"/>
    <w:rsid w:val="004267A7"/>
    <w:rsid w:val="0042710E"/>
    <w:rsid w:val="00427656"/>
    <w:rsid w:val="0042799D"/>
    <w:rsid w:val="0043089C"/>
    <w:rsid w:val="00430BB5"/>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198"/>
    <w:rsid w:val="00435262"/>
    <w:rsid w:val="004355AD"/>
    <w:rsid w:val="0043587F"/>
    <w:rsid w:val="004359AC"/>
    <w:rsid w:val="0043612E"/>
    <w:rsid w:val="004363D6"/>
    <w:rsid w:val="00436561"/>
    <w:rsid w:val="00436572"/>
    <w:rsid w:val="004365AB"/>
    <w:rsid w:val="004369DD"/>
    <w:rsid w:val="0043785F"/>
    <w:rsid w:val="004405CB"/>
    <w:rsid w:val="00441324"/>
    <w:rsid w:val="0044281F"/>
    <w:rsid w:val="0044313B"/>
    <w:rsid w:val="00443356"/>
    <w:rsid w:val="00443B32"/>
    <w:rsid w:val="0044406B"/>
    <w:rsid w:val="00444397"/>
    <w:rsid w:val="0044450B"/>
    <w:rsid w:val="00445846"/>
    <w:rsid w:val="00446AFF"/>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8EA"/>
    <w:rsid w:val="00456C32"/>
    <w:rsid w:val="00460997"/>
    <w:rsid w:val="00461EA3"/>
    <w:rsid w:val="00461FD2"/>
    <w:rsid w:val="00462594"/>
    <w:rsid w:val="00462803"/>
    <w:rsid w:val="00464554"/>
    <w:rsid w:val="00464D57"/>
    <w:rsid w:val="00464FAA"/>
    <w:rsid w:val="00464FE3"/>
    <w:rsid w:val="00465EF8"/>
    <w:rsid w:val="00465F0A"/>
    <w:rsid w:val="00467AB5"/>
    <w:rsid w:val="00470C44"/>
    <w:rsid w:val="00472326"/>
    <w:rsid w:val="00472E74"/>
    <w:rsid w:val="004730D0"/>
    <w:rsid w:val="00473370"/>
    <w:rsid w:val="00473E46"/>
    <w:rsid w:val="00474979"/>
    <w:rsid w:val="00474A99"/>
    <w:rsid w:val="00474CF1"/>
    <w:rsid w:val="00475023"/>
    <w:rsid w:val="004776C5"/>
    <w:rsid w:val="004806B7"/>
    <w:rsid w:val="00480953"/>
    <w:rsid w:val="00480A00"/>
    <w:rsid w:val="00481211"/>
    <w:rsid w:val="0048374A"/>
    <w:rsid w:val="004837BD"/>
    <w:rsid w:val="00483BCF"/>
    <w:rsid w:val="0048430D"/>
    <w:rsid w:val="0048487B"/>
    <w:rsid w:val="00484BB2"/>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C92"/>
    <w:rsid w:val="00494C2B"/>
    <w:rsid w:val="00494E3E"/>
    <w:rsid w:val="004955B4"/>
    <w:rsid w:val="00496D1E"/>
    <w:rsid w:val="00497D86"/>
    <w:rsid w:val="004A0754"/>
    <w:rsid w:val="004A0FAC"/>
    <w:rsid w:val="004A146C"/>
    <w:rsid w:val="004A1A26"/>
    <w:rsid w:val="004A1D0B"/>
    <w:rsid w:val="004A1FC5"/>
    <w:rsid w:val="004A2827"/>
    <w:rsid w:val="004A2BB2"/>
    <w:rsid w:val="004A35F1"/>
    <w:rsid w:val="004A385F"/>
    <w:rsid w:val="004A396A"/>
    <w:rsid w:val="004A4904"/>
    <w:rsid w:val="004A5073"/>
    <w:rsid w:val="004A52F3"/>
    <w:rsid w:val="004A6999"/>
    <w:rsid w:val="004A6C6F"/>
    <w:rsid w:val="004A6D88"/>
    <w:rsid w:val="004B082D"/>
    <w:rsid w:val="004B09EC"/>
    <w:rsid w:val="004B100A"/>
    <w:rsid w:val="004B143E"/>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0B22"/>
    <w:rsid w:val="004C119F"/>
    <w:rsid w:val="004C127D"/>
    <w:rsid w:val="004C129A"/>
    <w:rsid w:val="004C19F5"/>
    <w:rsid w:val="004C24AE"/>
    <w:rsid w:val="004C386B"/>
    <w:rsid w:val="004C3D75"/>
    <w:rsid w:val="004C3D98"/>
    <w:rsid w:val="004C4247"/>
    <w:rsid w:val="004C5DE4"/>
    <w:rsid w:val="004C666C"/>
    <w:rsid w:val="004C6DAC"/>
    <w:rsid w:val="004C74DC"/>
    <w:rsid w:val="004C7740"/>
    <w:rsid w:val="004C7870"/>
    <w:rsid w:val="004C79AF"/>
    <w:rsid w:val="004C7E20"/>
    <w:rsid w:val="004C7FD6"/>
    <w:rsid w:val="004D1169"/>
    <w:rsid w:val="004D14FB"/>
    <w:rsid w:val="004D1E8C"/>
    <w:rsid w:val="004D228D"/>
    <w:rsid w:val="004D23CE"/>
    <w:rsid w:val="004D24DE"/>
    <w:rsid w:val="004D279C"/>
    <w:rsid w:val="004D2985"/>
    <w:rsid w:val="004D2BBB"/>
    <w:rsid w:val="004D34E1"/>
    <w:rsid w:val="004D3C2D"/>
    <w:rsid w:val="004D3E8E"/>
    <w:rsid w:val="004D417E"/>
    <w:rsid w:val="004D4488"/>
    <w:rsid w:val="004D46F3"/>
    <w:rsid w:val="004D483E"/>
    <w:rsid w:val="004D4BD9"/>
    <w:rsid w:val="004D527C"/>
    <w:rsid w:val="004D5509"/>
    <w:rsid w:val="004D5B95"/>
    <w:rsid w:val="004D6354"/>
    <w:rsid w:val="004D655C"/>
    <w:rsid w:val="004D6594"/>
    <w:rsid w:val="004E0888"/>
    <w:rsid w:val="004E0A0A"/>
    <w:rsid w:val="004E22A4"/>
    <w:rsid w:val="004E2381"/>
    <w:rsid w:val="004E2414"/>
    <w:rsid w:val="004E2D82"/>
    <w:rsid w:val="004E33DC"/>
    <w:rsid w:val="004E3645"/>
    <w:rsid w:val="004E3A6E"/>
    <w:rsid w:val="004E3E77"/>
    <w:rsid w:val="004E3EB9"/>
    <w:rsid w:val="004E551B"/>
    <w:rsid w:val="004E57C2"/>
    <w:rsid w:val="004E5B0C"/>
    <w:rsid w:val="004E6159"/>
    <w:rsid w:val="004E6214"/>
    <w:rsid w:val="004E63DF"/>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763"/>
    <w:rsid w:val="00500961"/>
    <w:rsid w:val="0050175C"/>
    <w:rsid w:val="00502228"/>
    <w:rsid w:val="00502CB0"/>
    <w:rsid w:val="0050306B"/>
    <w:rsid w:val="00503775"/>
    <w:rsid w:val="00503849"/>
    <w:rsid w:val="00503E22"/>
    <w:rsid w:val="00504151"/>
    <w:rsid w:val="00504B4E"/>
    <w:rsid w:val="00504E35"/>
    <w:rsid w:val="005062F8"/>
    <w:rsid w:val="00506C22"/>
    <w:rsid w:val="00507430"/>
    <w:rsid w:val="0050789B"/>
    <w:rsid w:val="00507CC5"/>
    <w:rsid w:val="00507DDA"/>
    <w:rsid w:val="00511467"/>
    <w:rsid w:val="00512685"/>
    <w:rsid w:val="00513BC6"/>
    <w:rsid w:val="005157CC"/>
    <w:rsid w:val="005157F9"/>
    <w:rsid w:val="00516077"/>
    <w:rsid w:val="0051661A"/>
    <w:rsid w:val="00517278"/>
    <w:rsid w:val="00517900"/>
    <w:rsid w:val="0052064C"/>
    <w:rsid w:val="00520736"/>
    <w:rsid w:val="00521ABE"/>
    <w:rsid w:val="00522951"/>
    <w:rsid w:val="0052387E"/>
    <w:rsid w:val="00524D60"/>
    <w:rsid w:val="005253B3"/>
    <w:rsid w:val="00525CA5"/>
    <w:rsid w:val="00526FCF"/>
    <w:rsid w:val="00527080"/>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8EA"/>
    <w:rsid w:val="00541F0A"/>
    <w:rsid w:val="00542434"/>
    <w:rsid w:val="00542949"/>
    <w:rsid w:val="0054369B"/>
    <w:rsid w:val="00546163"/>
    <w:rsid w:val="00546E6B"/>
    <w:rsid w:val="0054782D"/>
    <w:rsid w:val="00547BD0"/>
    <w:rsid w:val="00547E27"/>
    <w:rsid w:val="0055044D"/>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0CA9"/>
    <w:rsid w:val="00561A4C"/>
    <w:rsid w:val="005623F3"/>
    <w:rsid w:val="00562721"/>
    <w:rsid w:val="0056294B"/>
    <w:rsid w:val="00562C59"/>
    <w:rsid w:val="00562DB0"/>
    <w:rsid w:val="005632F7"/>
    <w:rsid w:val="00563630"/>
    <w:rsid w:val="00563C53"/>
    <w:rsid w:val="00563EE7"/>
    <w:rsid w:val="00564459"/>
    <w:rsid w:val="00565C5E"/>
    <w:rsid w:val="00565E39"/>
    <w:rsid w:val="00566BE3"/>
    <w:rsid w:val="00566CF4"/>
    <w:rsid w:val="00566E85"/>
    <w:rsid w:val="00566F84"/>
    <w:rsid w:val="0056703E"/>
    <w:rsid w:val="005672C5"/>
    <w:rsid w:val="0056749A"/>
    <w:rsid w:val="005724F3"/>
    <w:rsid w:val="00572984"/>
    <w:rsid w:val="00572B2A"/>
    <w:rsid w:val="00572BCE"/>
    <w:rsid w:val="00572C9F"/>
    <w:rsid w:val="005736B8"/>
    <w:rsid w:val="00573DA3"/>
    <w:rsid w:val="00574306"/>
    <w:rsid w:val="005748C5"/>
    <w:rsid w:val="00574B0F"/>
    <w:rsid w:val="00574CE4"/>
    <w:rsid w:val="005755D5"/>
    <w:rsid w:val="00576AB1"/>
    <w:rsid w:val="00580674"/>
    <w:rsid w:val="00581B22"/>
    <w:rsid w:val="00581C17"/>
    <w:rsid w:val="00581D34"/>
    <w:rsid w:val="00582394"/>
    <w:rsid w:val="0058412F"/>
    <w:rsid w:val="005849CD"/>
    <w:rsid w:val="00584B23"/>
    <w:rsid w:val="00584B85"/>
    <w:rsid w:val="00585798"/>
    <w:rsid w:val="00585E25"/>
    <w:rsid w:val="0058620C"/>
    <w:rsid w:val="00586B37"/>
    <w:rsid w:val="00586C0B"/>
    <w:rsid w:val="005875A2"/>
    <w:rsid w:val="00587873"/>
    <w:rsid w:val="00587B92"/>
    <w:rsid w:val="00591153"/>
    <w:rsid w:val="0059119E"/>
    <w:rsid w:val="00591790"/>
    <w:rsid w:val="00592ABA"/>
    <w:rsid w:val="00592B90"/>
    <w:rsid w:val="00592C2A"/>
    <w:rsid w:val="005934E0"/>
    <w:rsid w:val="00593595"/>
    <w:rsid w:val="005937DA"/>
    <w:rsid w:val="00593EC4"/>
    <w:rsid w:val="00594E86"/>
    <w:rsid w:val="00595AC8"/>
    <w:rsid w:val="00595B7C"/>
    <w:rsid w:val="00595EA4"/>
    <w:rsid w:val="00596038"/>
    <w:rsid w:val="00596526"/>
    <w:rsid w:val="00596D90"/>
    <w:rsid w:val="005970F1"/>
    <w:rsid w:val="005A044F"/>
    <w:rsid w:val="005A0C92"/>
    <w:rsid w:val="005A17EB"/>
    <w:rsid w:val="005A1A7B"/>
    <w:rsid w:val="005A1AB5"/>
    <w:rsid w:val="005A205A"/>
    <w:rsid w:val="005A2099"/>
    <w:rsid w:val="005A333F"/>
    <w:rsid w:val="005A33F3"/>
    <w:rsid w:val="005A38CE"/>
    <w:rsid w:val="005A3A4B"/>
    <w:rsid w:val="005A3E9E"/>
    <w:rsid w:val="005A477F"/>
    <w:rsid w:val="005A4B91"/>
    <w:rsid w:val="005A52B7"/>
    <w:rsid w:val="005A542D"/>
    <w:rsid w:val="005A5671"/>
    <w:rsid w:val="005A58E7"/>
    <w:rsid w:val="005A5A76"/>
    <w:rsid w:val="005A5AC7"/>
    <w:rsid w:val="005A5B5E"/>
    <w:rsid w:val="005A5BCE"/>
    <w:rsid w:val="005A5D06"/>
    <w:rsid w:val="005A67D7"/>
    <w:rsid w:val="005A6D85"/>
    <w:rsid w:val="005A70CA"/>
    <w:rsid w:val="005A760D"/>
    <w:rsid w:val="005A786B"/>
    <w:rsid w:val="005A7E2D"/>
    <w:rsid w:val="005A7E6B"/>
    <w:rsid w:val="005B0012"/>
    <w:rsid w:val="005B1396"/>
    <w:rsid w:val="005B2115"/>
    <w:rsid w:val="005B24D1"/>
    <w:rsid w:val="005B33C2"/>
    <w:rsid w:val="005B3ADD"/>
    <w:rsid w:val="005B3CD6"/>
    <w:rsid w:val="005B487F"/>
    <w:rsid w:val="005B6CB2"/>
    <w:rsid w:val="005B6CF7"/>
    <w:rsid w:val="005B6FB7"/>
    <w:rsid w:val="005B7DF3"/>
    <w:rsid w:val="005C042F"/>
    <w:rsid w:val="005C1D11"/>
    <w:rsid w:val="005C35F5"/>
    <w:rsid w:val="005C40FE"/>
    <w:rsid w:val="005C4F45"/>
    <w:rsid w:val="005C6883"/>
    <w:rsid w:val="005C6DE3"/>
    <w:rsid w:val="005C6EDC"/>
    <w:rsid w:val="005C70B0"/>
    <w:rsid w:val="005C711E"/>
    <w:rsid w:val="005C7DEB"/>
    <w:rsid w:val="005D0131"/>
    <w:rsid w:val="005D02BD"/>
    <w:rsid w:val="005D0411"/>
    <w:rsid w:val="005D04E5"/>
    <w:rsid w:val="005D07A8"/>
    <w:rsid w:val="005D0BAE"/>
    <w:rsid w:val="005D114D"/>
    <w:rsid w:val="005D1597"/>
    <w:rsid w:val="005D17A3"/>
    <w:rsid w:val="005D271D"/>
    <w:rsid w:val="005D56E7"/>
    <w:rsid w:val="005D5C74"/>
    <w:rsid w:val="005D6F53"/>
    <w:rsid w:val="005E09B0"/>
    <w:rsid w:val="005E0B50"/>
    <w:rsid w:val="005E0F70"/>
    <w:rsid w:val="005E16FF"/>
    <w:rsid w:val="005E1D1F"/>
    <w:rsid w:val="005E2517"/>
    <w:rsid w:val="005E299F"/>
    <w:rsid w:val="005E36D0"/>
    <w:rsid w:val="005E3CAA"/>
    <w:rsid w:val="005E4192"/>
    <w:rsid w:val="005E42A2"/>
    <w:rsid w:val="005E4E3F"/>
    <w:rsid w:val="005E52F1"/>
    <w:rsid w:val="005E5ACE"/>
    <w:rsid w:val="005E5C36"/>
    <w:rsid w:val="005E5CB1"/>
    <w:rsid w:val="005E5EBB"/>
    <w:rsid w:val="005E5EEB"/>
    <w:rsid w:val="005E6947"/>
    <w:rsid w:val="005E6B4F"/>
    <w:rsid w:val="005E6FB9"/>
    <w:rsid w:val="005E7DF4"/>
    <w:rsid w:val="005F07DA"/>
    <w:rsid w:val="005F194B"/>
    <w:rsid w:val="005F1A0E"/>
    <w:rsid w:val="005F1E27"/>
    <w:rsid w:val="005F293D"/>
    <w:rsid w:val="005F2942"/>
    <w:rsid w:val="005F2E08"/>
    <w:rsid w:val="005F3806"/>
    <w:rsid w:val="005F3BB8"/>
    <w:rsid w:val="005F3D68"/>
    <w:rsid w:val="005F4071"/>
    <w:rsid w:val="005F4F35"/>
    <w:rsid w:val="005F4F3E"/>
    <w:rsid w:val="005F61FF"/>
    <w:rsid w:val="005F6793"/>
    <w:rsid w:val="005F687D"/>
    <w:rsid w:val="005F7AE0"/>
    <w:rsid w:val="005F7D32"/>
    <w:rsid w:val="006001DB"/>
    <w:rsid w:val="00600EB2"/>
    <w:rsid w:val="00600F2B"/>
    <w:rsid w:val="00601303"/>
    <w:rsid w:val="00601605"/>
    <w:rsid w:val="00601998"/>
    <w:rsid w:val="00601B56"/>
    <w:rsid w:val="00601D29"/>
    <w:rsid w:val="00601DB1"/>
    <w:rsid w:val="006024D6"/>
    <w:rsid w:val="0060264F"/>
    <w:rsid w:val="00602AC2"/>
    <w:rsid w:val="00602AC6"/>
    <w:rsid w:val="0060440F"/>
    <w:rsid w:val="00605632"/>
    <w:rsid w:val="00605760"/>
    <w:rsid w:val="006065C6"/>
    <w:rsid w:val="006067F8"/>
    <w:rsid w:val="00607823"/>
    <w:rsid w:val="00607C44"/>
    <w:rsid w:val="006105B6"/>
    <w:rsid w:val="00610E8C"/>
    <w:rsid w:val="006110CC"/>
    <w:rsid w:val="00611FC7"/>
    <w:rsid w:val="00612D40"/>
    <w:rsid w:val="006138C4"/>
    <w:rsid w:val="006139A4"/>
    <w:rsid w:val="00613A94"/>
    <w:rsid w:val="006141A7"/>
    <w:rsid w:val="00614770"/>
    <w:rsid w:val="006152EE"/>
    <w:rsid w:val="006159BB"/>
    <w:rsid w:val="006164DC"/>
    <w:rsid w:val="006168FF"/>
    <w:rsid w:val="00616D2B"/>
    <w:rsid w:val="00616D5E"/>
    <w:rsid w:val="006172F0"/>
    <w:rsid w:val="00617961"/>
    <w:rsid w:val="00620002"/>
    <w:rsid w:val="00620FAC"/>
    <w:rsid w:val="006210B0"/>
    <w:rsid w:val="0062189F"/>
    <w:rsid w:val="00621924"/>
    <w:rsid w:val="00621B6F"/>
    <w:rsid w:val="00621C6F"/>
    <w:rsid w:val="006223A6"/>
    <w:rsid w:val="006226C8"/>
    <w:rsid w:val="00622823"/>
    <w:rsid w:val="0062305E"/>
    <w:rsid w:val="006230FA"/>
    <w:rsid w:val="00624129"/>
    <w:rsid w:val="0062432F"/>
    <w:rsid w:val="006244E4"/>
    <w:rsid w:val="006251ED"/>
    <w:rsid w:val="006252B6"/>
    <w:rsid w:val="006253C7"/>
    <w:rsid w:val="00625BC9"/>
    <w:rsid w:val="00626532"/>
    <w:rsid w:val="006268E0"/>
    <w:rsid w:val="00626F65"/>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6A0"/>
    <w:rsid w:val="00635EC5"/>
    <w:rsid w:val="00636588"/>
    <w:rsid w:val="00636A27"/>
    <w:rsid w:val="00637669"/>
    <w:rsid w:val="006377C8"/>
    <w:rsid w:val="00640330"/>
    <w:rsid w:val="0064111F"/>
    <w:rsid w:val="00641865"/>
    <w:rsid w:val="006421A6"/>
    <w:rsid w:val="0064233B"/>
    <w:rsid w:val="006428AF"/>
    <w:rsid w:val="006429CC"/>
    <w:rsid w:val="00644602"/>
    <w:rsid w:val="006446FC"/>
    <w:rsid w:val="00644C3C"/>
    <w:rsid w:val="00645305"/>
    <w:rsid w:val="0064662C"/>
    <w:rsid w:val="00646F0A"/>
    <w:rsid w:val="00647768"/>
    <w:rsid w:val="00647B56"/>
    <w:rsid w:val="00647B80"/>
    <w:rsid w:val="00647D2F"/>
    <w:rsid w:val="00650221"/>
    <w:rsid w:val="006502F0"/>
    <w:rsid w:val="006509B2"/>
    <w:rsid w:val="006516D9"/>
    <w:rsid w:val="00651C3B"/>
    <w:rsid w:val="00652671"/>
    <w:rsid w:val="00652D50"/>
    <w:rsid w:val="006537CB"/>
    <w:rsid w:val="0065473E"/>
    <w:rsid w:val="00654A5C"/>
    <w:rsid w:val="00654E59"/>
    <w:rsid w:val="006551BD"/>
    <w:rsid w:val="00655621"/>
    <w:rsid w:val="00655E74"/>
    <w:rsid w:val="006560AB"/>
    <w:rsid w:val="006562CB"/>
    <w:rsid w:val="00656300"/>
    <w:rsid w:val="0065769A"/>
    <w:rsid w:val="0066020C"/>
    <w:rsid w:val="00660994"/>
    <w:rsid w:val="00660F7C"/>
    <w:rsid w:val="00661925"/>
    <w:rsid w:val="00661E6D"/>
    <w:rsid w:val="00661E8E"/>
    <w:rsid w:val="006622C1"/>
    <w:rsid w:val="00662323"/>
    <w:rsid w:val="00663044"/>
    <w:rsid w:val="00663A44"/>
    <w:rsid w:val="00663C0F"/>
    <w:rsid w:val="00665ABF"/>
    <w:rsid w:val="00666F00"/>
    <w:rsid w:val="006671D3"/>
    <w:rsid w:val="00667289"/>
    <w:rsid w:val="006673D8"/>
    <w:rsid w:val="00667754"/>
    <w:rsid w:val="00667A64"/>
    <w:rsid w:val="00667B99"/>
    <w:rsid w:val="00670F82"/>
    <w:rsid w:val="00671168"/>
    <w:rsid w:val="006720A0"/>
    <w:rsid w:val="0067342E"/>
    <w:rsid w:val="00673CF5"/>
    <w:rsid w:val="006740A5"/>
    <w:rsid w:val="00674F3B"/>
    <w:rsid w:val="006753C3"/>
    <w:rsid w:val="006754F5"/>
    <w:rsid w:val="00676844"/>
    <w:rsid w:val="00676EF4"/>
    <w:rsid w:val="00677747"/>
    <w:rsid w:val="00677F21"/>
    <w:rsid w:val="00677F24"/>
    <w:rsid w:val="00680EF7"/>
    <w:rsid w:val="006817C5"/>
    <w:rsid w:val="0068247A"/>
    <w:rsid w:val="0068267F"/>
    <w:rsid w:val="006829A8"/>
    <w:rsid w:val="00682B83"/>
    <w:rsid w:val="00683424"/>
    <w:rsid w:val="00684586"/>
    <w:rsid w:val="00684CE2"/>
    <w:rsid w:val="00685534"/>
    <w:rsid w:val="0068793F"/>
    <w:rsid w:val="00687E00"/>
    <w:rsid w:val="00690545"/>
    <w:rsid w:val="00690577"/>
    <w:rsid w:val="0069267F"/>
    <w:rsid w:val="00692CF2"/>
    <w:rsid w:val="00692D8C"/>
    <w:rsid w:val="00692E2F"/>
    <w:rsid w:val="006937A3"/>
    <w:rsid w:val="00694E84"/>
    <w:rsid w:val="006956F6"/>
    <w:rsid w:val="00695A84"/>
    <w:rsid w:val="006A0155"/>
    <w:rsid w:val="006A067A"/>
    <w:rsid w:val="006A0740"/>
    <w:rsid w:val="006A0A52"/>
    <w:rsid w:val="006A153B"/>
    <w:rsid w:val="006A1952"/>
    <w:rsid w:val="006A1E3D"/>
    <w:rsid w:val="006A1ED5"/>
    <w:rsid w:val="006A2056"/>
    <w:rsid w:val="006A21B0"/>
    <w:rsid w:val="006A27DB"/>
    <w:rsid w:val="006A2D23"/>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34DA"/>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3F92"/>
    <w:rsid w:val="006C421A"/>
    <w:rsid w:val="006C4458"/>
    <w:rsid w:val="006C5D62"/>
    <w:rsid w:val="006C605A"/>
    <w:rsid w:val="006C65B9"/>
    <w:rsid w:val="006C6A3B"/>
    <w:rsid w:val="006C6CFF"/>
    <w:rsid w:val="006C6FBF"/>
    <w:rsid w:val="006C76B3"/>
    <w:rsid w:val="006D02B9"/>
    <w:rsid w:val="006D0B00"/>
    <w:rsid w:val="006D0D24"/>
    <w:rsid w:val="006D1151"/>
    <w:rsid w:val="006D1177"/>
    <w:rsid w:val="006D11C0"/>
    <w:rsid w:val="006D1E4E"/>
    <w:rsid w:val="006D213B"/>
    <w:rsid w:val="006D252B"/>
    <w:rsid w:val="006D2CA5"/>
    <w:rsid w:val="006D461B"/>
    <w:rsid w:val="006D558B"/>
    <w:rsid w:val="006D61C5"/>
    <w:rsid w:val="006D70A5"/>
    <w:rsid w:val="006D7969"/>
    <w:rsid w:val="006E023F"/>
    <w:rsid w:val="006E1226"/>
    <w:rsid w:val="006E1261"/>
    <w:rsid w:val="006E1817"/>
    <w:rsid w:val="006E1AF9"/>
    <w:rsid w:val="006E1C24"/>
    <w:rsid w:val="006E275A"/>
    <w:rsid w:val="006E2BCD"/>
    <w:rsid w:val="006E2EEC"/>
    <w:rsid w:val="006E3CD5"/>
    <w:rsid w:val="006E3D07"/>
    <w:rsid w:val="006E3ED7"/>
    <w:rsid w:val="006E3EF7"/>
    <w:rsid w:val="006E466F"/>
    <w:rsid w:val="006E48AB"/>
    <w:rsid w:val="006E4C76"/>
    <w:rsid w:val="006E6188"/>
    <w:rsid w:val="006E75B1"/>
    <w:rsid w:val="006E75B7"/>
    <w:rsid w:val="006F024D"/>
    <w:rsid w:val="006F0333"/>
    <w:rsid w:val="006F11CB"/>
    <w:rsid w:val="006F1D99"/>
    <w:rsid w:val="006F208E"/>
    <w:rsid w:val="006F229E"/>
    <w:rsid w:val="006F23FC"/>
    <w:rsid w:val="006F2EA1"/>
    <w:rsid w:val="006F5452"/>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1045B"/>
    <w:rsid w:val="00710559"/>
    <w:rsid w:val="007105C8"/>
    <w:rsid w:val="00710A7E"/>
    <w:rsid w:val="007111B8"/>
    <w:rsid w:val="0071154A"/>
    <w:rsid w:val="00711A5F"/>
    <w:rsid w:val="0071230B"/>
    <w:rsid w:val="00712572"/>
    <w:rsid w:val="00712EAE"/>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34A3"/>
    <w:rsid w:val="0073396A"/>
    <w:rsid w:val="00734A5A"/>
    <w:rsid w:val="00734A5D"/>
    <w:rsid w:val="0073528B"/>
    <w:rsid w:val="007352C7"/>
    <w:rsid w:val="007362A5"/>
    <w:rsid w:val="00736871"/>
    <w:rsid w:val="00736F31"/>
    <w:rsid w:val="0073708D"/>
    <w:rsid w:val="0073776A"/>
    <w:rsid w:val="00740178"/>
    <w:rsid w:val="007409C7"/>
    <w:rsid w:val="00740D77"/>
    <w:rsid w:val="00740E81"/>
    <w:rsid w:val="0074192A"/>
    <w:rsid w:val="00742263"/>
    <w:rsid w:val="00742CC8"/>
    <w:rsid w:val="0074365E"/>
    <w:rsid w:val="007440E8"/>
    <w:rsid w:val="0074472D"/>
    <w:rsid w:val="0074473B"/>
    <w:rsid w:val="00744BA2"/>
    <w:rsid w:val="007457A4"/>
    <w:rsid w:val="00745E6D"/>
    <w:rsid w:val="007466F1"/>
    <w:rsid w:val="007469C7"/>
    <w:rsid w:val="00746A9C"/>
    <w:rsid w:val="00747EB6"/>
    <w:rsid w:val="00750AC5"/>
    <w:rsid w:val="007513F2"/>
    <w:rsid w:val="00751ACF"/>
    <w:rsid w:val="007529C9"/>
    <w:rsid w:val="00755136"/>
    <w:rsid w:val="00755B12"/>
    <w:rsid w:val="00755BE3"/>
    <w:rsid w:val="00755FF9"/>
    <w:rsid w:val="007563E6"/>
    <w:rsid w:val="0075699F"/>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588F"/>
    <w:rsid w:val="00776529"/>
    <w:rsid w:val="00776737"/>
    <w:rsid w:val="007774CF"/>
    <w:rsid w:val="007776B9"/>
    <w:rsid w:val="00777A0F"/>
    <w:rsid w:val="00780638"/>
    <w:rsid w:val="00780B79"/>
    <w:rsid w:val="0078225A"/>
    <w:rsid w:val="00782D8D"/>
    <w:rsid w:val="00783631"/>
    <w:rsid w:val="0078381B"/>
    <w:rsid w:val="00784318"/>
    <w:rsid w:val="007847D8"/>
    <w:rsid w:val="00784BDD"/>
    <w:rsid w:val="00784C0B"/>
    <w:rsid w:val="00784E0B"/>
    <w:rsid w:val="0078514E"/>
    <w:rsid w:val="007855E6"/>
    <w:rsid w:val="00785A51"/>
    <w:rsid w:val="00785A88"/>
    <w:rsid w:val="00787F43"/>
    <w:rsid w:val="007903FF"/>
    <w:rsid w:val="0079044A"/>
    <w:rsid w:val="00790AA5"/>
    <w:rsid w:val="00790FE8"/>
    <w:rsid w:val="0079107B"/>
    <w:rsid w:val="00791555"/>
    <w:rsid w:val="00791723"/>
    <w:rsid w:val="00791D6B"/>
    <w:rsid w:val="00791DEF"/>
    <w:rsid w:val="00791FB7"/>
    <w:rsid w:val="00792C4E"/>
    <w:rsid w:val="00793898"/>
    <w:rsid w:val="00793E04"/>
    <w:rsid w:val="00793F05"/>
    <w:rsid w:val="00793F73"/>
    <w:rsid w:val="0079441E"/>
    <w:rsid w:val="00794823"/>
    <w:rsid w:val="00794974"/>
    <w:rsid w:val="00794DA5"/>
    <w:rsid w:val="0079580F"/>
    <w:rsid w:val="00796374"/>
    <w:rsid w:val="007964BC"/>
    <w:rsid w:val="0079771F"/>
    <w:rsid w:val="007A09A3"/>
    <w:rsid w:val="007A0AA3"/>
    <w:rsid w:val="007A145C"/>
    <w:rsid w:val="007A3259"/>
    <w:rsid w:val="007A337D"/>
    <w:rsid w:val="007A3CDD"/>
    <w:rsid w:val="007A411E"/>
    <w:rsid w:val="007A51B4"/>
    <w:rsid w:val="007A51DF"/>
    <w:rsid w:val="007A621E"/>
    <w:rsid w:val="007A7E61"/>
    <w:rsid w:val="007A7E75"/>
    <w:rsid w:val="007A7F3D"/>
    <w:rsid w:val="007B046B"/>
    <w:rsid w:val="007B094D"/>
    <w:rsid w:val="007B1472"/>
    <w:rsid w:val="007B16BD"/>
    <w:rsid w:val="007B181D"/>
    <w:rsid w:val="007B1865"/>
    <w:rsid w:val="007B27C7"/>
    <w:rsid w:val="007B28B3"/>
    <w:rsid w:val="007B3268"/>
    <w:rsid w:val="007B3363"/>
    <w:rsid w:val="007B341E"/>
    <w:rsid w:val="007B3D49"/>
    <w:rsid w:val="007B4F25"/>
    <w:rsid w:val="007B4F7F"/>
    <w:rsid w:val="007B5403"/>
    <w:rsid w:val="007B5E4C"/>
    <w:rsid w:val="007B7102"/>
    <w:rsid w:val="007C019D"/>
    <w:rsid w:val="007C0619"/>
    <w:rsid w:val="007C0976"/>
    <w:rsid w:val="007C0C5A"/>
    <w:rsid w:val="007C1974"/>
    <w:rsid w:val="007C1F01"/>
    <w:rsid w:val="007C1F2D"/>
    <w:rsid w:val="007C23C5"/>
    <w:rsid w:val="007C26F4"/>
    <w:rsid w:val="007C2D6F"/>
    <w:rsid w:val="007C2ED4"/>
    <w:rsid w:val="007C3134"/>
    <w:rsid w:val="007C3300"/>
    <w:rsid w:val="007C3396"/>
    <w:rsid w:val="007C3494"/>
    <w:rsid w:val="007C35A2"/>
    <w:rsid w:val="007C36E8"/>
    <w:rsid w:val="007C3F4C"/>
    <w:rsid w:val="007C4691"/>
    <w:rsid w:val="007C5419"/>
    <w:rsid w:val="007C57C7"/>
    <w:rsid w:val="007C5B79"/>
    <w:rsid w:val="007C5EB6"/>
    <w:rsid w:val="007C63E7"/>
    <w:rsid w:val="007C653B"/>
    <w:rsid w:val="007C6A40"/>
    <w:rsid w:val="007C7043"/>
    <w:rsid w:val="007D0F7C"/>
    <w:rsid w:val="007D2282"/>
    <w:rsid w:val="007D27EC"/>
    <w:rsid w:val="007D30A3"/>
    <w:rsid w:val="007D377F"/>
    <w:rsid w:val="007D3DFC"/>
    <w:rsid w:val="007D42DC"/>
    <w:rsid w:val="007D42EF"/>
    <w:rsid w:val="007D44F6"/>
    <w:rsid w:val="007D4E8C"/>
    <w:rsid w:val="007D53D4"/>
    <w:rsid w:val="007D5A6F"/>
    <w:rsid w:val="007D5AE2"/>
    <w:rsid w:val="007D5D0B"/>
    <w:rsid w:val="007D651D"/>
    <w:rsid w:val="007D667A"/>
    <w:rsid w:val="007D73A7"/>
    <w:rsid w:val="007D74A9"/>
    <w:rsid w:val="007D77FD"/>
    <w:rsid w:val="007D7DB9"/>
    <w:rsid w:val="007E0189"/>
    <w:rsid w:val="007E04DD"/>
    <w:rsid w:val="007E0EF6"/>
    <w:rsid w:val="007E21A0"/>
    <w:rsid w:val="007E24B0"/>
    <w:rsid w:val="007E24DF"/>
    <w:rsid w:val="007E29D6"/>
    <w:rsid w:val="007E2F31"/>
    <w:rsid w:val="007E3C06"/>
    <w:rsid w:val="007E4217"/>
    <w:rsid w:val="007E49B5"/>
    <w:rsid w:val="007E4D2A"/>
    <w:rsid w:val="007E5171"/>
    <w:rsid w:val="007E539B"/>
    <w:rsid w:val="007E575F"/>
    <w:rsid w:val="007E5AFF"/>
    <w:rsid w:val="007E60B8"/>
    <w:rsid w:val="007E6540"/>
    <w:rsid w:val="007E69FE"/>
    <w:rsid w:val="007E70FA"/>
    <w:rsid w:val="007E73FC"/>
    <w:rsid w:val="007E7583"/>
    <w:rsid w:val="007E7C52"/>
    <w:rsid w:val="007F034E"/>
    <w:rsid w:val="007F0A99"/>
    <w:rsid w:val="007F15C8"/>
    <w:rsid w:val="007F1CBA"/>
    <w:rsid w:val="007F2A38"/>
    <w:rsid w:val="007F3D81"/>
    <w:rsid w:val="007F4A86"/>
    <w:rsid w:val="007F4C4F"/>
    <w:rsid w:val="007F4D17"/>
    <w:rsid w:val="007F5406"/>
    <w:rsid w:val="007F5DC6"/>
    <w:rsid w:val="007F695B"/>
    <w:rsid w:val="007F747F"/>
    <w:rsid w:val="008006ED"/>
    <w:rsid w:val="00800DE0"/>
    <w:rsid w:val="0080127C"/>
    <w:rsid w:val="00801727"/>
    <w:rsid w:val="0080199B"/>
    <w:rsid w:val="00801EA0"/>
    <w:rsid w:val="00801F61"/>
    <w:rsid w:val="0080385E"/>
    <w:rsid w:val="008043A4"/>
    <w:rsid w:val="00804A63"/>
    <w:rsid w:val="00805700"/>
    <w:rsid w:val="008061F3"/>
    <w:rsid w:val="0080671D"/>
    <w:rsid w:val="00806869"/>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3A9"/>
    <w:rsid w:val="00820AA4"/>
    <w:rsid w:val="00820B6D"/>
    <w:rsid w:val="00820FD7"/>
    <w:rsid w:val="0082100A"/>
    <w:rsid w:val="008212E4"/>
    <w:rsid w:val="0082144F"/>
    <w:rsid w:val="008223A8"/>
    <w:rsid w:val="0082303F"/>
    <w:rsid w:val="00823B8E"/>
    <w:rsid w:val="00824257"/>
    <w:rsid w:val="0082548D"/>
    <w:rsid w:val="00826163"/>
    <w:rsid w:val="008275B3"/>
    <w:rsid w:val="00827801"/>
    <w:rsid w:val="00827A15"/>
    <w:rsid w:val="00827B4F"/>
    <w:rsid w:val="00830CEB"/>
    <w:rsid w:val="00831263"/>
    <w:rsid w:val="008314A1"/>
    <w:rsid w:val="00831674"/>
    <w:rsid w:val="00832197"/>
    <w:rsid w:val="008331AE"/>
    <w:rsid w:val="00833B5D"/>
    <w:rsid w:val="00833EAF"/>
    <w:rsid w:val="00834005"/>
    <w:rsid w:val="008340C9"/>
    <w:rsid w:val="008351F7"/>
    <w:rsid w:val="0083649B"/>
    <w:rsid w:val="008365FF"/>
    <w:rsid w:val="008366F8"/>
    <w:rsid w:val="008369A1"/>
    <w:rsid w:val="008370AC"/>
    <w:rsid w:val="00837B78"/>
    <w:rsid w:val="00837EFF"/>
    <w:rsid w:val="00840208"/>
    <w:rsid w:val="00840901"/>
    <w:rsid w:val="00840D2E"/>
    <w:rsid w:val="00841011"/>
    <w:rsid w:val="00841462"/>
    <w:rsid w:val="00841737"/>
    <w:rsid w:val="00841AFD"/>
    <w:rsid w:val="00841B9D"/>
    <w:rsid w:val="00843888"/>
    <w:rsid w:val="00845645"/>
    <w:rsid w:val="00846242"/>
    <w:rsid w:val="00847883"/>
    <w:rsid w:val="00847A6F"/>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57F24"/>
    <w:rsid w:val="008604A0"/>
    <w:rsid w:val="00860A68"/>
    <w:rsid w:val="00860B0F"/>
    <w:rsid w:val="00860C24"/>
    <w:rsid w:val="00860ED6"/>
    <w:rsid w:val="0086236F"/>
    <w:rsid w:val="00862AD1"/>
    <w:rsid w:val="00862B5D"/>
    <w:rsid w:val="00862F75"/>
    <w:rsid w:val="00863949"/>
    <w:rsid w:val="00865CF6"/>
    <w:rsid w:val="0086693C"/>
    <w:rsid w:val="00866D5F"/>
    <w:rsid w:val="00866E26"/>
    <w:rsid w:val="00867941"/>
    <w:rsid w:val="008679AF"/>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63A"/>
    <w:rsid w:val="00875B3B"/>
    <w:rsid w:val="00875DEB"/>
    <w:rsid w:val="00875ED7"/>
    <w:rsid w:val="00876405"/>
    <w:rsid w:val="00876821"/>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CBA"/>
    <w:rsid w:val="00885F24"/>
    <w:rsid w:val="00886157"/>
    <w:rsid w:val="008872C9"/>
    <w:rsid w:val="008906F0"/>
    <w:rsid w:val="00891026"/>
    <w:rsid w:val="008911D5"/>
    <w:rsid w:val="008912D7"/>
    <w:rsid w:val="008918FF"/>
    <w:rsid w:val="00891BE3"/>
    <w:rsid w:val="00892539"/>
    <w:rsid w:val="0089273A"/>
    <w:rsid w:val="0089331C"/>
    <w:rsid w:val="008958CB"/>
    <w:rsid w:val="00895BF0"/>
    <w:rsid w:val="00896452"/>
    <w:rsid w:val="0089663F"/>
    <w:rsid w:val="00896F72"/>
    <w:rsid w:val="00897D88"/>
    <w:rsid w:val="008A05B6"/>
    <w:rsid w:val="008A1431"/>
    <w:rsid w:val="008A1C4F"/>
    <w:rsid w:val="008A3A03"/>
    <w:rsid w:val="008A4B78"/>
    <w:rsid w:val="008A4E32"/>
    <w:rsid w:val="008A562C"/>
    <w:rsid w:val="008A6B3F"/>
    <w:rsid w:val="008A6B8C"/>
    <w:rsid w:val="008A7059"/>
    <w:rsid w:val="008A71CE"/>
    <w:rsid w:val="008A7DCC"/>
    <w:rsid w:val="008B1241"/>
    <w:rsid w:val="008B2341"/>
    <w:rsid w:val="008B2F2D"/>
    <w:rsid w:val="008B304A"/>
    <w:rsid w:val="008B4227"/>
    <w:rsid w:val="008B4D9D"/>
    <w:rsid w:val="008B5701"/>
    <w:rsid w:val="008B58D8"/>
    <w:rsid w:val="008B62BE"/>
    <w:rsid w:val="008B6C52"/>
    <w:rsid w:val="008B7309"/>
    <w:rsid w:val="008B747D"/>
    <w:rsid w:val="008B74EF"/>
    <w:rsid w:val="008B768D"/>
    <w:rsid w:val="008B7E6A"/>
    <w:rsid w:val="008C03BD"/>
    <w:rsid w:val="008C055D"/>
    <w:rsid w:val="008C1A01"/>
    <w:rsid w:val="008C1E46"/>
    <w:rsid w:val="008C2811"/>
    <w:rsid w:val="008C3289"/>
    <w:rsid w:val="008C35FE"/>
    <w:rsid w:val="008C43D0"/>
    <w:rsid w:val="008C648F"/>
    <w:rsid w:val="008C6706"/>
    <w:rsid w:val="008C74D2"/>
    <w:rsid w:val="008C7991"/>
    <w:rsid w:val="008C7B0F"/>
    <w:rsid w:val="008C7BB3"/>
    <w:rsid w:val="008D00D2"/>
    <w:rsid w:val="008D0C44"/>
    <w:rsid w:val="008D14F8"/>
    <w:rsid w:val="008D24A5"/>
    <w:rsid w:val="008D28B1"/>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54A"/>
    <w:rsid w:val="008E771A"/>
    <w:rsid w:val="008E7874"/>
    <w:rsid w:val="008F12DB"/>
    <w:rsid w:val="008F18C6"/>
    <w:rsid w:val="008F34F1"/>
    <w:rsid w:val="008F4945"/>
    <w:rsid w:val="008F4EBD"/>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6FB"/>
    <w:rsid w:val="009058D2"/>
    <w:rsid w:val="00905E5E"/>
    <w:rsid w:val="00906CB1"/>
    <w:rsid w:val="00906FCD"/>
    <w:rsid w:val="00907819"/>
    <w:rsid w:val="00907B60"/>
    <w:rsid w:val="00910AD8"/>
    <w:rsid w:val="00911B7A"/>
    <w:rsid w:val="00912043"/>
    <w:rsid w:val="00912498"/>
    <w:rsid w:val="009135C6"/>
    <w:rsid w:val="00913C85"/>
    <w:rsid w:val="00913D29"/>
    <w:rsid w:val="0091435F"/>
    <w:rsid w:val="0091455D"/>
    <w:rsid w:val="0091464F"/>
    <w:rsid w:val="00914A4F"/>
    <w:rsid w:val="00916596"/>
    <w:rsid w:val="009202B7"/>
    <w:rsid w:val="00921404"/>
    <w:rsid w:val="00921D3C"/>
    <w:rsid w:val="0092265E"/>
    <w:rsid w:val="009226A4"/>
    <w:rsid w:val="009229B1"/>
    <w:rsid w:val="00923315"/>
    <w:rsid w:val="00923742"/>
    <w:rsid w:val="0092417C"/>
    <w:rsid w:val="00924A23"/>
    <w:rsid w:val="0092574F"/>
    <w:rsid w:val="00926073"/>
    <w:rsid w:val="0092662C"/>
    <w:rsid w:val="009269EC"/>
    <w:rsid w:val="00926A9B"/>
    <w:rsid w:val="009274CF"/>
    <w:rsid w:val="00927D48"/>
    <w:rsid w:val="0093057F"/>
    <w:rsid w:val="00930AFA"/>
    <w:rsid w:val="00931B04"/>
    <w:rsid w:val="00931FD7"/>
    <w:rsid w:val="00931FF8"/>
    <w:rsid w:val="0093204B"/>
    <w:rsid w:val="00932C44"/>
    <w:rsid w:val="00933173"/>
    <w:rsid w:val="009334A5"/>
    <w:rsid w:val="009341A5"/>
    <w:rsid w:val="00934277"/>
    <w:rsid w:val="00934345"/>
    <w:rsid w:val="00934AA0"/>
    <w:rsid w:val="00935689"/>
    <w:rsid w:val="00935CAC"/>
    <w:rsid w:val="00936400"/>
    <w:rsid w:val="00936406"/>
    <w:rsid w:val="009371AE"/>
    <w:rsid w:val="0093734F"/>
    <w:rsid w:val="009373C6"/>
    <w:rsid w:val="00937716"/>
    <w:rsid w:val="00937DE3"/>
    <w:rsid w:val="00937E25"/>
    <w:rsid w:val="00941C46"/>
    <w:rsid w:val="00941FC6"/>
    <w:rsid w:val="00942B8B"/>
    <w:rsid w:val="0094465B"/>
    <w:rsid w:val="0094495A"/>
    <w:rsid w:val="0094593B"/>
    <w:rsid w:val="0094600B"/>
    <w:rsid w:val="00946428"/>
    <w:rsid w:val="0094749B"/>
    <w:rsid w:val="00947679"/>
    <w:rsid w:val="00947F0A"/>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1EF"/>
    <w:rsid w:val="00960AC5"/>
    <w:rsid w:val="00960D7B"/>
    <w:rsid w:val="0096226B"/>
    <w:rsid w:val="00963113"/>
    <w:rsid w:val="00963A2A"/>
    <w:rsid w:val="00964411"/>
    <w:rsid w:val="00965568"/>
    <w:rsid w:val="00965773"/>
    <w:rsid w:val="00965930"/>
    <w:rsid w:val="00966B1C"/>
    <w:rsid w:val="00966E85"/>
    <w:rsid w:val="009670FA"/>
    <w:rsid w:val="009671DE"/>
    <w:rsid w:val="009673CD"/>
    <w:rsid w:val="009676F3"/>
    <w:rsid w:val="00967C5E"/>
    <w:rsid w:val="00967CAE"/>
    <w:rsid w:val="009717AA"/>
    <w:rsid w:val="00972317"/>
    <w:rsid w:val="00972A19"/>
    <w:rsid w:val="00972C27"/>
    <w:rsid w:val="0097374F"/>
    <w:rsid w:val="00973D0A"/>
    <w:rsid w:val="00974E72"/>
    <w:rsid w:val="009757EF"/>
    <w:rsid w:val="00975C71"/>
    <w:rsid w:val="00975EFD"/>
    <w:rsid w:val="00975F5F"/>
    <w:rsid w:val="009765F5"/>
    <w:rsid w:val="009772DB"/>
    <w:rsid w:val="00977D9D"/>
    <w:rsid w:val="00980834"/>
    <w:rsid w:val="00981BEC"/>
    <w:rsid w:val="00981DFA"/>
    <w:rsid w:val="00982D59"/>
    <w:rsid w:val="009846AF"/>
    <w:rsid w:val="0098487E"/>
    <w:rsid w:val="009859ED"/>
    <w:rsid w:val="00985C29"/>
    <w:rsid w:val="00985E97"/>
    <w:rsid w:val="00986B52"/>
    <w:rsid w:val="00986F77"/>
    <w:rsid w:val="0098744F"/>
    <w:rsid w:val="0099047E"/>
    <w:rsid w:val="009905A5"/>
    <w:rsid w:val="00990CA5"/>
    <w:rsid w:val="00991287"/>
    <w:rsid w:val="0099138C"/>
    <w:rsid w:val="00992D91"/>
    <w:rsid w:val="00993A72"/>
    <w:rsid w:val="0099431B"/>
    <w:rsid w:val="00995AB2"/>
    <w:rsid w:val="00995E19"/>
    <w:rsid w:val="0099617F"/>
    <w:rsid w:val="0099699A"/>
    <w:rsid w:val="0099703C"/>
    <w:rsid w:val="009974CA"/>
    <w:rsid w:val="009A023E"/>
    <w:rsid w:val="009A09E8"/>
    <w:rsid w:val="009A14EB"/>
    <w:rsid w:val="009A16BB"/>
    <w:rsid w:val="009A18AB"/>
    <w:rsid w:val="009A1A62"/>
    <w:rsid w:val="009A1CB4"/>
    <w:rsid w:val="009A285B"/>
    <w:rsid w:val="009A28C0"/>
    <w:rsid w:val="009A2FDA"/>
    <w:rsid w:val="009A2FE1"/>
    <w:rsid w:val="009A3310"/>
    <w:rsid w:val="009A3680"/>
    <w:rsid w:val="009A37B0"/>
    <w:rsid w:val="009A4024"/>
    <w:rsid w:val="009A42A6"/>
    <w:rsid w:val="009A4B50"/>
    <w:rsid w:val="009A4DD8"/>
    <w:rsid w:val="009A6653"/>
    <w:rsid w:val="009A77DC"/>
    <w:rsid w:val="009B06F9"/>
    <w:rsid w:val="009B129C"/>
    <w:rsid w:val="009B12B2"/>
    <w:rsid w:val="009B1438"/>
    <w:rsid w:val="009B14C2"/>
    <w:rsid w:val="009B2092"/>
    <w:rsid w:val="009B21FC"/>
    <w:rsid w:val="009B327B"/>
    <w:rsid w:val="009B39C1"/>
    <w:rsid w:val="009B3D58"/>
    <w:rsid w:val="009B56A5"/>
    <w:rsid w:val="009B6177"/>
    <w:rsid w:val="009B70D3"/>
    <w:rsid w:val="009C10FD"/>
    <w:rsid w:val="009C160E"/>
    <w:rsid w:val="009C1B5B"/>
    <w:rsid w:val="009C1CDC"/>
    <w:rsid w:val="009C2775"/>
    <w:rsid w:val="009C2E3E"/>
    <w:rsid w:val="009C34F3"/>
    <w:rsid w:val="009C3CC7"/>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1690"/>
    <w:rsid w:val="009D25CF"/>
    <w:rsid w:val="009D2989"/>
    <w:rsid w:val="009D311B"/>
    <w:rsid w:val="009D3FC1"/>
    <w:rsid w:val="009D40FB"/>
    <w:rsid w:val="009D4591"/>
    <w:rsid w:val="009D45F1"/>
    <w:rsid w:val="009D6914"/>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B27"/>
    <w:rsid w:val="009F1990"/>
    <w:rsid w:val="009F1D93"/>
    <w:rsid w:val="009F2279"/>
    <w:rsid w:val="009F22E4"/>
    <w:rsid w:val="009F289D"/>
    <w:rsid w:val="009F29F3"/>
    <w:rsid w:val="009F401A"/>
    <w:rsid w:val="009F4071"/>
    <w:rsid w:val="009F44C9"/>
    <w:rsid w:val="009F4AB2"/>
    <w:rsid w:val="009F532C"/>
    <w:rsid w:val="009F597D"/>
    <w:rsid w:val="009F66FC"/>
    <w:rsid w:val="009F6CA4"/>
    <w:rsid w:val="009F701A"/>
    <w:rsid w:val="00A0046D"/>
    <w:rsid w:val="00A0069D"/>
    <w:rsid w:val="00A00D6C"/>
    <w:rsid w:val="00A01A07"/>
    <w:rsid w:val="00A020BD"/>
    <w:rsid w:val="00A03265"/>
    <w:rsid w:val="00A0414F"/>
    <w:rsid w:val="00A04926"/>
    <w:rsid w:val="00A05087"/>
    <w:rsid w:val="00A05578"/>
    <w:rsid w:val="00A06D7E"/>
    <w:rsid w:val="00A06F5F"/>
    <w:rsid w:val="00A06FE9"/>
    <w:rsid w:val="00A07592"/>
    <w:rsid w:val="00A10A86"/>
    <w:rsid w:val="00A113A0"/>
    <w:rsid w:val="00A1265D"/>
    <w:rsid w:val="00A126F1"/>
    <w:rsid w:val="00A128E7"/>
    <w:rsid w:val="00A12D95"/>
    <w:rsid w:val="00A1462B"/>
    <w:rsid w:val="00A14759"/>
    <w:rsid w:val="00A15026"/>
    <w:rsid w:val="00A150EC"/>
    <w:rsid w:val="00A15749"/>
    <w:rsid w:val="00A15CAB"/>
    <w:rsid w:val="00A211EA"/>
    <w:rsid w:val="00A2184D"/>
    <w:rsid w:val="00A231E5"/>
    <w:rsid w:val="00A234B2"/>
    <w:rsid w:val="00A234B5"/>
    <w:rsid w:val="00A24AAC"/>
    <w:rsid w:val="00A25024"/>
    <w:rsid w:val="00A251D5"/>
    <w:rsid w:val="00A26006"/>
    <w:rsid w:val="00A261CE"/>
    <w:rsid w:val="00A2648E"/>
    <w:rsid w:val="00A265E1"/>
    <w:rsid w:val="00A26718"/>
    <w:rsid w:val="00A26892"/>
    <w:rsid w:val="00A26D3C"/>
    <w:rsid w:val="00A27612"/>
    <w:rsid w:val="00A276B7"/>
    <w:rsid w:val="00A27763"/>
    <w:rsid w:val="00A27D1C"/>
    <w:rsid w:val="00A302BB"/>
    <w:rsid w:val="00A31440"/>
    <w:rsid w:val="00A3193D"/>
    <w:rsid w:val="00A31E1D"/>
    <w:rsid w:val="00A31FF1"/>
    <w:rsid w:val="00A328B6"/>
    <w:rsid w:val="00A33015"/>
    <w:rsid w:val="00A33164"/>
    <w:rsid w:val="00A333A2"/>
    <w:rsid w:val="00A337CF"/>
    <w:rsid w:val="00A342C5"/>
    <w:rsid w:val="00A3481F"/>
    <w:rsid w:val="00A35EBF"/>
    <w:rsid w:val="00A3625B"/>
    <w:rsid w:val="00A3660C"/>
    <w:rsid w:val="00A36A23"/>
    <w:rsid w:val="00A371E8"/>
    <w:rsid w:val="00A378CB"/>
    <w:rsid w:val="00A37C27"/>
    <w:rsid w:val="00A40166"/>
    <w:rsid w:val="00A41237"/>
    <w:rsid w:val="00A41C93"/>
    <w:rsid w:val="00A423FA"/>
    <w:rsid w:val="00A42646"/>
    <w:rsid w:val="00A4295A"/>
    <w:rsid w:val="00A42D9C"/>
    <w:rsid w:val="00A42F67"/>
    <w:rsid w:val="00A432F8"/>
    <w:rsid w:val="00A433A5"/>
    <w:rsid w:val="00A434AE"/>
    <w:rsid w:val="00A4395F"/>
    <w:rsid w:val="00A43ADA"/>
    <w:rsid w:val="00A43D9C"/>
    <w:rsid w:val="00A4405D"/>
    <w:rsid w:val="00A4421B"/>
    <w:rsid w:val="00A44762"/>
    <w:rsid w:val="00A44808"/>
    <w:rsid w:val="00A452ED"/>
    <w:rsid w:val="00A467D4"/>
    <w:rsid w:val="00A46D00"/>
    <w:rsid w:val="00A4796C"/>
    <w:rsid w:val="00A47F87"/>
    <w:rsid w:val="00A501C9"/>
    <w:rsid w:val="00A53481"/>
    <w:rsid w:val="00A53579"/>
    <w:rsid w:val="00A54103"/>
    <w:rsid w:val="00A54592"/>
    <w:rsid w:val="00A54D74"/>
    <w:rsid w:val="00A55412"/>
    <w:rsid w:val="00A55CC2"/>
    <w:rsid w:val="00A56027"/>
    <w:rsid w:val="00A57E37"/>
    <w:rsid w:val="00A6003E"/>
    <w:rsid w:val="00A6045E"/>
    <w:rsid w:val="00A60784"/>
    <w:rsid w:val="00A62EB4"/>
    <w:rsid w:val="00A6304A"/>
    <w:rsid w:val="00A63C59"/>
    <w:rsid w:val="00A63EA9"/>
    <w:rsid w:val="00A6443A"/>
    <w:rsid w:val="00A64F1A"/>
    <w:rsid w:val="00A65F3D"/>
    <w:rsid w:val="00A65F7E"/>
    <w:rsid w:val="00A661F2"/>
    <w:rsid w:val="00A663AF"/>
    <w:rsid w:val="00A67C8B"/>
    <w:rsid w:val="00A70206"/>
    <w:rsid w:val="00A70233"/>
    <w:rsid w:val="00A705BB"/>
    <w:rsid w:val="00A70B88"/>
    <w:rsid w:val="00A70D6B"/>
    <w:rsid w:val="00A70E4B"/>
    <w:rsid w:val="00A715B2"/>
    <w:rsid w:val="00A71E2C"/>
    <w:rsid w:val="00A7293B"/>
    <w:rsid w:val="00A72DBF"/>
    <w:rsid w:val="00A737D1"/>
    <w:rsid w:val="00A73C61"/>
    <w:rsid w:val="00A73D05"/>
    <w:rsid w:val="00A743EF"/>
    <w:rsid w:val="00A75655"/>
    <w:rsid w:val="00A75D9B"/>
    <w:rsid w:val="00A76BC2"/>
    <w:rsid w:val="00A76CC0"/>
    <w:rsid w:val="00A80453"/>
    <w:rsid w:val="00A806E1"/>
    <w:rsid w:val="00A80961"/>
    <w:rsid w:val="00A80A03"/>
    <w:rsid w:val="00A81897"/>
    <w:rsid w:val="00A821EE"/>
    <w:rsid w:val="00A825C2"/>
    <w:rsid w:val="00A827B1"/>
    <w:rsid w:val="00A82A0C"/>
    <w:rsid w:val="00A82F56"/>
    <w:rsid w:val="00A83385"/>
    <w:rsid w:val="00A833D8"/>
    <w:rsid w:val="00A83F4D"/>
    <w:rsid w:val="00A84BED"/>
    <w:rsid w:val="00A85131"/>
    <w:rsid w:val="00A86313"/>
    <w:rsid w:val="00A8651E"/>
    <w:rsid w:val="00A86AF1"/>
    <w:rsid w:val="00A870D8"/>
    <w:rsid w:val="00A871D7"/>
    <w:rsid w:val="00A879A8"/>
    <w:rsid w:val="00A90432"/>
    <w:rsid w:val="00A90BA5"/>
    <w:rsid w:val="00A9402B"/>
    <w:rsid w:val="00A94E55"/>
    <w:rsid w:val="00A94EC8"/>
    <w:rsid w:val="00A951CD"/>
    <w:rsid w:val="00A95201"/>
    <w:rsid w:val="00A95461"/>
    <w:rsid w:val="00A954D3"/>
    <w:rsid w:val="00A95A72"/>
    <w:rsid w:val="00A969ED"/>
    <w:rsid w:val="00A96D95"/>
    <w:rsid w:val="00A97565"/>
    <w:rsid w:val="00A97AAF"/>
    <w:rsid w:val="00AA0673"/>
    <w:rsid w:val="00AA08D9"/>
    <w:rsid w:val="00AA0DF2"/>
    <w:rsid w:val="00AA18C0"/>
    <w:rsid w:val="00AA1CCF"/>
    <w:rsid w:val="00AA2317"/>
    <w:rsid w:val="00AA2AB2"/>
    <w:rsid w:val="00AA3D8E"/>
    <w:rsid w:val="00AA3FCA"/>
    <w:rsid w:val="00AA4089"/>
    <w:rsid w:val="00AA4EB6"/>
    <w:rsid w:val="00AA529D"/>
    <w:rsid w:val="00AA57AF"/>
    <w:rsid w:val="00AA59F5"/>
    <w:rsid w:val="00AA68B1"/>
    <w:rsid w:val="00AA7D37"/>
    <w:rsid w:val="00AB05D0"/>
    <w:rsid w:val="00AB1343"/>
    <w:rsid w:val="00AB26A6"/>
    <w:rsid w:val="00AB2F38"/>
    <w:rsid w:val="00AB341F"/>
    <w:rsid w:val="00AB3A84"/>
    <w:rsid w:val="00AB4ED6"/>
    <w:rsid w:val="00AB542E"/>
    <w:rsid w:val="00AB705B"/>
    <w:rsid w:val="00AB77A7"/>
    <w:rsid w:val="00AB7AF7"/>
    <w:rsid w:val="00AC0B92"/>
    <w:rsid w:val="00AC1E62"/>
    <w:rsid w:val="00AC22CA"/>
    <w:rsid w:val="00AC2423"/>
    <w:rsid w:val="00AC2834"/>
    <w:rsid w:val="00AC2DFE"/>
    <w:rsid w:val="00AC3EFF"/>
    <w:rsid w:val="00AC49C4"/>
    <w:rsid w:val="00AC60FC"/>
    <w:rsid w:val="00AC6CE7"/>
    <w:rsid w:val="00AC7606"/>
    <w:rsid w:val="00AC7B39"/>
    <w:rsid w:val="00AD0372"/>
    <w:rsid w:val="00AD06B1"/>
    <w:rsid w:val="00AD0DDB"/>
    <w:rsid w:val="00AD107C"/>
    <w:rsid w:val="00AD174A"/>
    <w:rsid w:val="00AD2100"/>
    <w:rsid w:val="00AD265A"/>
    <w:rsid w:val="00AD3083"/>
    <w:rsid w:val="00AD30D3"/>
    <w:rsid w:val="00AD396B"/>
    <w:rsid w:val="00AD3CD7"/>
    <w:rsid w:val="00AD439D"/>
    <w:rsid w:val="00AD4961"/>
    <w:rsid w:val="00AD4EBF"/>
    <w:rsid w:val="00AD4FC0"/>
    <w:rsid w:val="00AD571D"/>
    <w:rsid w:val="00AD572F"/>
    <w:rsid w:val="00AD5882"/>
    <w:rsid w:val="00AD5EFA"/>
    <w:rsid w:val="00AD6110"/>
    <w:rsid w:val="00AD611A"/>
    <w:rsid w:val="00AD7AFD"/>
    <w:rsid w:val="00AD7DF4"/>
    <w:rsid w:val="00AE047E"/>
    <w:rsid w:val="00AE07E9"/>
    <w:rsid w:val="00AE0D01"/>
    <w:rsid w:val="00AE1908"/>
    <w:rsid w:val="00AE1980"/>
    <w:rsid w:val="00AE1DBC"/>
    <w:rsid w:val="00AE23BD"/>
    <w:rsid w:val="00AE48E3"/>
    <w:rsid w:val="00AE4903"/>
    <w:rsid w:val="00AE4B12"/>
    <w:rsid w:val="00AE4F06"/>
    <w:rsid w:val="00AE504D"/>
    <w:rsid w:val="00AE53F0"/>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75"/>
    <w:rsid w:val="00AF20B5"/>
    <w:rsid w:val="00AF2732"/>
    <w:rsid w:val="00AF286F"/>
    <w:rsid w:val="00AF3639"/>
    <w:rsid w:val="00AF36C7"/>
    <w:rsid w:val="00AF3993"/>
    <w:rsid w:val="00AF3BDB"/>
    <w:rsid w:val="00AF3CF3"/>
    <w:rsid w:val="00AF40C9"/>
    <w:rsid w:val="00AF469D"/>
    <w:rsid w:val="00AF546E"/>
    <w:rsid w:val="00AF5941"/>
    <w:rsid w:val="00B0048B"/>
    <w:rsid w:val="00B006F8"/>
    <w:rsid w:val="00B00BE0"/>
    <w:rsid w:val="00B010A5"/>
    <w:rsid w:val="00B023A9"/>
    <w:rsid w:val="00B03209"/>
    <w:rsid w:val="00B0404F"/>
    <w:rsid w:val="00B04C1E"/>
    <w:rsid w:val="00B06C94"/>
    <w:rsid w:val="00B07B2B"/>
    <w:rsid w:val="00B07D28"/>
    <w:rsid w:val="00B10496"/>
    <w:rsid w:val="00B113B5"/>
    <w:rsid w:val="00B11B6C"/>
    <w:rsid w:val="00B12393"/>
    <w:rsid w:val="00B12747"/>
    <w:rsid w:val="00B1290C"/>
    <w:rsid w:val="00B12E99"/>
    <w:rsid w:val="00B132A5"/>
    <w:rsid w:val="00B13624"/>
    <w:rsid w:val="00B13D8F"/>
    <w:rsid w:val="00B14BB5"/>
    <w:rsid w:val="00B14BE7"/>
    <w:rsid w:val="00B15D4D"/>
    <w:rsid w:val="00B16978"/>
    <w:rsid w:val="00B16E0F"/>
    <w:rsid w:val="00B16FB1"/>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5CD"/>
    <w:rsid w:val="00B24DC1"/>
    <w:rsid w:val="00B25226"/>
    <w:rsid w:val="00B2569C"/>
    <w:rsid w:val="00B26770"/>
    <w:rsid w:val="00B26E71"/>
    <w:rsid w:val="00B30197"/>
    <w:rsid w:val="00B30252"/>
    <w:rsid w:val="00B30B26"/>
    <w:rsid w:val="00B31067"/>
    <w:rsid w:val="00B31BB3"/>
    <w:rsid w:val="00B31FA6"/>
    <w:rsid w:val="00B320F3"/>
    <w:rsid w:val="00B32CF2"/>
    <w:rsid w:val="00B32F88"/>
    <w:rsid w:val="00B33106"/>
    <w:rsid w:val="00B334BE"/>
    <w:rsid w:val="00B3357A"/>
    <w:rsid w:val="00B33BB6"/>
    <w:rsid w:val="00B3483A"/>
    <w:rsid w:val="00B34B4C"/>
    <w:rsid w:val="00B362BB"/>
    <w:rsid w:val="00B36586"/>
    <w:rsid w:val="00B372E7"/>
    <w:rsid w:val="00B37E64"/>
    <w:rsid w:val="00B40F2C"/>
    <w:rsid w:val="00B41A0C"/>
    <w:rsid w:val="00B42976"/>
    <w:rsid w:val="00B42E75"/>
    <w:rsid w:val="00B44B05"/>
    <w:rsid w:val="00B453E8"/>
    <w:rsid w:val="00B45ABF"/>
    <w:rsid w:val="00B45E03"/>
    <w:rsid w:val="00B45FDB"/>
    <w:rsid w:val="00B4684B"/>
    <w:rsid w:val="00B475DF"/>
    <w:rsid w:val="00B47E27"/>
    <w:rsid w:val="00B5087E"/>
    <w:rsid w:val="00B51391"/>
    <w:rsid w:val="00B51DAD"/>
    <w:rsid w:val="00B527AA"/>
    <w:rsid w:val="00B5358A"/>
    <w:rsid w:val="00B535D3"/>
    <w:rsid w:val="00B53BB4"/>
    <w:rsid w:val="00B540C4"/>
    <w:rsid w:val="00B542A3"/>
    <w:rsid w:val="00B54731"/>
    <w:rsid w:val="00B5488F"/>
    <w:rsid w:val="00B54C5F"/>
    <w:rsid w:val="00B554E2"/>
    <w:rsid w:val="00B558B4"/>
    <w:rsid w:val="00B56608"/>
    <w:rsid w:val="00B56DD5"/>
    <w:rsid w:val="00B56E6B"/>
    <w:rsid w:val="00B56FC9"/>
    <w:rsid w:val="00B57087"/>
    <w:rsid w:val="00B6084E"/>
    <w:rsid w:val="00B60894"/>
    <w:rsid w:val="00B61008"/>
    <w:rsid w:val="00B619F7"/>
    <w:rsid w:val="00B61DD7"/>
    <w:rsid w:val="00B62A93"/>
    <w:rsid w:val="00B62B72"/>
    <w:rsid w:val="00B64CBE"/>
    <w:rsid w:val="00B64FBD"/>
    <w:rsid w:val="00B6538D"/>
    <w:rsid w:val="00B65605"/>
    <w:rsid w:val="00B657CA"/>
    <w:rsid w:val="00B661B6"/>
    <w:rsid w:val="00B66D92"/>
    <w:rsid w:val="00B677DE"/>
    <w:rsid w:val="00B7023A"/>
    <w:rsid w:val="00B70E53"/>
    <w:rsid w:val="00B7189E"/>
    <w:rsid w:val="00B71B0B"/>
    <w:rsid w:val="00B737CC"/>
    <w:rsid w:val="00B73EA1"/>
    <w:rsid w:val="00B76DD1"/>
    <w:rsid w:val="00B76E3B"/>
    <w:rsid w:val="00B77916"/>
    <w:rsid w:val="00B8003E"/>
    <w:rsid w:val="00B8054A"/>
    <w:rsid w:val="00B80772"/>
    <w:rsid w:val="00B810AA"/>
    <w:rsid w:val="00B814F9"/>
    <w:rsid w:val="00B81C67"/>
    <w:rsid w:val="00B828BD"/>
    <w:rsid w:val="00B82983"/>
    <w:rsid w:val="00B82CF4"/>
    <w:rsid w:val="00B841BD"/>
    <w:rsid w:val="00B848C3"/>
    <w:rsid w:val="00B85D62"/>
    <w:rsid w:val="00B85E39"/>
    <w:rsid w:val="00B86886"/>
    <w:rsid w:val="00B86978"/>
    <w:rsid w:val="00B874DF"/>
    <w:rsid w:val="00B8796E"/>
    <w:rsid w:val="00B87CA7"/>
    <w:rsid w:val="00B9040F"/>
    <w:rsid w:val="00B90C3B"/>
    <w:rsid w:val="00B9147B"/>
    <w:rsid w:val="00B9197D"/>
    <w:rsid w:val="00B927E9"/>
    <w:rsid w:val="00B92945"/>
    <w:rsid w:val="00B94228"/>
    <w:rsid w:val="00B9432A"/>
    <w:rsid w:val="00B94D8D"/>
    <w:rsid w:val="00B9584D"/>
    <w:rsid w:val="00B95D2B"/>
    <w:rsid w:val="00B95DBF"/>
    <w:rsid w:val="00B96444"/>
    <w:rsid w:val="00B9747E"/>
    <w:rsid w:val="00B974C5"/>
    <w:rsid w:val="00B9772B"/>
    <w:rsid w:val="00B97FDD"/>
    <w:rsid w:val="00BA0153"/>
    <w:rsid w:val="00BA01AE"/>
    <w:rsid w:val="00BA0B4E"/>
    <w:rsid w:val="00BA1513"/>
    <w:rsid w:val="00BA1828"/>
    <w:rsid w:val="00BA2CD4"/>
    <w:rsid w:val="00BA3E04"/>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18E"/>
    <w:rsid w:val="00BB494D"/>
    <w:rsid w:val="00BB648A"/>
    <w:rsid w:val="00BB661F"/>
    <w:rsid w:val="00BB69A2"/>
    <w:rsid w:val="00BB6CE7"/>
    <w:rsid w:val="00BB74BA"/>
    <w:rsid w:val="00BB7720"/>
    <w:rsid w:val="00BB7A4A"/>
    <w:rsid w:val="00BC008F"/>
    <w:rsid w:val="00BC18E3"/>
    <w:rsid w:val="00BC3587"/>
    <w:rsid w:val="00BC370F"/>
    <w:rsid w:val="00BC3E9A"/>
    <w:rsid w:val="00BC41A0"/>
    <w:rsid w:val="00BC41C0"/>
    <w:rsid w:val="00BC657B"/>
    <w:rsid w:val="00BC6836"/>
    <w:rsid w:val="00BC72F0"/>
    <w:rsid w:val="00BC787F"/>
    <w:rsid w:val="00BC7D42"/>
    <w:rsid w:val="00BD0B22"/>
    <w:rsid w:val="00BD1236"/>
    <w:rsid w:val="00BD2677"/>
    <w:rsid w:val="00BD32D8"/>
    <w:rsid w:val="00BD391D"/>
    <w:rsid w:val="00BD39EA"/>
    <w:rsid w:val="00BD5042"/>
    <w:rsid w:val="00BD5D36"/>
    <w:rsid w:val="00BD5FAB"/>
    <w:rsid w:val="00BD68EB"/>
    <w:rsid w:val="00BD6AAE"/>
    <w:rsid w:val="00BE06FF"/>
    <w:rsid w:val="00BE0CC9"/>
    <w:rsid w:val="00BE1251"/>
    <w:rsid w:val="00BE1279"/>
    <w:rsid w:val="00BE192B"/>
    <w:rsid w:val="00BE210A"/>
    <w:rsid w:val="00BE2BE2"/>
    <w:rsid w:val="00BE3F78"/>
    <w:rsid w:val="00BE3F9A"/>
    <w:rsid w:val="00BE3FE9"/>
    <w:rsid w:val="00BE4715"/>
    <w:rsid w:val="00BE4AA8"/>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626B"/>
    <w:rsid w:val="00BF650B"/>
    <w:rsid w:val="00BF66E5"/>
    <w:rsid w:val="00BF6C00"/>
    <w:rsid w:val="00BF6C11"/>
    <w:rsid w:val="00BF7354"/>
    <w:rsid w:val="00C007D5"/>
    <w:rsid w:val="00C00B43"/>
    <w:rsid w:val="00C00C73"/>
    <w:rsid w:val="00C014A8"/>
    <w:rsid w:val="00C014BE"/>
    <w:rsid w:val="00C024AC"/>
    <w:rsid w:val="00C02EBF"/>
    <w:rsid w:val="00C0336D"/>
    <w:rsid w:val="00C04459"/>
    <w:rsid w:val="00C059CD"/>
    <w:rsid w:val="00C066E3"/>
    <w:rsid w:val="00C074FA"/>
    <w:rsid w:val="00C07760"/>
    <w:rsid w:val="00C07952"/>
    <w:rsid w:val="00C07B9E"/>
    <w:rsid w:val="00C10324"/>
    <w:rsid w:val="00C1058D"/>
    <w:rsid w:val="00C108F0"/>
    <w:rsid w:val="00C10B5E"/>
    <w:rsid w:val="00C10CFD"/>
    <w:rsid w:val="00C10D42"/>
    <w:rsid w:val="00C11567"/>
    <w:rsid w:val="00C11633"/>
    <w:rsid w:val="00C11727"/>
    <w:rsid w:val="00C11C97"/>
    <w:rsid w:val="00C12821"/>
    <w:rsid w:val="00C128E6"/>
    <w:rsid w:val="00C12995"/>
    <w:rsid w:val="00C12EEC"/>
    <w:rsid w:val="00C13131"/>
    <w:rsid w:val="00C13938"/>
    <w:rsid w:val="00C13A0A"/>
    <w:rsid w:val="00C13CD0"/>
    <w:rsid w:val="00C154BB"/>
    <w:rsid w:val="00C15762"/>
    <w:rsid w:val="00C15B81"/>
    <w:rsid w:val="00C16570"/>
    <w:rsid w:val="00C16623"/>
    <w:rsid w:val="00C16C61"/>
    <w:rsid w:val="00C1722D"/>
    <w:rsid w:val="00C17522"/>
    <w:rsid w:val="00C17CD5"/>
    <w:rsid w:val="00C20205"/>
    <w:rsid w:val="00C20568"/>
    <w:rsid w:val="00C209BF"/>
    <w:rsid w:val="00C216FB"/>
    <w:rsid w:val="00C21D40"/>
    <w:rsid w:val="00C22B29"/>
    <w:rsid w:val="00C22BF2"/>
    <w:rsid w:val="00C232A2"/>
    <w:rsid w:val="00C23EBF"/>
    <w:rsid w:val="00C24A64"/>
    <w:rsid w:val="00C24F49"/>
    <w:rsid w:val="00C25406"/>
    <w:rsid w:val="00C25619"/>
    <w:rsid w:val="00C25814"/>
    <w:rsid w:val="00C26416"/>
    <w:rsid w:val="00C2708F"/>
    <w:rsid w:val="00C308E4"/>
    <w:rsid w:val="00C32800"/>
    <w:rsid w:val="00C32DFF"/>
    <w:rsid w:val="00C331F6"/>
    <w:rsid w:val="00C333B0"/>
    <w:rsid w:val="00C3400D"/>
    <w:rsid w:val="00C34CE7"/>
    <w:rsid w:val="00C357B8"/>
    <w:rsid w:val="00C357D0"/>
    <w:rsid w:val="00C3598C"/>
    <w:rsid w:val="00C3705B"/>
    <w:rsid w:val="00C37350"/>
    <w:rsid w:val="00C37B4E"/>
    <w:rsid w:val="00C37C3D"/>
    <w:rsid w:val="00C41A8C"/>
    <w:rsid w:val="00C4358E"/>
    <w:rsid w:val="00C438BD"/>
    <w:rsid w:val="00C4445B"/>
    <w:rsid w:val="00C44A70"/>
    <w:rsid w:val="00C4540E"/>
    <w:rsid w:val="00C4690C"/>
    <w:rsid w:val="00C46D16"/>
    <w:rsid w:val="00C471D8"/>
    <w:rsid w:val="00C4745D"/>
    <w:rsid w:val="00C51226"/>
    <w:rsid w:val="00C51256"/>
    <w:rsid w:val="00C5168A"/>
    <w:rsid w:val="00C51D72"/>
    <w:rsid w:val="00C51FF0"/>
    <w:rsid w:val="00C52824"/>
    <w:rsid w:val="00C52831"/>
    <w:rsid w:val="00C53197"/>
    <w:rsid w:val="00C53E05"/>
    <w:rsid w:val="00C553F0"/>
    <w:rsid w:val="00C55AB9"/>
    <w:rsid w:val="00C56881"/>
    <w:rsid w:val="00C57635"/>
    <w:rsid w:val="00C578B3"/>
    <w:rsid w:val="00C57D81"/>
    <w:rsid w:val="00C57F30"/>
    <w:rsid w:val="00C60A1E"/>
    <w:rsid w:val="00C610DC"/>
    <w:rsid w:val="00C61C1D"/>
    <w:rsid w:val="00C63102"/>
    <w:rsid w:val="00C64287"/>
    <w:rsid w:val="00C64F3C"/>
    <w:rsid w:val="00C652C2"/>
    <w:rsid w:val="00C66738"/>
    <w:rsid w:val="00C66B54"/>
    <w:rsid w:val="00C6704E"/>
    <w:rsid w:val="00C70F75"/>
    <w:rsid w:val="00C71516"/>
    <w:rsid w:val="00C727DD"/>
    <w:rsid w:val="00C72B29"/>
    <w:rsid w:val="00C72C4A"/>
    <w:rsid w:val="00C72FDE"/>
    <w:rsid w:val="00C7302A"/>
    <w:rsid w:val="00C73273"/>
    <w:rsid w:val="00C73374"/>
    <w:rsid w:val="00C74A20"/>
    <w:rsid w:val="00C75022"/>
    <w:rsid w:val="00C754CA"/>
    <w:rsid w:val="00C75641"/>
    <w:rsid w:val="00C75684"/>
    <w:rsid w:val="00C7575F"/>
    <w:rsid w:val="00C76384"/>
    <w:rsid w:val="00C76DB3"/>
    <w:rsid w:val="00C77224"/>
    <w:rsid w:val="00C777CB"/>
    <w:rsid w:val="00C804BD"/>
    <w:rsid w:val="00C80A08"/>
    <w:rsid w:val="00C80C24"/>
    <w:rsid w:val="00C81364"/>
    <w:rsid w:val="00C817A6"/>
    <w:rsid w:val="00C81BD4"/>
    <w:rsid w:val="00C83795"/>
    <w:rsid w:val="00C841F3"/>
    <w:rsid w:val="00C84548"/>
    <w:rsid w:val="00C84C17"/>
    <w:rsid w:val="00C84F68"/>
    <w:rsid w:val="00C860F2"/>
    <w:rsid w:val="00C862EA"/>
    <w:rsid w:val="00C872B4"/>
    <w:rsid w:val="00C9072F"/>
    <w:rsid w:val="00C90B09"/>
    <w:rsid w:val="00C90E60"/>
    <w:rsid w:val="00C90F6A"/>
    <w:rsid w:val="00C931CD"/>
    <w:rsid w:val="00C93611"/>
    <w:rsid w:val="00C94386"/>
    <w:rsid w:val="00C95254"/>
    <w:rsid w:val="00C95903"/>
    <w:rsid w:val="00C973B5"/>
    <w:rsid w:val="00C97B64"/>
    <w:rsid w:val="00C97EF8"/>
    <w:rsid w:val="00CA0A6E"/>
    <w:rsid w:val="00CA0F52"/>
    <w:rsid w:val="00CA19B8"/>
    <w:rsid w:val="00CA1BCC"/>
    <w:rsid w:val="00CA3119"/>
    <w:rsid w:val="00CA31D5"/>
    <w:rsid w:val="00CA420E"/>
    <w:rsid w:val="00CA4884"/>
    <w:rsid w:val="00CA4C47"/>
    <w:rsid w:val="00CA52C8"/>
    <w:rsid w:val="00CA5900"/>
    <w:rsid w:val="00CA5C05"/>
    <w:rsid w:val="00CA5E2B"/>
    <w:rsid w:val="00CA686D"/>
    <w:rsid w:val="00CA6A9B"/>
    <w:rsid w:val="00CA6B7B"/>
    <w:rsid w:val="00CB0335"/>
    <w:rsid w:val="00CB2A24"/>
    <w:rsid w:val="00CB2C1D"/>
    <w:rsid w:val="00CB2EDB"/>
    <w:rsid w:val="00CB2FC0"/>
    <w:rsid w:val="00CB313D"/>
    <w:rsid w:val="00CB316A"/>
    <w:rsid w:val="00CB5234"/>
    <w:rsid w:val="00CB5420"/>
    <w:rsid w:val="00CB70D2"/>
    <w:rsid w:val="00CB7142"/>
    <w:rsid w:val="00CB7939"/>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5261"/>
    <w:rsid w:val="00CD5EB6"/>
    <w:rsid w:val="00CD6729"/>
    <w:rsid w:val="00CD6D1E"/>
    <w:rsid w:val="00CD77F8"/>
    <w:rsid w:val="00CE07C4"/>
    <w:rsid w:val="00CE1510"/>
    <w:rsid w:val="00CE19D6"/>
    <w:rsid w:val="00CE41C5"/>
    <w:rsid w:val="00CE50DD"/>
    <w:rsid w:val="00CE5578"/>
    <w:rsid w:val="00CE5618"/>
    <w:rsid w:val="00CE5839"/>
    <w:rsid w:val="00CE5DAA"/>
    <w:rsid w:val="00CE6A15"/>
    <w:rsid w:val="00CE6B6F"/>
    <w:rsid w:val="00CF0B05"/>
    <w:rsid w:val="00CF0D83"/>
    <w:rsid w:val="00CF119F"/>
    <w:rsid w:val="00CF174D"/>
    <w:rsid w:val="00CF1761"/>
    <w:rsid w:val="00CF1B1B"/>
    <w:rsid w:val="00CF2DBA"/>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7A0"/>
    <w:rsid w:val="00D039AB"/>
    <w:rsid w:val="00D03DA9"/>
    <w:rsid w:val="00D03F32"/>
    <w:rsid w:val="00D04A73"/>
    <w:rsid w:val="00D04A78"/>
    <w:rsid w:val="00D04CB7"/>
    <w:rsid w:val="00D05348"/>
    <w:rsid w:val="00D058F0"/>
    <w:rsid w:val="00D05E76"/>
    <w:rsid w:val="00D05F43"/>
    <w:rsid w:val="00D06506"/>
    <w:rsid w:val="00D07FB0"/>
    <w:rsid w:val="00D10206"/>
    <w:rsid w:val="00D1055D"/>
    <w:rsid w:val="00D10583"/>
    <w:rsid w:val="00D108AC"/>
    <w:rsid w:val="00D108B2"/>
    <w:rsid w:val="00D11104"/>
    <w:rsid w:val="00D134B1"/>
    <w:rsid w:val="00D138D3"/>
    <w:rsid w:val="00D14420"/>
    <w:rsid w:val="00D14705"/>
    <w:rsid w:val="00D15523"/>
    <w:rsid w:val="00D155F6"/>
    <w:rsid w:val="00D15BBE"/>
    <w:rsid w:val="00D15D3A"/>
    <w:rsid w:val="00D166A0"/>
    <w:rsid w:val="00D1721C"/>
    <w:rsid w:val="00D20193"/>
    <w:rsid w:val="00D204BF"/>
    <w:rsid w:val="00D21D60"/>
    <w:rsid w:val="00D2217A"/>
    <w:rsid w:val="00D22F34"/>
    <w:rsid w:val="00D23406"/>
    <w:rsid w:val="00D23666"/>
    <w:rsid w:val="00D23C58"/>
    <w:rsid w:val="00D23CE5"/>
    <w:rsid w:val="00D242BD"/>
    <w:rsid w:val="00D2518F"/>
    <w:rsid w:val="00D25328"/>
    <w:rsid w:val="00D2563C"/>
    <w:rsid w:val="00D26681"/>
    <w:rsid w:val="00D27251"/>
    <w:rsid w:val="00D279A1"/>
    <w:rsid w:val="00D279EE"/>
    <w:rsid w:val="00D27A3E"/>
    <w:rsid w:val="00D27CC7"/>
    <w:rsid w:val="00D27ECA"/>
    <w:rsid w:val="00D27F84"/>
    <w:rsid w:val="00D30399"/>
    <w:rsid w:val="00D306B8"/>
    <w:rsid w:val="00D3089C"/>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17CC"/>
    <w:rsid w:val="00D42319"/>
    <w:rsid w:val="00D42678"/>
    <w:rsid w:val="00D42700"/>
    <w:rsid w:val="00D430FB"/>
    <w:rsid w:val="00D433F2"/>
    <w:rsid w:val="00D43933"/>
    <w:rsid w:val="00D43B2A"/>
    <w:rsid w:val="00D44352"/>
    <w:rsid w:val="00D44806"/>
    <w:rsid w:val="00D44982"/>
    <w:rsid w:val="00D44B75"/>
    <w:rsid w:val="00D45D02"/>
    <w:rsid w:val="00D46275"/>
    <w:rsid w:val="00D468C9"/>
    <w:rsid w:val="00D46E8F"/>
    <w:rsid w:val="00D477CD"/>
    <w:rsid w:val="00D50A12"/>
    <w:rsid w:val="00D5193F"/>
    <w:rsid w:val="00D51DBB"/>
    <w:rsid w:val="00D53602"/>
    <w:rsid w:val="00D54F57"/>
    <w:rsid w:val="00D550AA"/>
    <w:rsid w:val="00D557BD"/>
    <w:rsid w:val="00D55F96"/>
    <w:rsid w:val="00D560D0"/>
    <w:rsid w:val="00D56116"/>
    <w:rsid w:val="00D561F0"/>
    <w:rsid w:val="00D56F0A"/>
    <w:rsid w:val="00D603B8"/>
    <w:rsid w:val="00D60CA9"/>
    <w:rsid w:val="00D61926"/>
    <w:rsid w:val="00D622F0"/>
    <w:rsid w:val="00D62DDC"/>
    <w:rsid w:val="00D62DFB"/>
    <w:rsid w:val="00D62E23"/>
    <w:rsid w:val="00D63706"/>
    <w:rsid w:val="00D63B04"/>
    <w:rsid w:val="00D63EFC"/>
    <w:rsid w:val="00D65218"/>
    <w:rsid w:val="00D662B6"/>
    <w:rsid w:val="00D66379"/>
    <w:rsid w:val="00D66661"/>
    <w:rsid w:val="00D66959"/>
    <w:rsid w:val="00D66AE2"/>
    <w:rsid w:val="00D67046"/>
    <w:rsid w:val="00D67375"/>
    <w:rsid w:val="00D67480"/>
    <w:rsid w:val="00D677E0"/>
    <w:rsid w:val="00D6791E"/>
    <w:rsid w:val="00D70158"/>
    <w:rsid w:val="00D70F1B"/>
    <w:rsid w:val="00D7116C"/>
    <w:rsid w:val="00D71407"/>
    <w:rsid w:val="00D71778"/>
    <w:rsid w:val="00D72522"/>
    <w:rsid w:val="00D72EA2"/>
    <w:rsid w:val="00D73559"/>
    <w:rsid w:val="00D73891"/>
    <w:rsid w:val="00D73EA6"/>
    <w:rsid w:val="00D7413C"/>
    <w:rsid w:val="00D744AC"/>
    <w:rsid w:val="00D7455E"/>
    <w:rsid w:val="00D74588"/>
    <w:rsid w:val="00D7500C"/>
    <w:rsid w:val="00D75ACE"/>
    <w:rsid w:val="00D772AF"/>
    <w:rsid w:val="00D773A7"/>
    <w:rsid w:val="00D776C9"/>
    <w:rsid w:val="00D80D7C"/>
    <w:rsid w:val="00D8113E"/>
    <w:rsid w:val="00D81F20"/>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C97"/>
    <w:rsid w:val="00D93F26"/>
    <w:rsid w:val="00D942DD"/>
    <w:rsid w:val="00D94352"/>
    <w:rsid w:val="00D943AA"/>
    <w:rsid w:val="00D95A44"/>
    <w:rsid w:val="00D95F13"/>
    <w:rsid w:val="00D969DB"/>
    <w:rsid w:val="00D96C22"/>
    <w:rsid w:val="00D96C25"/>
    <w:rsid w:val="00D96E69"/>
    <w:rsid w:val="00D97528"/>
    <w:rsid w:val="00D977AF"/>
    <w:rsid w:val="00DA0115"/>
    <w:rsid w:val="00DA0F5A"/>
    <w:rsid w:val="00DA0FC3"/>
    <w:rsid w:val="00DA131F"/>
    <w:rsid w:val="00DA2245"/>
    <w:rsid w:val="00DA2470"/>
    <w:rsid w:val="00DA2D06"/>
    <w:rsid w:val="00DA2F52"/>
    <w:rsid w:val="00DA376E"/>
    <w:rsid w:val="00DA3B01"/>
    <w:rsid w:val="00DA41BD"/>
    <w:rsid w:val="00DA4ADA"/>
    <w:rsid w:val="00DA554C"/>
    <w:rsid w:val="00DA6E95"/>
    <w:rsid w:val="00DA713C"/>
    <w:rsid w:val="00DA788B"/>
    <w:rsid w:val="00DA78E3"/>
    <w:rsid w:val="00DB038E"/>
    <w:rsid w:val="00DB108A"/>
    <w:rsid w:val="00DB1AA5"/>
    <w:rsid w:val="00DB2E8C"/>
    <w:rsid w:val="00DB3459"/>
    <w:rsid w:val="00DB3DE6"/>
    <w:rsid w:val="00DB53B7"/>
    <w:rsid w:val="00DB60FE"/>
    <w:rsid w:val="00DB6859"/>
    <w:rsid w:val="00DB6E52"/>
    <w:rsid w:val="00DC0653"/>
    <w:rsid w:val="00DC0898"/>
    <w:rsid w:val="00DC08EF"/>
    <w:rsid w:val="00DC093D"/>
    <w:rsid w:val="00DC150A"/>
    <w:rsid w:val="00DC1A90"/>
    <w:rsid w:val="00DC2EB0"/>
    <w:rsid w:val="00DC320F"/>
    <w:rsid w:val="00DC3325"/>
    <w:rsid w:val="00DC3800"/>
    <w:rsid w:val="00DC4108"/>
    <w:rsid w:val="00DC5912"/>
    <w:rsid w:val="00DC5A0D"/>
    <w:rsid w:val="00DC6460"/>
    <w:rsid w:val="00DC7E10"/>
    <w:rsid w:val="00DC7E6E"/>
    <w:rsid w:val="00DD00FC"/>
    <w:rsid w:val="00DD0BF7"/>
    <w:rsid w:val="00DD1BE6"/>
    <w:rsid w:val="00DD1F07"/>
    <w:rsid w:val="00DD2102"/>
    <w:rsid w:val="00DD22CD"/>
    <w:rsid w:val="00DD2B55"/>
    <w:rsid w:val="00DD2D98"/>
    <w:rsid w:val="00DD35CB"/>
    <w:rsid w:val="00DD3EDD"/>
    <w:rsid w:val="00DD592A"/>
    <w:rsid w:val="00DD61DD"/>
    <w:rsid w:val="00DD6514"/>
    <w:rsid w:val="00DD77C0"/>
    <w:rsid w:val="00DD7AB9"/>
    <w:rsid w:val="00DE055D"/>
    <w:rsid w:val="00DE0996"/>
    <w:rsid w:val="00DE19A1"/>
    <w:rsid w:val="00DE1A02"/>
    <w:rsid w:val="00DE278F"/>
    <w:rsid w:val="00DE2BDC"/>
    <w:rsid w:val="00DE2D53"/>
    <w:rsid w:val="00DE3C1B"/>
    <w:rsid w:val="00DE4323"/>
    <w:rsid w:val="00DE5606"/>
    <w:rsid w:val="00DE5C63"/>
    <w:rsid w:val="00DE5D7D"/>
    <w:rsid w:val="00DE5EA9"/>
    <w:rsid w:val="00DE618C"/>
    <w:rsid w:val="00DE715E"/>
    <w:rsid w:val="00DF0DAD"/>
    <w:rsid w:val="00DF0ED6"/>
    <w:rsid w:val="00DF26C2"/>
    <w:rsid w:val="00DF3246"/>
    <w:rsid w:val="00DF37BC"/>
    <w:rsid w:val="00DF3A0B"/>
    <w:rsid w:val="00DF3DC6"/>
    <w:rsid w:val="00DF3E78"/>
    <w:rsid w:val="00DF4024"/>
    <w:rsid w:val="00DF41AB"/>
    <w:rsid w:val="00DF43FB"/>
    <w:rsid w:val="00DF4658"/>
    <w:rsid w:val="00DF4EF4"/>
    <w:rsid w:val="00DF52E5"/>
    <w:rsid w:val="00DF53D8"/>
    <w:rsid w:val="00DF5429"/>
    <w:rsid w:val="00DF543E"/>
    <w:rsid w:val="00DF6415"/>
    <w:rsid w:val="00DF66C5"/>
    <w:rsid w:val="00DF684F"/>
    <w:rsid w:val="00DF766C"/>
    <w:rsid w:val="00DF768E"/>
    <w:rsid w:val="00DF794B"/>
    <w:rsid w:val="00DF7CA7"/>
    <w:rsid w:val="00E00B6A"/>
    <w:rsid w:val="00E012DB"/>
    <w:rsid w:val="00E01538"/>
    <w:rsid w:val="00E02749"/>
    <w:rsid w:val="00E02CC7"/>
    <w:rsid w:val="00E02F96"/>
    <w:rsid w:val="00E03C44"/>
    <w:rsid w:val="00E03DC8"/>
    <w:rsid w:val="00E04EC4"/>
    <w:rsid w:val="00E0579D"/>
    <w:rsid w:val="00E05BF2"/>
    <w:rsid w:val="00E05E88"/>
    <w:rsid w:val="00E0678C"/>
    <w:rsid w:val="00E07AD3"/>
    <w:rsid w:val="00E11B15"/>
    <w:rsid w:val="00E11ED9"/>
    <w:rsid w:val="00E12822"/>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260C"/>
    <w:rsid w:val="00E236C5"/>
    <w:rsid w:val="00E236F5"/>
    <w:rsid w:val="00E239C9"/>
    <w:rsid w:val="00E24088"/>
    <w:rsid w:val="00E2440E"/>
    <w:rsid w:val="00E24998"/>
    <w:rsid w:val="00E249E9"/>
    <w:rsid w:val="00E26014"/>
    <w:rsid w:val="00E262BC"/>
    <w:rsid w:val="00E265B0"/>
    <w:rsid w:val="00E2691A"/>
    <w:rsid w:val="00E2707E"/>
    <w:rsid w:val="00E2780B"/>
    <w:rsid w:val="00E27D17"/>
    <w:rsid w:val="00E30069"/>
    <w:rsid w:val="00E302C1"/>
    <w:rsid w:val="00E3033B"/>
    <w:rsid w:val="00E30586"/>
    <w:rsid w:val="00E3123E"/>
    <w:rsid w:val="00E312CA"/>
    <w:rsid w:val="00E31B10"/>
    <w:rsid w:val="00E31C72"/>
    <w:rsid w:val="00E31DAC"/>
    <w:rsid w:val="00E32009"/>
    <w:rsid w:val="00E324DA"/>
    <w:rsid w:val="00E32582"/>
    <w:rsid w:val="00E32597"/>
    <w:rsid w:val="00E330BC"/>
    <w:rsid w:val="00E33602"/>
    <w:rsid w:val="00E33795"/>
    <w:rsid w:val="00E3386C"/>
    <w:rsid w:val="00E33BCE"/>
    <w:rsid w:val="00E33CA8"/>
    <w:rsid w:val="00E33D02"/>
    <w:rsid w:val="00E33D8B"/>
    <w:rsid w:val="00E342EC"/>
    <w:rsid w:val="00E34B16"/>
    <w:rsid w:val="00E35930"/>
    <w:rsid w:val="00E35C1D"/>
    <w:rsid w:val="00E35CF2"/>
    <w:rsid w:val="00E35F3B"/>
    <w:rsid w:val="00E367C6"/>
    <w:rsid w:val="00E36943"/>
    <w:rsid w:val="00E3732E"/>
    <w:rsid w:val="00E404F7"/>
    <w:rsid w:val="00E40A7B"/>
    <w:rsid w:val="00E40CEC"/>
    <w:rsid w:val="00E40DB8"/>
    <w:rsid w:val="00E4243C"/>
    <w:rsid w:val="00E42B5B"/>
    <w:rsid w:val="00E4398A"/>
    <w:rsid w:val="00E4413C"/>
    <w:rsid w:val="00E4538F"/>
    <w:rsid w:val="00E454D0"/>
    <w:rsid w:val="00E460A9"/>
    <w:rsid w:val="00E46999"/>
    <w:rsid w:val="00E4737F"/>
    <w:rsid w:val="00E502A7"/>
    <w:rsid w:val="00E505B3"/>
    <w:rsid w:val="00E506E0"/>
    <w:rsid w:val="00E5127A"/>
    <w:rsid w:val="00E514DC"/>
    <w:rsid w:val="00E51A48"/>
    <w:rsid w:val="00E530C3"/>
    <w:rsid w:val="00E53780"/>
    <w:rsid w:val="00E5490D"/>
    <w:rsid w:val="00E5505D"/>
    <w:rsid w:val="00E55E30"/>
    <w:rsid w:val="00E5668F"/>
    <w:rsid w:val="00E56829"/>
    <w:rsid w:val="00E57EE5"/>
    <w:rsid w:val="00E608D5"/>
    <w:rsid w:val="00E62497"/>
    <w:rsid w:val="00E6257E"/>
    <w:rsid w:val="00E63EBB"/>
    <w:rsid w:val="00E644E1"/>
    <w:rsid w:val="00E6572A"/>
    <w:rsid w:val="00E65BCB"/>
    <w:rsid w:val="00E66577"/>
    <w:rsid w:val="00E66BC8"/>
    <w:rsid w:val="00E6751F"/>
    <w:rsid w:val="00E67AB7"/>
    <w:rsid w:val="00E700FC"/>
    <w:rsid w:val="00E706F7"/>
    <w:rsid w:val="00E70C53"/>
    <w:rsid w:val="00E71260"/>
    <w:rsid w:val="00E715BC"/>
    <w:rsid w:val="00E718CF"/>
    <w:rsid w:val="00E7190F"/>
    <w:rsid w:val="00E71997"/>
    <w:rsid w:val="00E72682"/>
    <w:rsid w:val="00E72810"/>
    <w:rsid w:val="00E7385D"/>
    <w:rsid w:val="00E739E3"/>
    <w:rsid w:val="00E73C6D"/>
    <w:rsid w:val="00E74F35"/>
    <w:rsid w:val="00E75176"/>
    <w:rsid w:val="00E755B3"/>
    <w:rsid w:val="00E75793"/>
    <w:rsid w:val="00E758C3"/>
    <w:rsid w:val="00E801EC"/>
    <w:rsid w:val="00E80358"/>
    <w:rsid w:val="00E8057E"/>
    <w:rsid w:val="00E80B5D"/>
    <w:rsid w:val="00E80D8A"/>
    <w:rsid w:val="00E8133F"/>
    <w:rsid w:val="00E81404"/>
    <w:rsid w:val="00E81A9C"/>
    <w:rsid w:val="00E826DA"/>
    <w:rsid w:val="00E828F7"/>
    <w:rsid w:val="00E82913"/>
    <w:rsid w:val="00E8325B"/>
    <w:rsid w:val="00E8408C"/>
    <w:rsid w:val="00E84F13"/>
    <w:rsid w:val="00E851A1"/>
    <w:rsid w:val="00E85324"/>
    <w:rsid w:val="00E85C8D"/>
    <w:rsid w:val="00E85CEB"/>
    <w:rsid w:val="00E863BF"/>
    <w:rsid w:val="00E87042"/>
    <w:rsid w:val="00E87268"/>
    <w:rsid w:val="00E87758"/>
    <w:rsid w:val="00E90D61"/>
    <w:rsid w:val="00E91269"/>
    <w:rsid w:val="00E9290F"/>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22F4"/>
    <w:rsid w:val="00EA32DA"/>
    <w:rsid w:val="00EA3D4A"/>
    <w:rsid w:val="00EA3FCE"/>
    <w:rsid w:val="00EA455E"/>
    <w:rsid w:val="00EA4A92"/>
    <w:rsid w:val="00EA5373"/>
    <w:rsid w:val="00EA56E3"/>
    <w:rsid w:val="00EA5D90"/>
    <w:rsid w:val="00EA5E38"/>
    <w:rsid w:val="00EA67A3"/>
    <w:rsid w:val="00EA7753"/>
    <w:rsid w:val="00EA7CBB"/>
    <w:rsid w:val="00EB1282"/>
    <w:rsid w:val="00EB14FD"/>
    <w:rsid w:val="00EB16EC"/>
    <w:rsid w:val="00EB1C6E"/>
    <w:rsid w:val="00EB1D05"/>
    <w:rsid w:val="00EB205C"/>
    <w:rsid w:val="00EB3012"/>
    <w:rsid w:val="00EB36E9"/>
    <w:rsid w:val="00EB3FCA"/>
    <w:rsid w:val="00EB46BA"/>
    <w:rsid w:val="00EB4BD3"/>
    <w:rsid w:val="00EB51DA"/>
    <w:rsid w:val="00EB57C5"/>
    <w:rsid w:val="00EB7021"/>
    <w:rsid w:val="00EB7300"/>
    <w:rsid w:val="00EB7576"/>
    <w:rsid w:val="00EC052E"/>
    <w:rsid w:val="00EC0D05"/>
    <w:rsid w:val="00EC110F"/>
    <w:rsid w:val="00EC17BA"/>
    <w:rsid w:val="00EC1C35"/>
    <w:rsid w:val="00EC2259"/>
    <w:rsid w:val="00EC2575"/>
    <w:rsid w:val="00EC3AC3"/>
    <w:rsid w:val="00EC3B3B"/>
    <w:rsid w:val="00EC4821"/>
    <w:rsid w:val="00EC48EE"/>
    <w:rsid w:val="00EC51F3"/>
    <w:rsid w:val="00EC5423"/>
    <w:rsid w:val="00EC5892"/>
    <w:rsid w:val="00EC59AC"/>
    <w:rsid w:val="00EC633F"/>
    <w:rsid w:val="00EC7021"/>
    <w:rsid w:val="00EC756C"/>
    <w:rsid w:val="00ED04D1"/>
    <w:rsid w:val="00ED0839"/>
    <w:rsid w:val="00ED0A5B"/>
    <w:rsid w:val="00ED12AE"/>
    <w:rsid w:val="00ED1CFC"/>
    <w:rsid w:val="00ED3714"/>
    <w:rsid w:val="00ED4151"/>
    <w:rsid w:val="00ED43B8"/>
    <w:rsid w:val="00ED5C21"/>
    <w:rsid w:val="00ED62FC"/>
    <w:rsid w:val="00ED7D9D"/>
    <w:rsid w:val="00EE083D"/>
    <w:rsid w:val="00EE153B"/>
    <w:rsid w:val="00EE22ED"/>
    <w:rsid w:val="00EE28D1"/>
    <w:rsid w:val="00EE2F9D"/>
    <w:rsid w:val="00EE3318"/>
    <w:rsid w:val="00EE44D1"/>
    <w:rsid w:val="00EE48F7"/>
    <w:rsid w:val="00EE5A37"/>
    <w:rsid w:val="00EE62A1"/>
    <w:rsid w:val="00EE7117"/>
    <w:rsid w:val="00EE7282"/>
    <w:rsid w:val="00EE7408"/>
    <w:rsid w:val="00EE7770"/>
    <w:rsid w:val="00EF072B"/>
    <w:rsid w:val="00EF08CA"/>
    <w:rsid w:val="00EF1498"/>
    <w:rsid w:val="00EF2F79"/>
    <w:rsid w:val="00EF3807"/>
    <w:rsid w:val="00EF39A6"/>
    <w:rsid w:val="00EF4BFB"/>
    <w:rsid w:val="00EF4C8F"/>
    <w:rsid w:val="00EF4D4F"/>
    <w:rsid w:val="00EF557D"/>
    <w:rsid w:val="00EF5B26"/>
    <w:rsid w:val="00EF6B2B"/>
    <w:rsid w:val="00EF7648"/>
    <w:rsid w:val="00F00017"/>
    <w:rsid w:val="00F0098B"/>
    <w:rsid w:val="00F01B60"/>
    <w:rsid w:val="00F01B9D"/>
    <w:rsid w:val="00F02758"/>
    <w:rsid w:val="00F028AB"/>
    <w:rsid w:val="00F02ABD"/>
    <w:rsid w:val="00F0377B"/>
    <w:rsid w:val="00F0390B"/>
    <w:rsid w:val="00F03D5C"/>
    <w:rsid w:val="00F04360"/>
    <w:rsid w:val="00F04A47"/>
    <w:rsid w:val="00F04FFD"/>
    <w:rsid w:val="00F0522F"/>
    <w:rsid w:val="00F059B0"/>
    <w:rsid w:val="00F05DA4"/>
    <w:rsid w:val="00F06022"/>
    <w:rsid w:val="00F063BC"/>
    <w:rsid w:val="00F06613"/>
    <w:rsid w:val="00F06823"/>
    <w:rsid w:val="00F0751B"/>
    <w:rsid w:val="00F07A22"/>
    <w:rsid w:val="00F109E4"/>
    <w:rsid w:val="00F10E37"/>
    <w:rsid w:val="00F11033"/>
    <w:rsid w:val="00F114CA"/>
    <w:rsid w:val="00F11E29"/>
    <w:rsid w:val="00F11E39"/>
    <w:rsid w:val="00F129C3"/>
    <w:rsid w:val="00F13047"/>
    <w:rsid w:val="00F13DFF"/>
    <w:rsid w:val="00F14815"/>
    <w:rsid w:val="00F14AB4"/>
    <w:rsid w:val="00F14DF0"/>
    <w:rsid w:val="00F157E7"/>
    <w:rsid w:val="00F15AF9"/>
    <w:rsid w:val="00F15B1B"/>
    <w:rsid w:val="00F15B22"/>
    <w:rsid w:val="00F15D38"/>
    <w:rsid w:val="00F169A0"/>
    <w:rsid w:val="00F20225"/>
    <w:rsid w:val="00F20707"/>
    <w:rsid w:val="00F21349"/>
    <w:rsid w:val="00F213EE"/>
    <w:rsid w:val="00F22128"/>
    <w:rsid w:val="00F22827"/>
    <w:rsid w:val="00F22BA0"/>
    <w:rsid w:val="00F232E1"/>
    <w:rsid w:val="00F244D9"/>
    <w:rsid w:val="00F25D58"/>
    <w:rsid w:val="00F25E2C"/>
    <w:rsid w:val="00F26A74"/>
    <w:rsid w:val="00F277EA"/>
    <w:rsid w:val="00F30A87"/>
    <w:rsid w:val="00F30CAC"/>
    <w:rsid w:val="00F30EA0"/>
    <w:rsid w:val="00F31169"/>
    <w:rsid w:val="00F31662"/>
    <w:rsid w:val="00F32265"/>
    <w:rsid w:val="00F3256B"/>
    <w:rsid w:val="00F32B3F"/>
    <w:rsid w:val="00F32BFB"/>
    <w:rsid w:val="00F3391C"/>
    <w:rsid w:val="00F33A35"/>
    <w:rsid w:val="00F33AFF"/>
    <w:rsid w:val="00F33B44"/>
    <w:rsid w:val="00F34771"/>
    <w:rsid w:val="00F34A2C"/>
    <w:rsid w:val="00F35769"/>
    <w:rsid w:val="00F35965"/>
    <w:rsid w:val="00F36318"/>
    <w:rsid w:val="00F37343"/>
    <w:rsid w:val="00F40C34"/>
    <w:rsid w:val="00F41259"/>
    <w:rsid w:val="00F41358"/>
    <w:rsid w:val="00F415BA"/>
    <w:rsid w:val="00F41E57"/>
    <w:rsid w:val="00F41E6E"/>
    <w:rsid w:val="00F42F55"/>
    <w:rsid w:val="00F436A8"/>
    <w:rsid w:val="00F437CB"/>
    <w:rsid w:val="00F43A16"/>
    <w:rsid w:val="00F43A64"/>
    <w:rsid w:val="00F4478B"/>
    <w:rsid w:val="00F451D9"/>
    <w:rsid w:val="00F45301"/>
    <w:rsid w:val="00F455B8"/>
    <w:rsid w:val="00F4582D"/>
    <w:rsid w:val="00F45884"/>
    <w:rsid w:val="00F4596F"/>
    <w:rsid w:val="00F46C88"/>
    <w:rsid w:val="00F4703A"/>
    <w:rsid w:val="00F50209"/>
    <w:rsid w:val="00F50A52"/>
    <w:rsid w:val="00F51135"/>
    <w:rsid w:val="00F513E5"/>
    <w:rsid w:val="00F53061"/>
    <w:rsid w:val="00F539AE"/>
    <w:rsid w:val="00F543CF"/>
    <w:rsid w:val="00F5515E"/>
    <w:rsid w:val="00F56FFE"/>
    <w:rsid w:val="00F57798"/>
    <w:rsid w:val="00F57A93"/>
    <w:rsid w:val="00F60171"/>
    <w:rsid w:val="00F606C7"/>
    <w:rsid w:val="00F6091E"/>
    <w:rsid w:val="00F61A95"/>
    <w:rsid w:val="00F6337D"/>
    <w:rsid w:val="00F635E0"/>
    <w:rsid w:val="00F63DBE"/>
    <w:rsid w:val="00F655F4"/>
    <w:rsid w:val="00F662C7"/>
    <w:rsid w:val="00F66CF1"/>
    <w:rsid w:val="00F670E3"/>
    <w:rsid w:val="00F70179"/>
    <w:rsid w:val="00F709C8"/>
    <w:rsid w:val="00F70E78"/>
    <w:rsid w:val="00F711B8"/>
    <w:rsid w:val="00F71770"/>
    <w:rsid w:val="00F71B15"/>
    <w:rsid w:val="00F71F45"/>
    <w:rsid w:val="00F724C4"/>
    <w:rsid w:val="00F727CB"/>
    <w:rsid w:val="00F72D49"/>
    <w:rsid w:val="00F73F1A"/>
    <w:rsid w:val="00F74523"/>
    <w:rsid w:val="00F74E57"/>
    <w:rsid w:val="00F7552A"/>
    <w:rsid w:val="00F75767"/>
    <w:rsid w:val="00F759B5"/>
    <w:rsid w:val="00F75DB7"/>
    <w:rsid w:val="00F75ED5"/>
    <w:rsid w:val="00F763F4"/>
    <w:rsid w:val="00F76730"/>
    <w:rsid w:val="00F770D1"/>
    <w:rsid w:val="00F770EA"/>
    <w:rsid w:val="00F771F3"/>
    <w:rsid w:val="00F77246"/>
    <w:rsid w:val="00F77DE0"/>
    <w:rsid w:val="00F80043"/>
    <w:rsid w:val="00F80C08"/>
    <w:rsid w:val="00F81129"/>
    <w:rsid w:val="00F82360"/>
    <w:rsid w:val="00F82959"/>
    <w:rsid w:val="00F82B8E"/>
    <w:rsid w:val="00F82FBC"/>
    <w:rsid w:val="00F83877"/>
    <w:rsid w:val="00F83E8C"/>
    <w:rsid w:val="00F84512"/>
    <w:rsid w:val="00F85203"/>
    <w:rsid w:val="00F85623"/>
    <w:rsid w:val="00F85788"/>
    <w:rsid w:val="00F85A2B"/>
    <w:rsid w:val="00F85C47"/>
    <w:rsid w:val="00F85CDE"/>
    <w:rsid w:val="00F8656C"/>
    <w:rsid w:val="00F868D3"/>
    <w:rsid w:val="00F8718A"/>
    <w:rsid w:val="00F87E5C"/>
    <w:rsid w:val="00F919CE"/>
    <w:rsid w:val="00F92727"/>
    <w:rsid w:val="00F93511"/>
    <w:rsid w:val="00F9389C"/>
    <w:rsid w:val="00F93AF3"/>
    <w:rsid w:val="00F94457"/>
    <w:rsid w:val="00F950EE"/>
    <w:rsid w:val="00F97638"/>
    <w:rsid w:val="00F97FF5"/>
    <w:rsid w:val="00FA0046"/>
    <w:rsid w:val="00FA04C6"/>
    <w:rsid w:val="00FA0972"/>
    <w:rsid w:val="00FA1BC5"/>
    <w:rsid w:val="00FA1CD6"/>
    <w:rsid w:val="00FA2027"/>
    <w:rsid w:val="00FA21DE"/>
    <w:rsid w:val="00FA26D2"/>
    <w:rsid w:val="00FA29F6"/>
    <w:rsid w:val="00FA3059"/>
    <w:rsid w:val="00FA4CBB"/>
    <w:rsid w:val="00FA521E"/>
    <w:rsid w:val="00FA5634"/>
    <w:rsid w:val="00FA574F"/>
    <w:rsid w:val="00FA5912"/>
    <w:rsid w:val="00FA5B58"/>
    <w:rsid w:val="00FA5EA8"/>
    <w:rsid w:val="00FA6122"/>
    <w:rsid w:val="00FB0953"/>
    <w:rsid w:val="00FB1094"/>
    <w:rsid w:val="00FB1438"/>
    <w:rsid w:val="00FB234F"/>
    <w:rsid w:val="00FB2CF4"/>
    <w:rsid w:val="00FB3907"/>
    <w:rsid w:val="00FB3923"/>
    <w:rsid w:val="00FB5E2A"/>
    <w:rsid w:val="00FB6ADF"/>
    <w:rsid w:val="00FB706D"/>
    <w:rsid w:val="00FB74C9"/>
    <w:rsid w:val="00FB751A"/>
    <w:rsid w:val="00FB7FC8"/>
    <w:rsid w:val="00FC00F6"/>
    <w:rsid w:val="00FC01DC"/>
    <w:rsid w:val="00FC16CE"/>
    <w:rsid w:val="00FC1A8D"/>
    <w:rsid w:val="00FC2460"/>
    <w:rsid w:val="00FC4990"/>
    <w:rsid w:val="00FC52B1"/>
    <w:rsid w:val="00FC534D"/>
    <w:rsid w:val="00FC5FEA"/>
    <w:rsid w:val="00FC6D0F"/>
    <w:rsid w:val="00FC7009"/>
    <w:rsid w:val="00FC73ED"/>
    <w:rsid w:val="00FC7BA7"/>
    <w:rsid w:val="00FC7C36"/>
    <w:rsid w:val="00FD02C4"/>
    <w:rsid w:val="00FD0308"/>
    <w:rsid w:val="00FD0AF8"/>
    <w:rsid w:val="00FD0EBA"/>
    <w:rsid w:val="00FD11A1"/>
    <w:rsid w:val="00FD23C3"/>
    <w:rsid w:val="00FD2578"/>
    <w:rsid w:val="00FD2848"/>
    <w:rsid w:val="00FD2B54"/>
    <w:rsid w:val="00FD320B"/>
    <w:rsid w:val="00FD346B"/>
    <w:rsid w:val="00FD3B1A"/>
    <w:rsid w:val="00FD3BE0"/>
    <w:rsid w:val="00FD46A7"/>
    <w:rsid w:val="00FD4D09"/>
    <w:rsid w:val="00FD558E"/>
    <w:rsid w:val="00FD5729"/>
    <w:rsid w:val="00FD57A0"/>
    <w:rsid w:val="00FD5EB8"/>
    <w:rsid w:val="00FD6138"/>
    <w:rsid w:val="00FD62FD"/>
    <w:rsid w:val="00FD65DC"/>
    <w:rsid w:val="00FD65F6"/>
    <w:rsid w:val="00FD66F4"/>
    <w:rsid w:val="00FD722A"/>
    <w:rsid w:val="00FE05A4"/>
    <w:rsid w:val="00FE143A"/>
    <w:rsid w:val="00FE174D"/>
    <w:rsid w:val="00FE255B"/>
    <w:rsid w:val="00FE2A37"/>
    <w:rsid w:val="00FE355C"/>
    <w:rsid w:val="00FE3640"/>
    <w:rsid w:val="00FE3B25"/>
    <w:rsid w:val="00FE3B92"/>
    <w:rsid w:val="00FE4478"/>
    <w:rsid w:val="00FE44B5"/>
    <w:rsid w:val="00FE499C"/>
    <w:rsid w:val="00FE4A08"/>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1E3"/>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Caption Char,Caption Char1 Char,cap Char Char1,Caption Char Char1 Char,cap Char2 Char"/>
    <w:basedOn w:val="Normal"/>
    <w:next w:val="Normal"/>
    <w:link w:val="CaptionChar1"/>
    <w:uiPriority w:val="99"/>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link w:val="FooterChar"/>
    <w:uiPriority w:val="99"/>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customStyle="1" w:styleId="Para0-99">
    <w:name w:val="Para(0-99)"/>
    <w:basedOn w:val="Normal"/>
    <w:link w:val="Para0-99Char"/>
    <w:qFormat/>
    <w:rsid w:val="00AF286F"/>
    <w:pPr>
      <w:numPr>
        <w:numId w:val="36"/>
      </w:numPr>
      <w:spacing w:line="360" w:lineRule="auto"/>
      <w:jc w:val="both"/>
    </w:pPr>
    <w:rPr>
      <w:rFonts w:eastAsia="仿宋"/>
      <w:lang/>
    </w:rPr>
  </w:style>
  <w:style w:type="character" w:customStyle="1" w:styleId="Para0-99Char">
    <w:name w:val="Para(0-99) Char"/>
    <w:link w:val="Para0-99"/>
    <w:locked/>
    <w:rsid w:val="00AF286F"/>
    <w:rPr>
      <w:rFonts w:ascii="Times New Roman" w:eastAsia="仿宋" w:hAnsi="Times New Roman"/>
      <w:sz w:val="24"/>
    </w:rPr>
  </w:style>
  <w:style w:type="paragraph" w:styleId="ListNumber4">
    <w:name w:val="List Number 4"/>
    <w:basedOn w:val="Normal"/>
    <w:rsid w:val="00592B90"/>
    <w:pPr>
      <w:numPr>
        <w:numId w:val="39"/>
      </w:numPr>
      <w:tabs>
        <w:tab w:val="num" w:pos="1209"/>
      </w:tabs>
      <w:overflowPunct w:val="0"/>
      <w:autoSpaceDE w:val="0"/>
      <w:autoSpaceDN w:val="0"/>
      <w:adjustRightInd w:val="0"/>
      <w:spacing w:after="180"/>
      <w:ind w:left="1209"/>
      <w:textAlignment w:val="baseline"/>
    </w:pPr>
    <w:rPr>
      <w:rFonts w:eastAsia="MS Mincho"/>
      <w:sz w:val="20"/>
      <w:lang w:eastAsia="en-GB"/>
    </w:rPr>
  </w:style>
  <w:style w:type="paragraph" w:customStyle="1" w:styleId="NO">
    <w:name w:val="NO"/>
    <w:basedOn w:val="Normal"/>
    <w:link w:val="NOChar"/>
    <w:rsid w:val="000E0606"/>
    <w:pPr>
      <w:keepLines/>
      <w:overflowPunct w:val="0"/>
      <w:autoSpaceDE w:val="0"/>
      <w:autoSpaceDN w:val="0"/>
      <w:adjustRightInd w:val="0"/>
      <w:spacing w:after="180"/>
      <w:ind w:left="1135" w:hanging="851"/>
      <w:textAlignment w:val="baseline"/>
    </w:pPr>
    <w:rPr>
      <w:rFonts w:eastAsia="Times New Roman"/>
      <w:sz w:val="20"/>
      <w:lang/>
    </w:rPr>
  </w:style>
  <w:style w:type="character" w:customStyle="1" w:styleId="NOChar">
    <w:name w:val="NO Char"/>
    <w:link w:val="NO"/>
    <w:rsid w:val="000E0606"/>
    <w:rPr>
      <w:rFonts w:ascii="Times New Roman" w:eastAsia="Times New Roman" w:hAnsi="Times New Roman"/>
      <w:lang w:val="en-GB"/>
    </w:rPr>
  </w:style>
  <w:style w:type="character" w:customStyle="1" w:styleId="TALCar">
    <w:name w:val="TAL Car"/>
    <w:rsid w:val="000E0606"/>
    <w:rPr>
      <w:rFonts w:ascii="Arial" w:hAnsi="Arial" w:cs="Arial"/>
      <w:sz w:val="18"/>
      <w:szCs w:val="18"/>
      <w:lang w:val="en-GB"/>
    </w:rPr>
  </w:style>
  <w:style w:type="paragraph" w:styleId="ListParagraph">
    <w:name w:val="List Paragraph"/>
    <w:basedOn w:val="Normal"/>
    <w:uiPriority w:val="34"/>
    <w:qFormat/>
    <w:rsid w:val="006210B0"/>
    <w:pPr>
      <w:ind w:left="720"/>
    </w:pPr>
  </w:style>
  <w:style w:type="character" w:customStyle="1" w:styleId="Heading2Char">
    <w:name w:val="Heading 2 Char"/>
    <w:aliases w:val="DO NOT USE_h2 Char,h2 Char,h21 Char,H2 Char,Head2A Char,2 Char,UNDERRUBRIK 1-2 Char"/>
    <w:basedOn w:val="DefaultParagraphFont"/>
    <w:link w:val="Heading2"/>
    <w:rsid w:val="00FB6ADF"/>
    <w:rPr>
      <w:rFonts w:ascii="Arial" w:eastAsia="MS Gothic" w:hAnsi="Arial"/>
      <w:sz w:val="24"/>
      <w:lang w:val="en-GB" w:eastAsia="ja-JP"/>
    </w:rPr>
  </w:style>
  <w:style w:type="paragraph" w:styleId="TOC3">
    <w:name w:val="toc 3"/>
    <w:basedOn w:val="Normal"/>
    <w:next w:val="Normal"/>
    <w:autoRedefine/>
    <w:rsid w:val="001A6D3D"/>
    <w:pPr>
      <w:ind w:left="480"/>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387172"/>
    <w:rPr>
      <w:rFonts w:ascii="Times New Roman" w:eastAsia="MS Gothic" w:hAnsi="Times New Roman"/>
      <w:b/>
      <w:sz w:val="24"/>
      <w:lang w:val="en-GB" w:eastAsia="ja-JP"/>
    </w:rPr>
  </w:style>
  <w:style w:type="paragraph" w:customStyle="1" w:styleId="ZchnZchn">
    <w:name w:val="Zchn Zchn"/>
    <w:semiHidden/>
    <w:rsid w:val="000042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0042A5"/>
    <w:rPr>
      <w:rFonts w:ascii="Arial" w:hAnsi="Arial"/>
      <w:b/>
      <w:noProof/>
      <w:sz w:val="18"/>
      <w:lang w:val="en-GB" w:eastAsia="ja-JP"/>
    </w:rPr>
  </w:style>
  <w:style w:type="character" w:customStyle="1" w:styleId="FooterChar">
    <w:name w:val="Footer Char"/>
    <w:link w:val="Footer"/>
    <w:uiPriority w:val="99"/>
    <w:rsid w:val="000042A5"/>
    <w:rPr>
      <w:rFonts w:ascii="Times New Roman" w:eastAsia="MS Gothic" w:hAnsi="Times New Roman"/>
      <w:sz w:val="24"/>
      <w:lang w:val="de-DE" w:eastAsia="ja-JP"/>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97539479">
      <w:bodyDiv w:val="1"/>
      <w:marLeft w:val="0"/>
      <w:marRight w:val="0"/>
      <w:marTop w:val="0"/>
      <w:marBottom w:val="0"/>
      <w:divBdr>
        <w:top w:val="none" w:sz="0" w:space="0" w:color="auto"/>
        <w:left w:val="none" w:sz="0" w:space="0" w:color="auto"/>
        <w:bottom w:val="none" w:sz="0" w:space="0" w:color="auto"/>
        <w:right w:val="none" w:sz="0" w:space="0" w:color="auto"/>
      </w:divBdr>
    </w:div>
    <w:div w:id="34794513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655765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4408">
      <w:bodyDiv w:val="1"/>
      <w:marLeft w:val="0"/>
      <w:marRight w:val="0"/>
      <w:marTop w:val="0"/>
      <w:marBottom w:val="0"/>
      <w:divBdr>
        <w:top w:val="none" w:sz="0" w:space="0" w:color="auto"/>
        <w:left w:val="none" w:sz="0" w:space="0" w:color="auto"/>
        <w:bottom w:val="none" w:sz="0" w:space="0" w:color="auto"/>
        <w:right w:val="none" w:sz="0" w:space="0" w:color="auto"/>
      </w:divBdr>
    </w:div>
    <w:div w:id="70834127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8945643">
      <w:bodyDiv w:val="1"/>
      <w:marLeft w:val="0"/>
      <w:marRight w:val="0"/>
      <w:marTop w:val="0"/>
      <w:marBottom w:val="0"/>
      <w:divBdr>
        <w:top w:val="none" w:sz="0" w:space="0" w:color="auto"/>
        <w:left w:val="none" w:sz="0" w:space="0" w:color="auto"/>
        <w:bottom w:val="none" w:sz="0" w:space="0" w:color="auto"/>
        <w:right w:val="none" w:sz="0" w:space="0" w:color="auto"/>
      </w:divBdr>
    </w:div>
    <w:div w:id="11264604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25577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913422">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6473098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8639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2017-09-13T20:51:00Z</dcterms:created>
  <dcterms:modified xsi:type="dcterms:W3CDTF">2017-09-17T14:54:00Z</dcterms:modified>
</cp:coreProperties>
</file>