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05417505" w:rsidR="00380C19" w:rsidRPr="004B7E17" w:rsidRDefault="00380C19" w:rsidP="00B762A7">
      <w:pPr>
        <w:widowControl w:val="0"/>
        <w:tabs>
          <w:tab w:val="right" w:pos="9639"/>
          <w:tab w:val="right" w:pos="13323"/>
        </w:tabs>
        <w:spacing w:after="0"/>
        <w:jc w:val="both"/>
        <w:rPr>
          <w:rFonts w:ascii="Arial" w:hAnsi="Arial" w:cs="Arial"/>
          <w:b/>
          <w:noProof/>
          <w:sz w:val="24"/>
          <w:szCs w:val="24"/>
          <w:lang w:val="en-US" w:eastAsia="ja-JP"/>
        </w:rPr>
      </w:pPr>
      <w:bookmarkStart w:id="0" w:name="_Toc193024528"/>
      <w:r>
        <w:rPr>
          <w:rFonts w:ascii="Arial" w:hAnsi="Arial" w:cs="Arial"/>
          <w:b/>
          <w:noProof/>
          <w:sz w:val="24"/>
          <w:szCs w:val="24"/>
          <w:lang w:val="en-US"/>
        </w:rPr>
        <w:t>3GPP TSG-RAN WG4 RAN</w:t>
      </w:r>
      <w:r w:rsidR="0053075B" w:rsidRPr="0053075B">
        <w:rPr>
          <w:rFonts w:ascii="Arial" w:hAnsi="Arial" w:cs="Arial"/>
          <w:b/>
          <w:noProof/>
          <w:sz w:val="24"/>
          <w:szCs w:val="24"/>
          <w:lang w:val="en-US"/>
        </w:rPr>
        <w:t xml:space="preserve"> </w:t>
      </w:r>
      <w:r w:rsidR="0053075B">
        <w:rPr>
          <w:rFonts w:ascii="Arial" w:hAnsi="Arial" w:cs="Arial"/>
          <w:b/>
          <w:noProof/>
          <w:sz w:val="24"/>
          <w:szCs w:val="24"/>
          <w:lang w:val="en-US"/>
        </w:rPr>
        <w:t>Ad-hoc#3</w:t>
      </w:r>
      <w:r w:rsidRPr="004B7E17">
        <w:rPr>
          <w:rFonts w:ascii="Arial" w:hAnsi="Arial" w:cs="Arial"/>
          <w:b/>
          <w:noProof/>
          <w:sz w:val="24"/>
          <w:szCs w:val="24"/>
          <w:lang w:val="en-US"/>
        </w:rPr>
        <w:tab/>
        <w:t>R4-1</w:t>
      </w:r>
      <w:r>
        <w:rPr>
          <w:rFonts w:ascii="Arial" w:hAnsi="Arial" w:cs="Arial"/>
          <w:b/>
          <w:noProof/>
          <w:sz w:val="24"/>
          <w:szCs w:val="24"/>
          <w:lang w:val="en-US"/>
        </w:rPr>
        <w:t>7</w:t>
      </w:r>
      <w:r w:rsidR="00584244">
        <w:rPr>
          <w:rFonts w:ascii="Arial" w:hAnsi="Arial" w:cs="Arial"/>
          <w:b/>
          <w:noProof/>
          <w:sz w:val="24"/>
          <w:szCs w:val="24"/>
          <w:lang w:val="en-US"/>
        </w:rPr>
        <w:t>0</w:t>
      </w:r>
      <w:r w:rsidR="00BE51F2">
        <w:rPr>
          <w:rFonts w:ascii="Arial" w:hAnsi="Arial" w:cs="Arial"/>
          <w:b/>
          <w:noProof/>
          <w:sz w:val="24"/>
          <w:szCs w:val="24"/>
          <w:lang w:val="en-US"/>
        </w:rPr>
        <w:t>9722</w:t>
      </w:r>
    </w:p>
    <w:p w14:paraId="2EC43E54" w14:textId="559164F6" w:rsidR="00A32164" w:rsidRDefault="0053075B" w:rsidP="00B762A7">
      <w:pPr>
        <w:pStyle w:val="Footer"/>
        <w:jc w:val="both"/>
        <w:rPr>
          <w:i w:val="0"/>
          <w:noProof w:val="0"/>
          <w:sz w:val="24"/>
          <w:szCs w:val="24"/>
          <w:lang w:eastAsia="ja-JP"/>
        </w:rPr>
      </w:pPr>
      <w:r>
        <w:rPr>
          <w:rFonts w:eastAsia="SimSun"/>
          <w:i w:val="0"/>
          <w:noProof w:val="0"/>
          <w:sz w:val="24"/>
          <w:szCs w:val="24"/>
          <w:lang w:eastAsia="zh-CN"/>
        </w:rPr>
        <w:t>Nagoya, Japan</w:t>
      </w:r>
      <w:r>
        <w:rPr>
          <w:i w:val="0"/>
          <w:noProof w:val="0"/>
          <w:sz w:val="24"/>
          <w:szCs w:val="24"/>
          <w:lang w:eastAsia="ja-JP"/>
        </w:rPr>
        <w:t>, September 21</w:t>
      </w:r>
      <w:r w:rsidRPr="0074435C">
        <w:rPr>
          <w:i w:val="0"/>
          <w:noProof w:val="0"/>
          <w:sz w:val="24"/>
          <w:szCs w:val="24"/>
          <w:vertAlign w:val="superscript"/>
          <w:lang w:eastAsia="ja-JP"/>
        </w:rPr>
        <w:t>st</w:t>
      </w:r>
      <w:r>
        <w:rPr>
          <w:i w:val="0"/>
          <w:noProof w:val="0"/>
          <w:sz w:val="24"/>
          <w:szCs w:val="24"/>
          <w:lang w:eastAsia="ja-JP"/>
        </w:rPr>
        <w:t>-25</w:t>
      </w:r>
      <w:r w:rsidRPr="006F147E">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7</w:t>
      </w:r>
    </w:p>
    <w:p w14:paraId="7363B36E" w14:textId="77777777" w:rsidR="00380C19" w:rsidRPr="00CB23F6" w:rsidRDefault="00380C19" w:rsidP="00B762A7">
      <w:pPr>
        <w:pStyle w:val="Footer"/>
        <w:jc w:val="both"/>
        <w:rPr>
          <w:noProof w:val="0"/>
        </w:rPr>
      </w:pPr>
    </w:p>
    <w:p w14:paraId="3997F049" w14:textId="4B140F21" w:rsidR="00A32164" w:rsidRPr="000A64D8" w:rsidRDefault="00A32164" w:rsidP="00800D04">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800D04">
        <w:rPr>
          <w:rFonts w:ascii="Arial" w:hAnsi="Arial"/>
          <w:sz w:val="24"/>
        </w:rPr>
        <w:t>3</w:t>
      </w:r>
      <w:r w:rsidR="00254C15">
        <w:rPr>
          <w:rFonts w:ascii="Arial" w:hAnsi="Arial"/>
          <w:sz w:val="24"/>
        </w:rPr>
        <w:t>.</w:t>
      </w:r>
      <w:r w:rsidR="008D5605">
        <w:rPr>
          <w:rFonts w:ascii="Arial" w:hAnsi="Arial"/>
          <w:sz w:val="24"/>
        </w:rPr>
        <w:t>2</w:t>
      </w:r>
      <w:r w:rsidR="00D356F7">
        <w:rPr>
          <w:rFonts w:ascii="Arial" w:hAnsi="Arial"/>
          <w:sz w:val="24"/>
        </w:rPr>
        <w:t>.1.2</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55DFF3B2"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A6F0D">
        <w:rPr>
          <w:rFonts w:ascii="Arial" w:hAnsi="Arial"/>
          <w:sz w:val="22"/>
        </w:rPr>
        <w:t xml:space="preserve">Wideband and CA Operation </w:t>
      </w:r>
      <w:r w:rsidR="00693800">
        <w:rPr>
          <w:rFonts w:ascii="Arial" w:hAnsi="Arial"/>
          <w:sz w:val="24"/>
        </w:rPr>
        <w:t>for NR</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00194B82">
        <w:rPr>
          <w:rFonts w:ascii="Arial" w:hAnsi="Arial"/>
          <w:sz w:val="24"/>
        </w:rPr>
        <w:t>Approval</w:t>
      </w:r>
    </w:p>
    <w:p w14:paraId="317EE72E" w14:textId="77777777" w:rsidR="008817D4" w:rsidRPr="008817D4" w:rsidRDefault="008817D4" w:rsidP="00B762A7">
      <w:pPr>
        <w:pStyle w:val="Heading1"/>
        <w:overflowPunct w:val="0"/>
        <w:autoSpaceDE w:val="0"/>
        <w:autoSpaceDN w:val="0"/>
        <w:adjustRightInd w:val="0"/>
        <w:ind w:left="1134" w:hanging="1134"/>
        <w:jc w:val="both"/>
        <w:textAlignment w:val="baseline"/>
        <w:rPr>
          <w:rFonts w:eastAsia="SimSun"/>
          <w:sz w:val="36"/>
          <w:lang w:eastAsia="ja-JP"/>
        </w:rPr>
      </w:pPr>
      <w:bookmarkStart w:id="3"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3"/>
    </w:p>
    <w:p w14:paraId="0E883478" w14:textId="10B912D1" w:rsidR="00BA6F0D" w:rsidRPr="00BA6F0D" w:rsidRDefault="00BA6F0D" w:rsidP="0079497A">
      <w:pPr>
        <w:jc w:val="both"/>
        <w:rPr>
          <w:rFonts w:eastAsia="ＭＳ 明朝"/>
          <w:lang w:val="en-US" w:eastAsia="ja-JP"/>
        </w:rPr>
      </w:pPr>
      <w:r>
        <w:rPr>
          <w:rFonts w:eastAsia="ＭＳ 明朝" w:hint="eastAsia"/>
          <w:lang w:val="en-US" w:eastAsia="ja-JP"/>
        </w:rPr>
        <w:t>Previous decisions in RAN1 and R</w:t>
      </w:r>
      <w:r>
        <w:rPr>
          <w:rFonts w:eastAsia="ＭＳ 明朝"/>
          <w:lang w:val="en-US" w:eastAsia="ja-JP"/>
        </w:rPr>
        <w:t xml:space="preserve">AN4 lead to the possibility of mixed wideband and CA operation in the same channel for different UEs. </w:t>
      </w:r>
      <w:r w:rsidR="00D356F7">
        <w:rPr>
          <w:rFonts w:eastAsia="ＭＳ 明朝"/>
          <w:lang w:val="en-US" w:eastAsia="ja-JP"/>
        </w:rPr>
        <w:t>This operation was discussed in previous meetings, however, there is no common understanding on what the RAN4 impact is for this feature.</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319ABB99" w14:textId="5FF9D47D" w:rsidR="00D356F7" w:rsidRDefault="00B33940" w:rsidP="005B25F1">
      <w:pPr>
        <w:jc w:val="both"/>
        <w:rPr>
          <w:rFonts w:eastAsia="ＭＳ 明朝"/>
          <w:lang w:val="en-US" w:eastAsia="ja-JP"/>
        </w:rPr>
      </w:pPr>
      <w:r>
        <w:rPr>
          <w:rFonts w:eastAsia="ＭＳ 明朝" w:hint="eastAsia"/>
          <w:lang w:val="en-US" w:eastAsia="ja-JP"/>
        </w:rPr>
        <w:t xml:space="preserve">Previous agreements in RAN1 and RAN4 lead to the possibility of having a mix of wideband operation(a </w:t>
      </w:r>
      <w:r>
        <w:rPr>
          <w:rFonts w:eastAsia="ＭＳ 明朝"/>
          <w:lang w:val="en-US" w:eastAsia="ja-JP"/>
        </w:rPr>
        <w:t>single channel from the gNB perspective is h</w:t>
      </w:r>
      <w:r>
        <w:rPr>
          <w:rFonts w:eastAsia="ＭＳ 明朝" w:hint="eastAsia"/>
          <w:lang w:val="en-US" w:eastAsia="ja-JP"/>
        </w:rPr>
        <w:t>andle</w:t>
      </w:r>
      <w:r>
        <w:rPr>
          <w:rFonts w:eastAsia="ＭＳ 明朝"/>
          <w:lang w:val="en-US" w:eastAsia="ja-JP"/>
        </w:rPr>
        <w:t>d</w:t>
      </w:r>
      <w:r>
        <w:rPr>
          <w:rFonts w:eastAsia="ＭＳ 明朝" w:hint="eastAsia"/>
          <w:lang w:val="en-US" w:eastAsia="ja-JP"/>
        </w:rPr>
        <w:t xml:space="preserve"> </w:t>
      </w:r>
      <w:r>
        <w:rPr>
          <w:rFonts w:eastAsia="ＭＳ 明朝"/>
          <w:lang w:val="en-US" w:eastAsia="ja-JP"/>
        </w:rPr>
        <w:t xml:space="preserve">as a single channel by the UE) for some UEs and CA operation(a single channel from the gNB perspective is handled as multiple aggregated channels by the UE) for some other UEs. </w:t>
      </w:r>
      <w:r w:rsidR="00D356F7">
        <w:rPr>
          <w:rFonts w:eastAsia="ＭＳ 明朝"/>
          <w:lang w:val="en-US" w:eastAsia="ja-JP"/>
        </w:rPr>
        <w:t xml:space="preserve">Previous papers discussed the RAN4 impact [1],[2]. A WF was proposed in RAN4#84, however, no consensus was reached. </w:t>
      </w:r>
    </w:p>
    <w:p w14:paraId="0E599BF3" w14:textId="2F5E6B86" w:rsidR="00AD5814" w:rsidRDefault="00AD5814" w:rsidP="005B25F1">
      <w:pPr>
        <w:jc w:val="both"/>
        <w:rPr>
          <w:rFonts w:eastAsia="ＭＳ 明朝"/>
          <w:lang w:val="en-US" w:eastAsia="ja-JP"/>
        </w:rPr>
      </w:pPr>
      <w:r>
        <w:rPr>
          <w:rFonts w:eastAsia="ＭＳ 明朝"/>
          <w:lang w:val="en-US" w:eastAsia="ja-JP"/>
        </w:rPr>
        <w:t>In [</w:t>
      </w:r>
      <w:r w:rsidR="00464463">
        <w:rPr>
          <w:rFonts w:eastAsia="ＭＳ 明朝"/>
          <w:lang w:val="en-US" w:eastAsia="ja-JP"/>
        </w:rPr>
        <w:t>4</w:t>
      </w:r>
      <w:r>
        <w:rPr>
          <w:rFonts w:eastAsia="ＭＳ 明朝"/>
          <w:lang w:val="en-US" w:eastAsia="ja-JP"/>
        </w:rPr>
        <w:t xml:space="preserve">] it was </w:t>
      </w:r>
      <w:r w:rsidR="00464463">
        <w:rPr>
          <w:rFonts w:eastAsia="ＭＳ 明朝"/>
          <w:lang w:val="en-US" w:eastAsia="ja-JP"/>
        </w:rPr>
        <w:t>agreed that from a UE point of view, the spectral utilization could be defined based on each component carrier(or bandwidth part-BWP) or based on the wideband channel number of RBs. Our understanding is that this agreement applies for channel bandwidths that are already defined. For example, in a 100MHz channel, the UE could support the entire 100MHz channel(</w:t>
      </w:r>
      <w:r w:rsidR="00E27FE3">
        <w:rPr>
          <w:rFonts w:eastAsia="ＭＳ 明朝"/>
          <w:lang w:val="en-US" w:eastAsia="ja-JP"/>
        </w:rPr>
        <w:t>273</w:t>
      </w:r>
      <w:r w:rsidR="00464463">
        <w:rPr>
          <w:rFonts w:eastAsia="ＭＳ 明朝"/>
          <w:lang w:val="en-US" w:eastAsia="ja-JP"/>
        </w:rPr>
        <w:t xml:space="preserve">RBs) in a 2CA configuration or a total of </w:t>
      </w:r>
      <w:r w:rsidR="00E27FE3">
        <w:rPr>
          <w:rFonts w:eastAsia="ＭＳ 明朝"/>
          <w:lang w:val="en-US" w:eastAsia="ja-JP"/>
        </w:rPr>
        <w:t>266(2x133) in a 2CA configuration.</w:t>
      </w:r>
    </w:p>
    <w:p w14:paraId="544FB8C3" w14:textId="0350F501" w:rsidR="00E27FE3" w:rsidRDefault="00E27FE3" w:rsidP="005B25F1">
      <w:pPr>
        <w:jc w:val="both"/>
        <w:rPr>
          <w:rFonts w:eastAsia="ＭＳ 明朝"/>
          <w:lang w:val="en-US" w:eastAsia="ja-JP"/>
        </w:rPr>
      </w:pPr>
      <w:r>
        <w:rPr>
          <w:rFonts w:eastAsia="ＭＳ 明朝" w:hint="eastAsia"/>
          <w:lang w:val="en-US" w:eastAsia="ja-JP"/>
        </w:rPr>
        <w:t xml:space="preserve">One of the questions raised in RAN4#84 was what would happen in the case where the total bandwidth to be supported </w:t>
      </w:r>
      <w:r w:rsidR="00BB1DFA">
        <w:rPr>
          <w:rFonts w:eastAsia="ＭＳ 明朝"/>
          <w:lang w:val="en-US" w:eastAsia="ja-JP"/>
        </w:rPr>
        <w:t>is not defined as a channel bandwidth. In this case there is no wideband spectral utilization so we can only rely on the already defined spectral utilization for each component carrier. As a capability, it might be allowed for UEs to advertise that they can handle a higher spectral utilization(at least in DL) such that the guardband between the CCs is fully used. How to handle such case and whether it should be tested or not needs further discussion in RAN4.</w:t>
      </w:r>
    </w:p>
    <w:p w14:paraId="53D3E81A" w14:textId="0A3B7F17" w:rsidR="00BB1DFA" w:rsidRPr="00BB1DFA" w:rsidRDefault="00BB1DFA" w:rsidP="005B25F1">
      <w:pPr>
        <w:jc w:val="both"/>
        <w:rPr>
          <w:rFonts w:eastAsia="ＭＳ 明朝"/>
          <w:b/>
          <w:lang w:val="en-US" w:eastAsia="ja-JP"/>
        </w:rPr>
      </w:pPr>
      <w:r w:rsidRPr="00BB1DFA">
        <w:rPr>
          <w:rFonts w:eastAsia="ＭＳ 明朝"/>
          <w:b/>
          <w:lang w:val="en-US" w:eastAsia="ja-JP"/>
        </w:rPr>
        <w:t xml:space="preserve">Observation 1. Default handling of wideband/CA operation for the case where the aggregated channel bandwidth is not defined as a wideband channel should be based on the CA spectral utilization. Possible enhancements should be further discussed. </w:t>
      </w:r>
    </w:p>
    <w:p w14:paraId="101C4168" w14:textId="2144DD16" w:rsidR="00BB1DFA" w:rsidRDefault="00BB1DFA" w:rsidP="005B25F1">
      <w:pPr>
        <w:jc w:val="both"/>
        <w:rPr>
          <w:rFonts w:eastAsia="ＭＳ 明朝"/>
          <w:lang w:val="en-US" w:eastAsia="ja-JP"/>
        </w:rPr>
      </w:pPr>
      <w:r>
        <w:rPr>
          <w:rFonts w:eastAsia="ＭＳ 明朝" w:hint="eastAsia"/>
          <w:lang w:val="en-US" w:eastAsia="ja-JP"/>
        </w:rPr>
        <w:t xml:space="preserve">In issue related to the channel raster and positioning of CCs within CA was brought up in [1]. </w:t>
      </w:r>
      <w:r>
        <w:rPr>
          <w:rFonts w:eastAsia="ＭＳ 明朝"/>
          <w:lang w:val="en-US" w:eastAsia="ja-JP"/>
        </w:rPr>
        <w:t xml:space="preserve">Related to this, the WF on channel raster agreed in RAN4#84 [4] contained a bullet point on possible guard band optimization for </w:t>
      </w:r>
      <w:r w:rsidR="00C83AC6">
        <w:rPr>
          <w:rFonts w:eastAsia="ＭＳ 明朝"/>
          <w:lang w:val="en-US" w:eastAsia="ja-JP"/>
        </w:rPr>
        <w:t xml:space="preserve">CA operation. In LTE operation, each CC had to be deployed on a valid channel raster position and there was a concept of nominal channel spacing. In NR, if this kind of operation is maintained then it would be very difficult to enable 0 guard band CA with the 100kHz channel raster as was shown in [1]. As such, these concepts would have to be re-visited or 0 guard band CA would be hardly possible. </w:t>
      </w:r>
    </w:p>
    <w:p w14:paraId="69E257C0" w14:textId="42554147" w:rsidR="00C83AC6" w:rsidRDefault="00EC3E1D" w:rsidP="005B25F1">
      <w:pPr>
        <w:jc w:val="both"/>
        <w:rPr>
          <w:rFonts w:eastAsia="ＭＳ 明朝"/>
          <w:lang w:val="en-US" w:eastAsia="ja-JP"/>
        </w:rPr>
      </w:pPr>
      <w:r>
        <w:rPr>
          <w:rFonts w:eastAsia="ＭＳ 明朝"/>
          <w:lang w:val="en-US" w:eastAsia="ja-JP"/>
        </w:rPr>
        <w:t>If 0</w:t>
      </w:r>
      <w:r w:rsidR="00C83AC6">
        <w:rPr>
          <w:rFonts w:eastAsia="ＭＳ 明朝"/>
          <w:lang w:val="en-US" w:eastAsia="ja-JP"/>
        </w:rPr>
        <w:t xml:space="preserve"> guard band CA was to be enabled, the CCs would have to be on a SCS based raster so the channel raster would have to change from a 100kHz based raster to a SCS based raster just to enable such deployments. This</w:t>
      </w:r>
      <w:r>
        <w:rPr>
          <w:rFonts w:eastAsia="ＭＳ 明朝"/>
          <w:lang w:val="en-US" w:eastAsia="ja-JP"/>
        </w:rPr>
        <w:t xml:space="preserve"> essentially means that the location of the CCs would be on any arbitrary frequency and </w:t>
      </w:r>
      <w:r w:rsidR="00C83AC6">
        <w:rPr>
          <w:rFonts w:eastAsia="ＭＳ 明朝"/>
          <w:lang w:val="en-US" w:eastAsia="ja-JP"/>
        </w:rPr>
        <w:t>would increase the design burden</w:t>
      </w:r>
      <w:r>
        <w:rPr>
          <w:rFonts w:eastAsia="ＭＳ 明朝"/>
          <w:lang w:val="en-US" w:eastAsia="ja-JP"/>
        </w:rPr>
        <w:t>. T</w:t>
      </w:r>
      <w:r w:rsidR="00C83AC6">
        <w:rPr>
          <w:rFonts w:eastAsia="ＭＳ 明朝"/>
          <w:lang w:val="en-US" w:eastAsia="ja-JP"/>
        </w:rPr>
        <w:t>he CCs would have different raster positions in si</w:t>
      </w:r>
      <w:r>
        <w:rPr>
          <w:rFonts w:eastAsia="ＭＳ 明朝"/>
          <w:lang w:val="en-US" w:eastAsia="ja-JP"/>
        </w:rPr>
        <w:t>ngle carrier or in CA operation. Also it is not very clear how testing would be done. Choosing the SCS based raster for the band would not present such issues.</w:t>
      </w:r>
    </w:p>
    <w:p w14:paraId="6AB7E629" w14:textId="52BB32B3" w:rsidR="00EC3E1D" w:rsidRPr="00EC3E1D" w:rsidRDefault="00EC3E1D" w:rsidP="005B25F1">
      <w:pPr>
        <w:jc w:val="both"/>
        <w:rPr>
          <w:rFonts w:eastAsia="ＭＳ 明朝"/>
          <w:b/>
          <w:lang w:val="en-US" w:eastAsia="ja-JP"/>
        </w:rPr>
      </w:pPr>
      <w:r w:rsidRPr="00EC3E1D">
        <w:rPr>
          <w:rFonts w:eastAsia="ＭＳ 明朝"/>
          <w:b/>
          <w:lang w:val="en-US" w:eastAsia="ja-JP"/>
        </w:rPr>
        <w:t>Observation 2. Enabling 0 guard band CA with 100kHz based raster would lead to a SCS based raster for CA, but the positions of the CCs would be arbitrary since the positions are not fixed on a SCS based raster.</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lastRenderedPageBreak/>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68775E8B" w14:textId="2EDF8E24" w:rsidR="002C729B" w:rsidRDefault="005B25F1" w:rsidP="002C729B">
      <w:pPr>
        <w:jc w:val="both"/>
        <w:rPr>
          <w:rFonts w:eastAsia="ＭＳ 明朝"/>
          <w:lang w:val="en-US" w:eastAsia="ja-JP"/>
        </w:rPr>
      </w:pPr>
      <w:r>
        <w:rPr>
          <w:rFonts w:eastAsia="ＭＳ 明朝" w:hint="eastAsia"/>
          <w:lang w:val="en-US" w:eastAsia="ja-JP"/>
        </w:rPr>
        <w:t xml:space="preserve">In this paper we </w:t>
      </w:r>
      <w:r w:rsidR="00EC3E1D">
        <w:rPr>
          <w:rFonts w:eastAsia="ＭＳ 明朝"/>
          <w:lang w:val="en-US" w:eastAsia="ja-JP"/>
        </w:rPr>
        <w:t>briefly discussed a few issues related to wideband and CA operation. The following observations were made:</w:t>
      </w:r>
    </w:p>
    <w:p w14:paraId="626C78EC" w14:textId="77777777" w:rsidR="006C21A2" w:rsidRPr="00BB1DFA" w:rsidRDefault="006C21A2" w:rsidP="006C21A2">
      <w:pPr>
        <w:jc w:val="both"/>
        <w:rPr>
          <w:rFonts w:eastAsia="ＭＳ 明朝"/>
          <w:b/>
          <w:lang w:val="en-US" w:eastAsia="ja-JP"/>
        </w:rPr>
      </w:pPr>
      <w:r w:rsidRPr="00BB1DFA">
        <w:rPr>
          <w:rFonts w:eastAsia="ＭＳ 明朝"/>
          <w:b/>
          <w:lang w:val="en-US" w:eastAsia="ja-JP"/>
        </w:rPr>
        <w:t xml:space="preserve">Observation 1. Default handling of wideband/CA operation for the case where the aggregated channel bandwidth is not defined as a wideband channel should be based on the CA spectral utilization. Possible enhancements should be further discussed. </w:t>
      </w:r>
    </w:p>
    <w:p w14:paraId="3572358D" w14:textId="386155C2" w:rsidR="009F1929" w:rsidRPr="006C21A2" w:rsidRDefault="006C21A2" w:rsidP="002C729B">
      <w:pPr>
        <w:jc w:val="both"/>
        <w:rPr>
          <w:rFonts w:eastAsia="ＭＳ 明朝"/>
          <w:b/>
          <w:lang w:val="en-US" w:eastAsia="ja-JP"/>
        </w:rPr>
      </w:pPr>
      <w:r w:rsidRPr="00EC3E1D">
        <w:rPr>
          <w:rFonts w:eastAsia="ＭＳ 明朝"/>
          <w:b/>
          <w:lang w:val="en-US" w:eastAsia="ja-JP"/>
        </w:rPr>
        <w:t>Observation 2. Enabling 0 guard band CA with 100kHz based raster would lead to a SCS based raster for CA, but the positions of the CCs would be arbitrary since the positions are not fixed on a SCS based raster.</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1E48BC87" w14:textId="4DE3F02A" w:rsidR="00D356F7" w:rsidRPr="00AD5814" w:rsidRDefault="00D356F7" w:rsidP="00D356F7">
      <w:pPr>
        <w:numPr>
          <w:ilvl w:val="0"/>
          <w:numId w:val="10"/>
        </w:numPr>
        <w:overflowPunct w:val="0"/>
        <w:autoSpaceDE w:val="0"/>
        <w:autoSpaceDN w:val="0"/>
        <w:adjustRightInd w:val="0"/>
        <w:jc w:val="both"/>
        <w:textAlignment w:val="baseline"/>
      </w:pPr>
      <w:bookmarkStart w:id="4" w:name="_Ref446333722"/>
      <w:bookmarkStart w:id="5" w:name="_Ref458067121"/>
      <w:bookmarkStart w:id="6" w:name="_Ref458093355"/>
      <w:bookmarkStart w:id="7" w:name="_Ref462751848"/>
      <w:bookmarkStart w:id="8" w:name="_Ref462859211"/>
      <w:bookmarkStart w:id="9" w:name="_Ref465804674"/>
      <w:bookmarkStart w:id="10" w:name="_Ref470435289"/>
      <w:r>
        <w:rPr>
          <w:rFonts w:eastAsia="ＭＳ 明朝" w:hint="eastAsia"/>
          <w:lang w:eastAsia="ja-JP"/>
        </w:rPr>
        <w:t xml:space="preserve">R4-1707336, </w:t>
      </w:r>
      <w:r>
        <w:rPr>
          <w:rFonts w:eastAsia="ＭＳ 明朝"/>
          <w:lang w:eastAsia="ja-JP"/>
        </w:rPr>
        <w:t>“</w:t>
      </w:r>
      <w:r w:rsidRPr="00D356F7">
        <w:rPr>
          <w:rFonts w:eastAsia="ＭＳ 明朝"/>
          <w:lang w:eastAsia="ja-JP"/>
        </w:rPr>
        <w:t>Wideband and CA Operation for NR</w:t>
      </w:r>
      <w:r>
        <w:rPr>
          <w:rFonts w:eastAsia="ＭＳ 明朝"/>
          <w:lang w:eastAsia="ja-JP"/>
        </w:rPr>
        <w:t>”</w:t>
      </w:r>
      <w:r w:rsidR="00AD5814">
        <w:rPr>
          <w:rFonts w:eastAsia="ＭＳ 明朝"/>
          <w:lang w:eastAsia="ja-JP"/>
        </w:rPr>
        <w:t>, Qualcomm Incorporated</w:t>
      </w:r>
    </w:p>
    <w:p w14:paraId="3C8148F6" w14:textId="2D9136AD" w:rsidR="00AD5814" w:rsidRPr="00AD5814" w:rsidRDefault="00AD5814" w:rsidP="00AD5814">
      <w:pPr>
        <w:numPr>
          <w:ilvl w:val="0"/>
          <w:numId w:val="10"/>
        </w:numPr>
        <w:overflowPunct w:val="0"/>
        <w:autoSpaceDE w:val="0"/>
        <w:autoSpaceDN w:val="0"/>
        <w:adjustRightInd w:val="0"/>
        <w:jc w:val="both"/>
        <w:textAlignment w:val="baseline"/>
      </w:pPr>
      <w:r>
        <w:rPr>
          <w:rFonts w:eastAsia="ＭＳ 明朝"/>
          <w:lang w:eastAsia="ja-JP"/>
        </w:rPr>
        <w:t>R4-1708164, “</w:t>
      </w:r>
      <w:r w:rsidRPr="00AD5814">
        <w:rPr>
          <w:rFonts w:eastAsia="ＭＳ 明朝"/>
          <w:lang w:eastAsia="ja-JP"/>
        </w:rPr>
        <w:t>Consideration on wideband operation for NR UE</w:t>
      </w:r>
      <w:r>
        <w:rPr>
          <w:rFonts w:eastAsia="ＭＳ 明朝"/>
          <w:lang w:eastAsia="ja-JP"/>
        </w:rPr>
        <w:t>”, LGE</w:t>
      </w:r>
    </w:p>
    <w:p w14:paraId="36EB47D7" w14:textId="188A2178" w:rsidR="00AD5814" w:rsidRPr="00AD5814" w:rsidRDefault="00AD5814" w:rsidP="00AD5814">
      <w:pPr>
        <w:numPr>
          <w:ilvl w:val="0"/>
          <w:numId w:val="10"/>
        </w:numPr>
        <w:overflowPunct w:val="0"/>
        <w:autoSpaceDE w:val="0"/>
        <w:autoSpaceDN w:val="0"/>
        <w:adjustRightInd w:val="0"/>
        <w:jc w:val="both"/>
        <w:textAlignment w:val="baseline"/>
      </w:pPr>
      <w:r>
        <w:rPr>
          <w:rFonts w:eastAsia="ＭＳ 明朝" w:hint="eastAsia"/>
          <w:lang w:eastAsia="ja-JP"/>
        </w:rPr>
        <w:t>R4-17088</w:t>
      </w:r>
      <w:r>
        <w:rPr>
          <w:rFonts w:eastAsia="ＭＳ 明朝"/>
          <w:lang w:eastAsia="ja-JP"/>
        </w:rPr>
        <w:t>64, “</w:t>
      </w:r>
      <w:r w:rsidRPr="00AD5814">
        <w:rPr>
          <w:rFonts w:eastAsia="ＭＳ 明朝"/>
          <w:lang w:eastAsia="ja-JP"/>
        </w:rPr>
        <w:t>WF on further clarification for wideband operation</w:t>
      </w:r>
      <w:r>
        <w:rPr>
          <w:rFonts w:eastAsia="ＭＳ 明朝"/>
          <w:lang w:eastAsia="ja-JP"/>
        </w:rPr>
        <w:t>”, LGE</w:t>
      </w:r>
    </w:p>
    <w:p w14:paraId="6422DD13" w14:textId="24A77E16" w:rsidR="00BC21FA" w:rsidRPr="00EC3E1D" w:rsidRDefault="00AD5814" w:rsidP="00AD5814">
      <w:pPr>
        <w:numPr>
          <w:ilvl w:val="0"/>
          <w:numId w:val="10"/>
        </w:numPr>
        <w:overflowPunct w:val="0"/>
        <w:autoSpaceDE w:val="0"/>
        <w:autoSpaceDN w:val="0"/>
        <w:adjustRightInd w:val="0"/>
        <w:jc w:val="both"/>
        <w:textAlignment w:val="baseline"/>
      </w:pPr>
      <w:r>
        <w:rPr>
          <w:rFonts w:eastAsia="ＭＳ 明朝"/>
          <w:lang w:eastAsia="ja-JP"/>
        </w:rPr>
        <w:t>R4-1708851, “</w:t>
      </w:r>
      <w:r w:rsidRPr="00AD5814">
        <w:rPr>
          <w:rFonts w:eastAsia="ＭＳ 明朝" w:hint="eastAsia"/>
          <w:lang w:eastAsia="ja-JP"/>
        </w:rPr>
        <w:t>WF on spectrum utilization in wideband operation</w:t>
      </w:r>
      <w:r>
        <w:rPr>
          <w:rFonts w:eastAsia="ＭＳ 明朝"/>
          <w:lang w:eastAsia="ja-JP"/>
        </w:rPr>
        <w:t>”, ZTE</w:t>
      </w:r>
      <w:bookmarkEnd w:id="0"/>
      <w:bookmarkEnd w:id="4"/>
      <w:bookmarkEnd w:id="5"/>
      <w:bookmarkEnd w:id="6"/>
      <w:bookmarkEnd w:id="7"/>
      <w:bookmarkEnd w:id="8"/>
      <w:bookmarkEnd w:id="9"/>
      <w:bookmarkEnd w:id="10"/>
    </w:p>
    <w:p w14:paraId="489CE53D" w14:textId="7EBA845A" w:rsidR="00EC3E1D" w:rsidRPr="0077738A" w:rsidRDefault="00EC3E1D" w:rsidP="00AD5814">
      <w:pPr>
        <w:numPr>
          <w:ilvl w:val="0"/>
          <w:numId w:val="10"/>
        </w:numPr>
        <w:overflowPunct w:val="0"/>
        <w:autoSpaceDE w:val="0"/>
        <w:autoSpaceDN w:val="0"/>
        <w:adjustRightInd w:val="0"/>
        <w:jc w:val="both"/>
        <w:textAlignment w:val="baseline"/>
      </w:pPr>
      <w:bookmarkStart w:id="11" w:name="_GoBack"/>
      <w:r>
        <w:rPr>
          <w:rFonts w:eastAsia="ＭＳ 明朝"/>
          <w:lang w:eastAsia="ja-JP"/>
        </w:rPr>
        <w:t>R4-1708850</w:t>
      </w:r>
      <w:r w:rsidR="00E247A6">
        <w:rPr>
          <w:rFonts w:eastAsia="ＭＳ 明朝"/>
          <w:lang w:eastAsia="ja-JP"/>
        </w:rPr>
        <w:t>, “WF on Channel Raster for NR”, Qualcomm et al.</w:t>
      </w:r>
      <w:bookmarkEnd w:id="11"/>
    </w:p>
    <w:sectPr w:rsidR="00EC3E1D" w:rsidRPr="0077738A"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F3143" w14:textId="77777777" w:rsidR="00775DDD" w:rsidRDefault="00775DDD">
      <w:r>
        <w:separator/>
      </w:r>
    </w:p>
  </w:endnote>
  <w:endnote w:type="continuationSeparator" w:id="0">
    <w:p w14:paraId="0C647462" w14:textId="77777777" w:rsidR="00775DDD" w:rsidRDefault="00775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游ゴシック"/>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14CD5640" w:rsidR="00B56BAE" w:rsidRDefault="00B56BAE">
        <w:pPr>
          <w:pStyle w:val="Footer"/>
        </w:pPr>
        <w:r>
          <w:rPr>
            <w:noProof w:val="0"/>
          </w:rPr>
          <w:fldChar w:fldCharType="begin"/>
        </w:r>
        <w:r>
          <w:instrText xml:space="preserve"> PAGE   \* MERGEFORMAT </w:instrText>
        </w:r>
        <w:r>
          <w:rPr>
            <w:noProof w:val="0"/>
          </w:rPr>
          <w:fldChar w:fldCharType="separate"/>
        </w:r>
        <w:r w:rsidR="00F64F12">
          <w:t>1</w:t>
        </w:r>
        <w:r>
          <w:fldChar w:fldCharType="end"/>
        </w:r>
      </w:p>
    </w:sdtContent>
  </w:sdt>
  <w:p w14:paraId="1DE43AF8" w14:textId="4D47B3D2" w:rsidR="00B56BAE" w:rsidRDefault="00B5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D60CB" w14:textId="77777777" w:rsidR="00775DDD" w:rsidRDefault="00775DDD">
      <w:r>
        <w:separator/>
      </w:r>
    </w:p>
  </w:footnote>
  <w:footnote w:type="continuationSeparator" w:id="0">
    <w:p w14:paraId="4273B6F5" w14:textId="77777777" w:rsidR="00775DDD" w:rsidRDefault="00775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0" type="#_x0000_t75" style="width:16pt;height:1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063E7D"/>
    <w:multiLevelType w:val="hybridMultilevel"/>
    <w:tmpl w:val="EC3C6AB2"/>
    <w:lvl w:ilvl="0" w:tplc="CF429B90">
      <w:start w:val="1"/>
      <w:numFmt w:val="bullet"/>
      <w:lvlText w:val=""/>
      <w:lvlJc w:val="left"/>
      <w:pPr>
        <w:tabs>
          <w:tab w:val="num" w:pos="720"/>
        </w:tabs>
        <w:ind w:left="720" w:hanging="360"/>
      </w:pPr>
      <w:rPr>
        <w:rFonts w:ascii="Symbol" w:hAnsi="Symbol" w:hint="default"/>
      </w:rPr>
    </w:lvl>
    <w:lvl w:ilvl="1" w:tplc="7D8857B4">
      <w:numFmt w:val="bullet"/>
      <w:lvlText w:val="−"/>
      <w:lvlJc w:val="left"/>
      <w:pPr>
        <w:tabs>
          <w:tab w:val="num" w:pos="1440"/>
        </w:tabs>
        <w:ind w:left="1440" w:hanging="360"/>
      </w:pPr>
      <w:rPr>
        <w:rFonts w:ascii="Calibre Regular" w:hAnsi="Calibre Regular" w:hint="default"/>
      </w:rPr>
    </w:lvl>
    <w:lvl w:ilvl="2" w:tplc="2C063B94">
      <w:numFmt w:val="bullet"/>
      <w:lvlText w:val="−"/>
      <w:lvlJc w:val="left"/>
      <w:pPr>
        <w:tabs>
          <w:tab w:val="num" w:pos="2160"/>
        </w:tabs>
        <w:ind w:left="2160" w:hanging="360"/>
      </w:pPr>
      <w:rPr>
        <w:rFonts w:ascii="Calibre Regular" w:hAnsi="Calibre Regular" w:hint="default"/>
      </w:rPr>
    </w:lvl>
    <w:lvl w:ilvl="3" w:tplc="F8B4AE46" w:tentative="1">
      <w:start w:val="1"/>
      <w:numFmt w:val="bullet"/>
      <w:lvlText w:val=""/>
      <w:lvlJc w:val="left"/>
      <w:pPr>
        <w:tabs>
          <w:tab w:val="num" w:pos="2880"/>
        </w:tabs>
        <w:ind w:left="2880" w:hanging="360"/>
      </w:pPr>
      <w:rPr>
        <w:rFonts w:ascii="Symbol" w:hAnsi="Symbol" w:hint="default"/>
      </w:rPr>
    </w:lvl>
    <w:lvl w:ilvl="4" w:tplc="3A7E7474" w:tentative="1">
      <w:start w:val="1"/>
      <w:numFmt w:val="bullet"/>
      <w:lvlText w:val=""/>
      <w:lvlJc w:val="left"/>
      <w:pPr>
        <w:tabs>
          <w:tab w:val="num" w:pos="3600"/>
        </w:tabs>
        <w:ind w:left="3600" w:hanging="360"/>
      </w:pPr>
      <w:rPr>
        <w:rFonts w:ascii="Symbol" w:hAnsi="Symbol" w:hint="default"/>
      </w:rPr>
    </w:lvl>
    <w:lvl w:ilvl="5" w:tplc="04CA295E" w:tentative="1">
      <w:start w:val="1"/>
      <w:numFmt w:val="bullet"/>
      <w:lvlText w:val=""/>
      <w:lvlJc w:val="left"/>
      <w:pPr>
        <w:tabs>
          <w:tab w:val="num" w:pos="4320"/>
        </w:tabs>
        <w:ind w:left="4320" w:hanging="360"/>
      </w:pPr>
      <w:rPr>
        <w:rFonts w:ascii="Symbol" w:hAnsi="Symbol" w:hint="default"/>
      </w:rPr>
    </w:lvl>
    <w:lvl w:ilvl="6" w:tplc="7B86402E" w:tentative="1">
      <w:start w:val="1"/>
      <w:numFmt w:val="bullet"/>
      <w:lvlText w:val=""/>
      <w:lvlJc w:val="left"/>
      <w:pPr>
        <w:tabs>
          <w:tab w:val="num" w:pos="5040"/>
        </w:tabs>
        <w:ind w:left="5040" w:hanging="360"/>
      </w:pPr>
      <w:rPr>
        <w:rFonts w:ascii="Symbol" w:hAnsi="Symbol" w:hint="default"/>
      </w:rPr>
    </w:lvl>
    <w:lvl w:ilvl="7" w:tplc="ADC85882" w:tentative="1">
      <w:start w:val="1"/>
      <w:numFmt w:val="bullet"/>
      <w:lvlText w:val=""/>
      <w:lvlJc w:val="left"/>
      <w:pPr>
        <w:tabs>
          <w:tab w:val="num" w:pos="5760"/>
        </w:tabs>
        <w:ind w:left="5760" w:hanging="360"/>
      </w:pPr>
      <w:rPr>
        <w:rFonts w:ascii="Symbol" w:hAnsi="Symbol" w:hint="default"/>
      </w:rPr>
    </w:lvl>
    <w:lvl w:ilvl="8" w:tplc="D76E4E9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033F4E"/>
    <w:multiLevelType w:val="hybridMultilevel"/>
    <w:tmpl w:val="BE5C4B16"/>
    <w:lvl w:ilvl="0" w:tplc="DF0C5624">
      <w:start w:val="1"/>
      <w:numFmt w:val="bullet"/>
      <w:lvlText w:val=""/>
      <w:lvlJc w:val="left"/>
      <w:pPr>
        <w:tabs>
          <w:tab w:val="num" w:pos="720"/>
        </w:tabs>
        <w:ind w:left="720" w:hanging="360"/>
      </w:pPr>
      <w:rPr>
        <w:rFonts w:ascii="Symbol" w:hAnsi="Symbol" w:hint="default"/>
      </w:rPr>
    </w:lvl>
    <w:lvl w:ilvl="1" w:tplc="18FE4732">
      <w:numFmt w:val="bullet"/>
      <w:lvlText w:val="−"/>
      <w:lvlJc w:val="left"/>
      <w:pPr>
        <w:tabs>
          <w:tab w:val="num" w:pos="1440"/>
        </w:tabs>
        <w:ind w:left="1440" w:hanging="360"/>
      </w:pPr>
      <w:rPr>
        <w:rFonts w:ascii="Calibre Regular" w:hAnsi="Calibre Regular" w:hint="default"/>
      </w:rPr>
    </w:lvl>
    <w:lvl w:ilvl="2" w:tplc="CF6C0638" w:tentative="1">
      <w:start w:val="1"/>
      <w:numFmt w:val="bullet"/>
      <w:lvlText w:val=""/>
      <w:lvlJc w:val="left"/>
      <w:pPr>
        <w:tabs>
          <w:tab w:val="num" w:pos="2160"/>
        </w:tabs>
        <w:ind w:left="2160" w:hanging="360"/>
      </w:pPr>
      <w:rPr>
        <w:rFonts w:ascii="Symbol" w:hAnsi="Symbol" w:hint="default"/>
      </w:rPr>
    </w:lvl>
    <w:lvl w:ilvl="3" w:tplc="D62C035E" w:tentative="1">
      <w:start w:val="1"/>
      <w:numFmt w:val="bullet"/>
      <w:lvlText w:val=""/>
      <w:lvlJc w:val="left"/>
      <w:pPr>
        <w:tabs>
          <w:tab w:val="num" w:pos="2880"/>
        </w:tabs>
        <w:ind w:left="2880" w:hanging="360"/>
      </w:pPr>
      <w:rPr>
        <w:rFonts w:ascii="Symbol" w:hAnsi="Symbol" w:hint="default"/>
      </w:rPr>
    </w:lvl>
    <w:lvl w:ilvl="4" w:tplc="A4E68338" w:tentative="1">
      <w:start w:val="1"/>
      <w:numFmt w:val="bullet"/>
      <w:lvlText w:val=""/>
      <w:lvlJc w:val="left"/>
      <w:pPr>
        <w:tabs>
          <w:tab w:val="num" w:pos="3600"/>
        </w:tabs>
        <w:ind w:left="3600" w:hanging="360"/>
      </w:pPr>
      <w:rPr>
        <w:rFonts w:ascii="Symbol" w:hAnsi="Symbol" w:hint="default"/>
      </w:rPr>
    </w:lvl>
    <w:lvl w:ilvl="5" w:tplc="98F45A88" w:tentative="1">
      <w:start w:val="1"/>
      <w:numFmt w:val="bullet"/>
      <w:lvlText w:val=""/>
      <w:lvlJc w:val="left"/>
      <w:pPr>
        <w:tabs>
          <w:tab w:val="num" w:pos="4320"/>
        </w:tabs>
        <w:ind w:left="4320" w:hanging="360"/>
      </w:pPr>
      <w:rPr>
        <w:rFonts w:ascii="Symbol" w:hAnsi="Symbol" w:hint="default"/>
      </w:rPr>
    </w:lvl>
    <w:lvl w:ilvl="6" w:tplc="933AC020" w:tentative="1">
      <w:start w:val="1"/>
      <w:numFmt w:val="bullet"/>
      <w:lvlText w:val=""/>
      <w:lvlJc w:val="left"/>
      <w:pPr>
        <w:tabs>
          <w:tab w:val="num" w:pos="5040"/>
        </w:tabs>
        <w:ind w:left="5040" w:hanging="360"/>
      </w:pPr>
      <w:rPr>
        <w:rFonts w:ascii="Symbol" w:hAnsi="Symbol" w:hint="default"/>
      </w:rPr>
    </w:lvl>
    <w:lvl w:ilvl="7" w:tplc="2FA07E84" w:tentative="1">
      <w:start w:val="1"/>
      <w:numFmt w:val="bullet"/>
      <w:lvlText w:val=""/>
      <w:lvlJc w:val="left"/>
      <w:pPr>
        <w:tabs>
          <w:tab w:val="num" w:pos="5760"/>
        </w:tabs>
        <w:ind w:left="5760" w:hanging="360"/>
      </w:pPr>
      <w:rPr>
        <w:rFonts w:ascii="Symbol" w:hAnsi="Symbol" w:hint="default"/>
      </w:rPr>
    </w:lvl>
    <w:lvl w:ilvl="8" w:tplc="29EEEB5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736F2CD4"/>
    <w:multiLevelType w:val="hybridMultilevel"/>
    <w:tmpl w:val="FBFA3666"/>
    <w:lvl w:ilvl="0" w:tplc="6C7E89B8">
      <w:start w:val="1"/>
      <w:numFmt w:val="bullet"/>
      <w:lvlText w:val=""/>
      <w:lvlJc w:val="left"/>
      <w:pPr>
        <w:tabs>
          <w:tab w:val="num" w:pos="720"/>
        </w:tabs>
        <w:ind w:left="720" w:hanging="360"/>
      </w:pPr>
      <w:rPr>
        <w:rFonts w:ascii="Symbol" w:hAnsi="Symbol" w:hint="default"/>
      </w:rPr>
    </w:lvl>
    <w:lvl w:ilvl="1" w:tplc="FACE6B98">
      <w:numFmt w:val="bullet"/>
      <w:lvlText w:val="−"/>
      <w:lvlJc w:val="left"/>
      <w:pPr>
        <w:tabs>
          <w:tab w:val="num" w:pos="1440"/>
        </w:tabs>
        <w:ind w:left="1440" w:hanging="360"/>
      </w:pPr>
      <w:rPr>
        <w:rFonts w:ascii="Calibre Regular" w:hAnsi="Calibre Regular" w:hint="default"/>
      </w:rPr>
    </w:lvl>
    <w:lvl w:ilvl="2" w:tplc="1E4A6144">
      <w:numFmt w:val="bullet"/>
      <w:lvlText w:val="−"/>
      <w:lvlJc w:val="left"/>
      <w:pPr>
        <w:tabs>
          <w:tab w:val="num" w:pos="2160"/>
        </w:tabs>
        <w:ind w:left="2160" w:hanging="360"/>
      </w:pPr>
      <w:rPr>
        <w:rFonts w:ascii="Calibre Regular" w:hAnsi="Calibre Regular" w:hint="default"/>
      </w:rPr>
    </w:lvl>
    <w:lvl w:ilvl="3" w:tplc="050600D0">
      <w:numFmt w:val="bullet"/>
      <w:lvlText w:val="−"/>
      <w:lvlJc w:val="left"/>
      <w:pPr>
        <w:tabs>
          <w:tab w:val="num" w:pos="2880"/>
        </w:tabs>
        <w:ind w:left="2880" w:hanging="360"/>
      </w:pPr>
      <w:rPr>
        <w:rFonts w:ascii="Calibre Regular" w:hAnsi="Calibre Regular" w:hint="default"/>
      </w:rPr>
    </w:lvl>
    <w:lvl w:ilvl="4" w:tplc="9296FF8E" w:tentative="1">
      <w:start w:val="1"/>
      <w:numFmt w:val="bullet"/>
      <w:lvlText w:val=""/>
      <w:lvlJc w:val="left"/>
      <w:pPr>
        <w:tabs>
          <w:tab w:val="num" w:pos="3600"/>
        </w:tabs>
        <w:ind w:left="3600" w:hanging="360"/>
      </w:pPr>
      <w:rPr>
        <w:rFonts w:ascii="Symbol" w:hAnsi="Symbol" w:hint="default"/>
      </w:rPr>
    </w:lvl>
    <w:lvl w:ilvl="5" w:tplc="915AC004" w:tentative="1">
      <w:start w:val="1"/>
      <w:numFmt w:val="bullet"/>
      <w:lvlText w:val=""/>
      <w:lvlJc w:val="left"/>
      <w:pPr>
        <w:tabs>
          <w:tab w:val="num" w:pos="4320"/>
        </w:tabs>
        <w:ind w:left="4320" w:hanging="360"/>
      </w:pPr>
      <w:rPr>
        <w:rFonts w:ascii="Symbol" w:hAnsi="Symbol" w:hint="default"/>
      </w:rPr>
    </w:lvl>
    <w:lvl w:ilvl="6" w:tplc="F8A80C24" w:tentative="1">
      <w:start w:val="1"/>
      <w:numFmt w:val="bullet"/>
      <w:lvlText w:val=""/>
      <w:lvlJc w:val="left"/>
      <w:pPr>
        <w:tabs>
          <w:tab w:val="num" w:pos="5040"/>
        </w:tabs>
        <w:ind w:left="5040" w:hanging="360"/>
      </w:pPr>
      <w:rPr>
        <w:rFonts w:ascii="Symbol" w:hAnsi="Symbol" w:hint="default"/>
      </w:rPr>
    </w:lvl>
    <w:lvl w:ilvl="7" w:tplc="03845910" w:tentative="1">
      <w:start w:val="1"/>
      <w:numFmt w:val="bullet"/>
      <w:lvlText w:val=""/>
      <w:lvlJc w:val="left"/>
      <w:pPr>
        <w:tabs>
          <w:tab w:val="num" w:pos="5760"/>
        </w:tabs>
        <w:ind w:left="5760" w:hanging="360"/>
      </w:pPr>
      <w:rPr>
        <w:rFonts w:ascii="Symbol" w:hAnsi="Symbol" w:hint="default"/>
      </w:rPr>
    </w:lvl>
    <w:lvl w:ilvl="8" w:tplc="3C947C5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8"/>
  </w:num>
  <w:num w:numId="4">
    <w:abstractNumId w:val="19"/>
  </w:num>
  <w:num w:numId="5">
    <w:abstractNumId w:val="15"/>
  </w:num>
  <w:num w:numId="6">
    <w:abstractNumId w:val="1"/>
  </w:num>
  <w:num w:numId="7">
    <w:abstractNumId w:val="5"/>
  </w:num>
  <w:num w:numId="8">
    <w:abstractNumId w:val="11"/>
  </w:num>
  <w:num w:numId="9">
    <w:abstractNumId w:val="12"/>
  </w:num>
  <w:num w:numId="10">
    <w:abstractNumId w:val="9"/>
  </w:num>
  <w:num w:numId="11">
    <w:abstractNumId w:val="8"/>
  </w:num>
  <w:num w:numId="12">
    <w:abstractNumId w:val="7"/>
  </w:num>
  <w:num w:numId="13">
    <w:abstractNumId w:val="14"/>
  </w:num>
  <w:num w:numId="14">
    <w:abstractNumId w:val="13"/>
  </w:num>
  <w:num w:numId="15">
    <w:abstractNumId w:val="17"/>
  </w:num>
  <w:num w:numId="16">
    <w:abstractNumId w:val="4"/>
  </w:num>
  <w:num w:numId="17">
    <w:abstractNumId w:val="16"/>
  </w:num>
  <w:num w:numId="18">
    <w:abstractNumId w:val="10"/>
  </w:num>
  <w:num w:numId="1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500"/>
    <w:rsid w:val="00083842"/>
    <w:rsid w:val="000843D9"/>
    <w:rsid w:val="00084895"/>
    <w:rsid w:val="00084F0C"/>
    <w:rsid w:val="00085DF3"/>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4F9"/>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542"/>
    <w:rsid w:val="002F4309"/>
    <w:rsid w:val="002F55B2"/>
    <w:rsid w:val="002F56DE"/>
    <w:rsid w:val="002F57B6"/>
    <w:rsid w:val="002F595F"/>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51C"/>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A4E"/>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7FF"/>
    <w:rsid w:val="00421E1E"/>
    <w:rsid w:val="00421EAB"/>
    <w:rsid w:val="0042641A"/>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463"/>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75B"/>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44"/>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CC7"/>
    <w:rsid w:val="00597F12"/>
    <w:rsid w:val="005A0195"/>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92C"/>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57B77"/>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714"/>
    <w:rsid w:val="006A31B6"/>
    <w:rsid w:val="006A443D"/>
    <w:rsid w:val="006A4792"/>
    <w:rsid w:val="006A4BC4"/>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21A2"/>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04A"/>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138E"/>
    <w:rsid w:val="00761500"/>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5DDD"/>
    <w:rsid w:val="007764BF"/>
    <w:rsid w:val="00776573"/>
    <w:rsid w:val="00776B4A"/>
    <w:rsid w:val="00776D40"/>
    <w:rsid w:val="0077738A"/>
    <w:rsid w:val="007778F6"/>
    <w:rsid w:val="007806CB"/>
    <w:rsid w:val="00780B3C"/>
    <w:rsid w:val="00781276"/>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48D"/>
    <w:rsid w:val="0079497A"/>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0D04"/>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C6D3C"/>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85D"/>
    <w:rsid w:val="009E79AF"/>
    <w:rsid w:val="009F1929"/>
    <w:rsid w:val="009F256E"/>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5814"/>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940"/>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879A7"/>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A56"/>
    <w:rsid w:val="00BA4E07"/>
    <w:rsid w:val="00BA4FB5"/>
    <w:rsid w:val="00BA6D64"/>
    <w:rsid w:val="00BA6F0D"/>
    <w:rsid w:val="00BA74B8"/>
    <w:rsid w:val="00BA7518"/>
    <w:rsid w:val="00BB1DFA"/>
    <w:rsid w:val="00BB2D42"/>
    <w:rsid w:val="00BB3825"/>
    <w:rsid w:val="00BB399B"/>
    <w:rsid w:val="00BB4CBA"/>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DAB"/>
    <w:rsid w:val="00BE3BE3"/>
    <w:rsid w:val="00BE4185"/>
    <w:rsid w:val="00BE41C9"/>
    <w:rsid w:val="00BE4CB3"/>
    <w:rsid w:val="00BE50CD"/>
    <w:rsid w:val="00BE51F2"/>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50CE"/>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617"/>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3CBD"/>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3AC6"/>
    <w:rsid w:val="00C8480D"/>
    <w:rsid w:val="00C84DC4"/>
    <w:rsid w:val="00C854A8"/>
    <w:rsid w:val="00C85755"/>
    <w:rsid w:val="00C85959"/>
    <w:rsid w:val="00C860CA"/>
    <w:rsid w:val="00C86789"/>
    <w:rsid w:val="00C86957"/>
    <w:rsid w:val="00C86B6B"/>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0B8A"/>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8AF"/>
    <w:rsid w:val="00D0592B"/>
    <w:rsid w:val="00D05F2A"/>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56F7"/>
    <w:rsid w:val="00D36AE5"/>
    <w:rsid w:val="00D36BF4"/>
    <w:rsid w:val="00D36DC4"/>
    <w:rsid w:val="00D37153"/>
    <w:rsid w:val="00D372C8"/>
    <w:rsid w:val="00D377E1"/>
    <w:rsid w:val="00D40292"/>
    <w:rsid w:val="00D4069E"/>
    <w:rsid w:val="00D40C3D"/>
    <w:rsid w:val="00D41368"/>
    <w:rsid w:val="00D413F6"/>
    <w:rsid w:val="00D414D6"/>
    <w:rsid w:val="00D41622"/>
    <w:rsid w:val="00D434B8"/>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CFF"/>
    <w:rsid w:val="00D61DC2"/>
    <w:rsid w:val="00D61E64"/>
    <w:rsid w:val="00D6360C"/>
    <w:rsid w:val="00D63847"/>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7A6"/>
    <w:rsid w:val="00E24D7C"/>
    <w:rsid w:val="00E25691"/>
    <w:rsid w:val="00E261C5"/>
    <w:rsid w:val="00E26A69"/>
    <w:rsid w:val="00E27387"/>
    <w:rsid w:val="00E27FE3"/>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AA7"/>
    <w:rsid w:val="00E574B5"/>
    <w:rsid w:val="00E57526"/>
    <w:rsid w:val="00E57FDC"/>
    <w:rsid w:val="00E60DA9"/>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64F1"/>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3E1D"/>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A4E"/>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4F12"/>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3383"/>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8D"/>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51797747">
      <w:bodyDiv w:val="1"/>
      <w:marLeft w:val="0"/>
      <w:marRight w:val="0"/>
      <w:marTop w:val="0"/>
      <w:marBottom w:val="0"/>
      <w:divBdr>
        <w:top w:val="none" w:sz="0" w:space="0" w:color="auto"/>
        <w:left w:val="none" w:sz="0" w:space="0" w:color="auto"/>
        <w:bottom w:val="none" w:sz="0" w:space="0" w:color="auto"/>
        <w:right w:val="none" w:sz="0" w:space="0" w:color="auto"/>
      </w:divBdr>
      <w:divsChild>
        <w:div w:id="135875411">
          <w:marLeft w:val="547"/>
          <w:marRight w:val="0"/>
          <w:marTop w:val="96"/>
          <w:marBottom w:val="0"/>
          <w:divBdr>
            <w:top w:val="none" w:sz="0" w:space="0" w:color="auto"/>
            <w:left w:val="none" w:sz="0" w:space="0" w:color="auto"/>
            <w:bottom w:val="none" w:sz="0" w:space="0" w:color="auto"/>
            <w:right w:val="none" w:sz="0" w:space="0" w:color="auto"/>
          </w:divBdr>
        </w:div>
        <w:div w:id="2015525946">
          <w:marLeft w:val="1166"/>
          <w:marRight w:val="0"/>
          <w:marTop w:val="86"/>
          <w:marBottom w:val="0"/>
          <w:divBdr>
            <w:top w:val="none" w:sz="0" w:space="0" w:color="auto"/>
            <w:left w:val="none" w:sz="0" w:space="0" w:color="auto"/>
            <w:bottom w:val="none" w:sz="0" w:space="0" w:color="auto"/>
            <w:right w:val="none" w:sz="0" w:space="0" w:color="auto"/>
          </w:divBdr>
        </w:div>
        <w:div w:id="529804294">
          <w:marLeft w:val="1627"/>
          <w:marRight w:val="0"/>
          <w:marTop w:val="77"/>
          <w:marBottom w:val="0"/>
          <w:divBdr>
            <w:top w:val="none" w:sz="0" w:space="0" w:color="auto"/>
            <w:left w:val="none" w:sz="0" w:space="0" w:color="auto"/>
            <w:bottom w:val="none" w:sz="0" w:space="0" w:color="auto"/>
            <w:right w:val="none" w:sz="0" w:space="0" w:color="auto"/>
          </w:divBdr>
        </w:div>
        <w:div w:id="204634744">
          <w:marLeft w:val="2074"/>
          <w:marRight w:val="0"/>
          <w:marTop w:val="67"/>
          <w:marBottom w:val="0"/>
          <w:divBdr>
            <w:top w:val="none" w:sz="0" w:space="0" w:color="auto"/>
            <w:left w:val="none" w:sz="0" w:space="0" w:color="auto"/>
            <w:bottom w:val="none" w:sz="0" w:space="0" w:color="auto"/>
            <w:right w:val="none" w:sz="0" w:space="0" w:color="auto"/>
          </w:divBdr>
        </w:div>
        <w:div w:id="566838043">
          <w:marLeft w:val="2074"/>
          <w:marRight w:val="0"/>
          <w:marTop w:val="67"/>
          <w:marBottom w:val="0"/>
          <w:divBdr>
            <w:top w:val="none" w:sz="0" w:space="0" w:color="auto"/>
            <w:left w:val="none" w:sz="0" w:space="0" w:color="auto"/>
            <w:bottom w:val="none" w:sz="0" w:space="0" w:color="auto"/>
            <w:right w:val="none" w:sz="0" w:space="0" w:color="auto"/>
          </w:divBdr>
        </w:div>
        <w:div w:id="404568933">
          <w:marLeft w:val="1627"/>
          <w:marRight w:val="0"/>
          <w:marTop w:val="77"/>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884556613">
      <w:bodyDiv w:val="1"/>
      <w:marLeft w:val="0"/>
      <w:marRight w:val="0"/>
      <w:marTop w:val="0"/>
      <w:marBottom w:val="0"/>
      <w:divBdr>
        <w:top w:val="none" w:sz="0" w:space="0" w:color="auto"/>
        <w:left w:val="none" w:sz="0" w:space="0" w:color="auto"/>
        <w:bottom w:val="none" w:sz="0" w:space="0" w:color="auto"/>
        <w:right w:val="none" w:sz="0" w:space="0" w:color="auto"/>
      </w:divBdr>
      <w:divsChild>
        <w:div w:id="1793669875">
          <w:marLeft w:val="547"/>
          <w:marRight w:val="0"/>
          <w:marTop w:val="96"/>
          <w:marBottom w:val="0"/>
          <w:divBdr>
            <w:top w:val="none" w:sz="0" w:space="0" w:color="auto"/>
            <w:left w:val="none" w:sz="0" w:space="0" w:color="auto"/>
            <w:bottom w:val="none" w:sz="0" w:space="0" w:color="auto"/>
            <w:right w:val="none" w:sz="0" w:space="0" w:color="auto"/>
          </w:divBdr>
        </w:div>
        <w:div w:id="770861573">
          <w:marLeft w:val="1166"/>
          <w:marRight w:val="0"/>
          <w:marTop w:val="86"/>
          <w:marBottom w:val="0"/>
          <w:divBdr>
            <w:top w:val="none" w:sz="0" w:space="0" w:color="auto"/>
            <w:left w:val="none" w:sz="0" w:space="0" w:color="auto"/>
            <w:bottom w:val="none" w:sz="0" w:space="0" w:color="auto"/>
            <w:right w:val="none" w:sz="0" w:space="0" w:color="auto"/>
          </w:divBdr>
        </w:div>
        <w:div w:id="250160161">
          <w:marLeft w:val="1166"/>
          <w:marRight w:val="0"/>
          <w:marTop w:val="86"/>
          <w:marBottom w:val="0"/>
          <w:divBdr>
            <w:top w:val="none" w:sz="0" w:space="0" w:color="auto"/>
            <w:left w:val="none" w:sz="0" w:space="0" w:color="auto"/>
            <w:bottom w:val="none" w:sz="0" w:space="0" w:color="auto"/>
            <w:right w:val="none" w:sz="0" w:space="0" w:color="auto"/>
          </w:divBdr>
        </w:div>
        <w:div w:id="44136421">
          <w:marLeft w:val="547"/>
          <w:marRight w:val="0"/>
          <w:marTop w:val="96"/>
          <w:marBottom w:val="0"/>
          <w:divBdr>
            <w:top w:val="none" w:sz="0" w:space="0" w:color="auto"/>
            <w:left w:val="none" w:sz="0" w:space="0" w:color="auto"/>
            <w:bottom w:val="none" w:sz="0" w:space="0" w:color="auto"/>
            <w:right w:val="none" w:sz="0" w:space="0" w:color="auto"/>
          </w:divBdr>
        </w:div>
        <w:div w:id="1323696396">
          <w:marLeft w:val="1166"/>
          <w:marRight w:val="0"/>
          <w:marTop w:val="86"/>
          <w:marBottom w:val="0"/>
          <w:divBdr>
            <w:top w:val="none" w:sz="0" w:space="0" w:color="auto"/>
            <w:left w:val="none" w:sz="0" w:space="0" w:color="auto"/>
            <w:bottom w:val="none" w:sz="0" w:space="0" w:color="auto"/>
            <w:right w:val="none" w:sz="0" w:space="0" w:color="auto"/>
          </w:divBdr>
        </w:div>
        <w:div w:id="1408382855">
          <w:marLeft w:val="1627"/>
          <w:marRight w:val="0"/>
          <w:marTop w:val="77"/>
          <w:marBottom w:val="0"/>
          <w:divBdr>
            <w:top w:val="none" w:sz="0" w:space="0" w:color="auto"/>
            <w:left w:val="none" w:sz="0" w:space="0" w:color="auto"/>
            <w:bottom w:val="none" w:sz="0" w:space="0" w:color="auto"/>
            <w:right w:val="none" w:sz="0" w:space="0" w:color="auto"/>
          </w:divBdr>
        </w:div>
        <w:div w:id="1431969657">
          <w:marLeft w:val="1166"/>
          <w:marRight w:val="0"/>
          <w:marTop w:val="86"/>
          <w:marBottom w:val="0"/>
          <w:divBdr>
            <w:top w:val="none" w:sz="0" w:space="0" w:color="auto"/>
            <w:left w:val="none" w:sz="0" w:space="0" w:color="auto"/>
            <w:bottom w:val="none" w:sz="0" w:space="0" w:color="auto"/>
            <w:right w:val="none" w:sz="0" w:space="0" w:color="auto"/>
          </w:divBdr>
        </w:div>
        <w:div w:id="931551036">
          <w:marLeft w:val="1627"/>
          <w:marRight w:val="0"/>
          <w:marTop w:val="77"/>
          <w:marBottom w:val="0"/>
          <w:divBdr>
            <w:top w:val="none" w:sz="0" w:space="0" w:color="auto"/>
            <w:left w:val="none" w:sz="0" w:space="0" w:color="auto"/>
            <w:bottom w:val="none" w:sz="0" w:space="0" w:color="auto"/>
            <w:right w:val="none" w:sz="0" w:space="0" w:color="auto"/>
          </w:divBdr>
        </w:div>
        <w:div w:id="1709455890">
          <w:marLeft w:val="1166"/>
          <w:marRight w:val="0"/>
          <w:marTop w:val="86"/>
          <w:marBottom w:val="0"/>
          <w:divBdr>
            <w:top w:val="none" w:sz="0" w:space="0" w:color="auto"/>
            <w:left w:val="none" w:sz="0" w:space="0" w:color="auto"/>
            <w:bottom w:val="none" w:sz="0" w:space="0" w:color="auto"/>
            <w:right w:val="none" w:sz="0" w:space="0" w:color="auto"/>
          </w:divBdr>
        </w:div>
      </w:divsChild>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2.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5.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6.xml><?xml version="1.0" encoding="utf-8"?>
<ds:datastoreItem xmlns:ds="http://schemas.openxmlformats.org/officeDocument/2006/customXml" ds:itemID="{848AAA43-96E2-496F-97C3-2D9097786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2009-04-22T01:01:00Z</cp:lastPrinted>
  <dcterms:created xsi:type="dcterms:W3CDTF">2017-09-11T16:53:00Z</dcterms:created>
  <dcterms:modified xsi:type="dcterms:W3CDTF">2017-09-11T16:53:00Z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