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04215C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7B5841">
        <w:rPr>
          <w:noProof w:val="0"/>
          <w:sz w:val="24"/>
          <w:szCs w:val="24"/>
        </w:rPr>
        <w:t>WG4</w:t>
      </w:r>
      <w:r w:rsidR="00936071">
        <w:rPr>
          <w:noProof w:val="0"/>
          <w:sz w:val="24"/>
          <w:szCs w:val="24"/>
        </w:rPr>
        <w:t xml:space="preserve"> </w:t>
      </w:r>
      <w:r w:rsidR="004006E8">
        <w:rPr>
          <w:noProof w:val="0"/>
          <w:sz w:val="24"/>
          <w:szCs w:val="24"/>
        </w:rPr>
        <w:t>NR #2</w:t>
      </w:r>
      <w:r w:rsidRPr="00B266B0">
        <w:rPr>
          <w:bCs/>
          <w:noProof w:val="0"/>
          <w:sz w:val="24"/>
          <w:szCs w:val="24"/>
        </w:rPr>
        <w:tab/>
      </w:r>
      <w:r w:rsidR="00800E89" w:rsidRPr="00800E89">
        <w:rPr>
          <w:bCs/>
          <w:noProof w:val="0"/>
          <w:sz w:val="24"/>
          <w:szCs w:val="24"/>
        </w:rPr>
        <w:t>R4-1706791</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C07778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3A96" w:rsidRPr="00893199">
        <w:rPr>
          <w:rFonts w:ascii="Arial" w:hAnsi="Arial" w:cs="Arial"/>
          <w:b/>
          <w:bCs/>
          <w:sz w:val="24"/>
        </w:rPr>
        <w:t>Measurement capabilities for LTE-NR</w:t>
      </w:r>
      <w:r w:rsidR="00553A96">
        <w:rPr>
          <w:rFonts w:ascii="Arial" w:hAnsi="Arial" w:cs="Arial"/>
          <w:b/>
          <w:bCs/>
          <w:sz w:val="24"/>
        </w:rPr>
        <w:t xml:space="preserve"> </w:t>
      </w:r>
    </w:p>
    <w:p w14:paraId="5754595B" w14:textId="5923B8CA" w:rsidR="00AF6184" w:rsidRPr="00B266B0" w:rsidRDefault="00AF6184" w:rsidP="00AF618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696A">
        <w:rPr>
          <w:rFonts w:cs="Arial"/>
          <w:b/>
          <w:bCs/>
          <w:sz w:val="24"/>
          <w:lang w:eastAsia="ja-JP"/>
        </w:rPr>
        <w:t>3.5.8</w:t>
      </w:r>
    </w:p>
    <w:p w14:paraId="7DF86DB4" w14:textId="7C6AA24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3E959691" w14:textId="77777777" w:rsidR="00CD4C7B" w:rsidRPr="006E13D1" w:rsidRDefault="00CD4C7B" w:rsidP="00CD4C7B">
      <w:pPr>
        <w:pStyle w:val="Heading1"/>
      </w:pPr>
      <w:r w:rsidRPr="006E13D1">
        <w:t>1</w:t>
      </w:r>
      <w:r w:rsidRPr="006E13D1">
        <w:tab/>
      </w:r>
      <w:r w:rsidR="0056573F">
        <w:t>Introduction</w:t>
      </w:r>
    </w:p>
    <w:p w14:paraId="7575A14B" w14:textId="21E0D789" w:rsidR="00553A96" w:rsidRDefault="00553A96" w:rsidP="00CD4C7B">
      <w:r>
        <w:t xml:space="preserve">RAN2 has sent an LS </w:t>
      </w:r>
      <w:hyperlink r:id="rId8" w:history="1">
        <w:r w:rsidRPr="00553A96">
          <w:rPr>
            <w:rStyle w:val="Hyperlink"/>
          </w:rPr>
          <w:t>R2-1706140</w:t>
        </w:r>
      </w:hyperlink>
      <w:r>
        <w:t xml:space="preserve"> to RAN4 asking RAN4 to provide feedback on how the measurement capabilities should be defined for the case of LTE-NR DC, (EN-DC). In this contribution, we discuss the </w:t>
      </w:r>
      <w:r w:rsidR="00AD2D42">
        <w:t xml:space="preserve">questions and the </w:t>
      </w:r>
      <w:r>
        <w:t xml:space="preserve">RAN4 </w:t>
      </w:r>
      <w:r w:rsidR="00AD2D42">
        <w:t>aspects</w:t>
      </w:r>
      <w:r>
        <w:t xml:space="preserve"> arising from the LS.</w:t>
      </w:r>
    </w:p>
    <w:p w14:paraId="30EF48A0" w14:textId="77777777" w:rsidR="00893199" w:rsidRDefault="00893199" w:rsidP="00CD4C7B"/>
    <w:p w14:paraId="127ACA6D" w14:textId="7EE9169C" w:rsidR="00CD4C7B" w:rsidRPr="006E13D1" w:rsidRDefault="00CD4C7B" w:rsidP="00CD4C7B">
      <w:pPr>
        <w:pStyle w:val="Heading1"/>
      </w:pPr>
      <w:r w:rsidRPr="006E13D1">
        <w:t>2</w:t>
      </w:r>
      <w:r w:rsidRPr="006E13D1">
        <w:tab/>
      </w:r>
      <w:r w:rsidR="00553A96">
        <w:t xml:space="preserve">Measurement procedures for EN-DC </w:t>
      </w:r>
    </w:p>
    <w:p w14:paraId="56DE0852" w14:textId="49B976EA" w:rsidR="00553A96" w:rsidRDefault="00AD2D42" w:rsidP="00CD4C7B">
      <w:r>
        <w:t>Before discussing the potential replies to the RAN2 questions it is worth discussing the current RAN2 status related to measurements. RAN2</w:t>
      </w:r>
      <w:r w:rsidR="00553A96">
        <w:t xml:space="preserve"> has currently made the following agreements concerning the EN-DC measurements</w:t>
      </w:r>
      <w:r>
        <w:t>, where MN is the master Node (MCG) and SN is the secondary node (SCG)</w:t>
      </w:r>
      <w:r w:rsidR="00553A96">
        <w:t>:</w:t>
      </w:r>
    </w:p>
    <w:p w14:paraId="5C7C5748" w14:textId="08A4A1D7" w:rsidR="00AD2D42" w:rsidRDefault="00553A96" w:rsidP="00553A96">
      <w:pPr>
        <w:pStyle w:val="ListParagraph"/>
        <w:numPr>
          <w:ilvl w:val="0"/>
          <w:numId w:val="5"/>
        </w:numPr>
      </w:pPr>
      <w:r>
        <w:t xml:space="preserve">SN handles the mobility within SCG </w:t>
      </w:r>
      <w:r w:rsidR="00D02C20">
        <w:t>(i.e. change of Sc</w:t>
      </w:r>
      <w:r>
        <w:t>ells</w:t>
      </w:r>
      <w:r w:rsidR="009F10A8">
        <w:t xml:space="preserve"> </w:t>
      </w:r>
      <w:r w:rsidR="00D02C20">
        <w:t xml:space="preserve">within SCG, </w:t>
      </w:r>
      <w:r w:rsidR="009F10A8">
        <w:t>including initiating SN change</w:t>
      </w:r>
      <w:r w:rsidR="00D02C20">
        <w:t xml:space="preserve"> that accomplishes that towards UE</w:t>
      </w:r>
      <w:r w:rsidR="009F10A8">
        <w:t>)</w:t>
      </w:r>
    </w:p>
    <w:p w14:paraId="4D2E2C2F" w14:textId="2EE15B9F" w:rsidR="00553A96" w:rsidRDefault="00AD2D42" w:rsidP="00553A96">
      <w:pPr>
        <w:pStyle w:val="ListParagraph"/>
        <w:numPr>
          <w:ilvl w:val="0"/>
          <w:numId w:val="5"/>
        </w:numPr>
      </w:pPr>
      <w:r>
        <w:t xml:space="preserve">SN </w:t>
      </w:r>
      <w:r w:rsidR="00705350">
        <w:t>does</w:t>
      </w:r>
      <w:r>
        <w:t xml:space="preserve"> </w:t>
      </w:r>
      <w:r w:rsidR="00705350">
        <w:t>n</w:t>
      </w:r>
      <w:r>
        <w:t>o</w:t>
      </w:r>
      <w:r w:rsidR="00705350">
        <w:t>t make any decisions on MN mobility</w:t>
      </w:r>
      <w:r w:rsidR="00D02C20">
        <w:t xml:space="preserve"> (nor can it configure any measurements on MN carriers)</w:t>
      </w:r>
    </w:p>
    <w:p w14:paraId="48C0975A" w14:textId="3778DE1E" w:rsidR="00705350" w:rsidRDefault="00705350" w:rsidP="00553A96">
      <w:pPr>
        <w:pStyle w:val="ListParagraph"/>
        <w:numPr>
          <w:ilvl w:val="0"/>
          <w:numId w:val="5"/>
        </w:numPr>
      </w:pPr>
      <w:r>
        <w:t xml:space="preserve">SN and MN may </w:t>
      </w:r>
      <w:r w:rsidR="00D02C20">
        <w:t xml:space="preserve">both </w:t>
      </w:r>
      <w:r>
        <w:t xml:space="preserve">decide to </w:t>
      </w:r>
      <w:r w:rsidR="00D02C20">
        <w:t>initiate change of the entire SCG (but SN always has the final say which cell ends up as the PSCell)</w:t>
      </w:r>
    </w:p>
    <w:p w14:paraId="3E8482D7" w14:textId="32EDF0E0" w:rsidR="00553A96" w:rsidRDefault="00553A96" w:rsidP="00553A96">
      <w:pPr>
        <w:pStyle w:val="ListParagraph"/>
        <w:numPr>
          <w:ilvl w:val="0"/>
          <w:numId w:val="5"/>
        </w:numPr>
      </w:pPr>
      <w:r>
        <w:t>MN and SN may configure the same measurement objects</w:t>
      </w:r>
      <w:r w:rsidR="00893199">
        <w:t xml:space="preserve"> </w:t>
      </w:r>
      <w:r w:rsidR="00D02C20">
        <w:t xml:space="preserve">for NR </w:t>
      </w:r>
      <w:r w:rsidR="00893199">
        <w:t>(</w:t>
      </w:r>
      <w:r w:rsidR="00D02C20">
        <w:t xml:space="preserve">with </w:t>
      </w:r>
      <w:r w:rsidR="00893199">
        <w:t xml:space="preserve">some coordination </w:t>
      </w:r>
      <w:r w:rsidR="00D02C20">
        <w:t xml:space="preserve">that </w:t>
      </w:r>
      <w:r w:rsidR="00893199">
        <w:t>might happen)</w:t>
      </w:r>
      <w:r w:rsidRPr="00800E89">
        <w:rPr>
          <w:highlight w:val="yellow"/>
        </w:rPr>
        <w:t xml:space="preserve"> </w:t>
      </w:r>
    </w:p>
    <w:p w14:paraId="61CAE1C7" w14:textId="7B7D1B0D" w:rsidR="00553A96" w:rsidRDefault="00553A96" w:rsidP="00553A96">
      <w:r>
        <w:t xml:space="preserve">The LS contains the following questions to RAN4: </w:t>
      </w:r>
    </w:p>
    <w:tbl>
      <w:tblPr>
        <w:tblStyle w:val="TableGrid"/>
        <w:tblW w:w="0" w:type="auto"/>
        <w:tblLook w:val="04A0" w:firstRow="1" w:lastRow="0" w:firstColumn="1" w:lastColumn="0" w:noHBand="0" w:noVBand="1"/>
      </w:tblPr>
      <w:tblGrid>
        <w:gridCol w:w="9631"/>
      </w:tblGrid>
      <w:tr w:rsidR="00553A96" w14:paraId="464104DA" w14:textId="77777777" w:rsidTr="00553A96">
        <w:tc>
          <w:tcPr>
            <w:tcW w:w="9631" w:type="dxa"/>
          </w:tcPr>
          <w:p w14:paraId="4764009A" w14:textId="77777777" w:rsidR="00553A96" w:rsidRPr="00553A96" w:rsidRDefault="00553A96" w:rsidP="00553A96">
            <w:pPr>
              <w:pStyle w:val="B1"/>
              <w:ind w:left="0" w:firstLine="0"/>
              <w:rPr>
                <w:b/>
              </w:rPr>
            </w:pPr>
            <w:r w:rsidRPr="00553A96">
              <w:rPr>
                <w:b/>
              </w:rPr>
              <w:t>Q1:</w:t>
            </w:r>
            <w:r w:rsidRPr="00553A96">
              <w:rPr>
                <w:b/>
              </w:rPr>
              <w:tab/>
            </w:r>
            <w:r w:rsidRPr="00553A96">
              <w:rPr>
                <w:b/>
              </w:rPr>
              <w:tab/>
              <w:t>Will RAN4 specify UE requirements on;</w:t>
            </w:r>
          </w:p>
          <w:p w14:paraId="6277FE57" w14:textId="77777777" w:rsidR="00553A96" w:rsidRPr="00553A96" w:rsidRDefault="00553A96" w:rsidP="00553A96">
            <w:pPr>
              <w:pStyle w:val="B1"/>
              <w:numPr>
                <w:ilvl w:val="0"/>
                <w:numId w:val="7"/>
              </w:numPr>
              <w:spacing w:after="0"/>
              <w:jc w:val="both"/>
              <w:rPr>
                <w:rFonts w:eastAsia="SimSun"/>
                <w:b/>
                <w:lang w:val="en-US" w:eastAsia="zh-CN"/>
              </w:rPr>
            </w:pPr>
            <w:r w:rsidRPr="00553A96">
              <w:rPr>
                <w:b/>
              </w:rPr>
              <w:t>the total number of measurable objects across LTE and NR?</w:t>
            </w:r>
            <w:r w:rsidRPr="00553A96">
              <w:rPr>
                <w:rFonts w:eastAsia="SimSun"/>
                <w:b/>
                <w:lang w:val="en-US" w:eastAsia="zh-CN"/>
              </w:rPr>
              <w:t xml:space="preserve"> </w:t>
            </w:r>
          </w:p>
          <w:p w14:paraId="30654D1D" w14:textId="77777777" w:rsidR="00553A96" w:rsidRPr="00553A96" w:rsidRDefault="00553A96" w:rsidP="00553A96">
            <w:pPr>
              <w:pStyle w:val="B1"/>
              <w:numPr>
                <w:ilvl w:val="0"/>
                <w:numId w:val="7"/>
              </w:numPr>
              <w:spacing w:after="0"/>
              <w:jc w:val="both"/>
              <w:rPr>
                <w:b/>
              </w:rPr>
            </w:pPr>
            <w:r w:rsidRPr="00553A96">
              <w:rPr>
                <w:b/>
              </w:rPr>
              <w:t>the total number of configurable measurement events across LTE and NR?</w:t>
            </w:r>
          </w:p>
          <w:p w14:paraId="394C0E87" w14:textId="77777777" w:rsidR="00553A96" w:rsidRPr="00553A96" w:rsidRDefault="00553A96" w:rsidP="00553A96">
            <w:pPr>
              <w:pStyle w:val="Header"/>
              <w:rPr>
                <w:rFonts w:ascii="Times New Roman" w:hAnsi="Times New Roman"/>
                <w:sz w:val="20"/>
              </w:rPr>
            </w:pPr>
          </w:p>
          <w:p w14:paraId="35D62557" w14:textId="77777777" w:rsidR="00553A96" w:rsidRPr="00553A96" w:rsidRDefault="00553A96" w:rsidP="00553A96">
            <w:pPr>
              <w:pStyle w:val="Header"/>
              <w:ind w:left="711" w:hangingChars="354" w:hanging="711"/>
              <w:rPr>
                <w:rFonts w:ascii="Times New Roman" w:hAnsi="Times New Roman"/>
                <w:sz w:val="20"/>
              </w:rPr>
            </w:pPr>
            <w:r w:rsidRPr="00553A96">
              <w:rPr>
                <w:rFonts w:ascii="Times New Roman" w:hAnsi="Times New Roman"/>
                <w:sz w:val="20"/>
              </w:rPr>
              <w:t>Q2:</w:t>
            </w:r>
            <w:r w:rsidRPr="00553A96">
              <w:rPr>
                <w:rFonts w:ascii="Times New Roman" w:hAnsi="Times New Roman"/>
                <w:sz w:val="2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73633B57" w14:textId="77777777" w:rsidR="00553A96" w:rsidRPr="00553A96" w:rsidRDefault="00553A96" w:rsidP="00553A96">
            <w:pPr>
              <w:pStyle w:val="Header"/>
              <w:ind w:left="711" w:hangingChars="354" w:hanging="711"/>
              <w:rPr>
                <w:rFonts w:ascii="Times New Roman" w:hAnsi="Times New Roman"/>
                <w:sz w:val="20"/>
              </w:rPr>
            </w:pPr>
          </w:p>
          <w:p w14:paraId="40E87669" w14:textId="77777777" w:rsidR="00553A96" w:rsidRPr="00553A96" w:rsidRDefault="00553A96" w:rsidP="00553A96">
            <w:pPr>
              <w:pStyle w:val="Header"/>
              <w:ind w:left="720" w:hanging="720"/>
              <w:rPr>
                <w:rFonts w:ascii="Times New Roman" w:hAnsi="Times New Roman"/>
                <w:sz w:val="20"/>
              </w:rPr>
            </w:pPr>
            <w:r w:rsidRPr="00553A96">
              <w:rPr>
                <w:rFonts w:ascii="Times New Roman" w:hAnsi="Times New Roman"/>
                <w:sz w:val="20"/>
              </w:rPr>
              <w:t>Q3:</w:t>
            </w:r>
            <w:r w:rsidRPr="00553A96">
              <w:rPr>
                <w:rFonts w:ascii="Times New Roman" w:hAnsi="Times New Roman"/>
                <w:sz w:val="20"/>
              </w:rPr>
              <w:tab/>
              <w:t xml:space="preserve">Would the answer to Q2 be dependent on differences in configuration of the measurement object? </w:t>
            </w:r>
          </w:p>
          <w:p w14:paraId="31137316" w14:textId="77777777" w:rsidR="00553A96" w:rsidRPr="00553A96" w:rsidRDefault="00553A96" w:rsidP="00553A96">
            <w:pPr>
              <w:pStyle w:val="Header"/>
              <w:ind w:left="711" w:hangingChars="354" w:hanging="711"/>
              <w:rPr>
                <w:rFonts w:ascii="Times New Roman" w:hAnsi="Times New Roman"/>
                <w:sz w:val="20"/>
              </w:rPr>
            </w:pPr>
          </w:p>
          <w:p w14:paraId="5232DDC5" w14:textId="77777777" w:rsidR="00553A96" w:rsidRPr="00553A96" w:rsidRDefault="00553A96" w:rsidP="00553A96">
            <w:pPr>
              <w:pStyle w:val="Header"/>
              <w:ind w:left="720" w:hanging="720"/>
              <w:rPr>
                <w:rFonts w:ascii="Times New Roman" w:hAnsi="Times New Roman"/>
                <w:sz w:val="20"/>
              </w:rPr>
            </w:pPr>
            <w:r w:rsidRPr="00553A96">
              <w:rPr>
                <w:rFonts w:ascii="Times New Roman" w:hAnsi="Times New Roman"/>
                <w:sz w:val="20"/>
              </w:rPr>
              <w:t>Q4:</w:t>
            </w:r>
            <w:r w:rsidRPr="00553A96">
              <w:rPr>
                <w:rFonts w:ascii="Times New Roman" w:hAnsi="Times New Roman"/>
                <w:sz w:val="20"/>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14:paraId="0472B30D" w14:textId="77777777" w:rsidR="00553A96" w:rsidRPr="00553A96" w:rsidRDefault="00553A96" w:rsidP="00553A96">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For example, the parameters included in E-UTRA measurement object are listed in Annex.</w:t>
            </w:r>
          </w:p>
          <w:p w14:paraId="3F4B9D17" w14:textId="77777777" w:rsidR="00553A96" w:rsidRPr="00553A96" w:rsidRDefault="00553A96" w:rsidP="00553A96">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Any other parameters to be specified for NR, if any.</w:t>
            </w:r>
          </w:p>
          <w:p w14:paraId="52D64B01" w14:textId="77777777" w:rsidR="00553A96" w:rsidRPr="00553A96" w:rsidRDefault="00553A96" w:rsidP="00553A96">
            <w:pPr>
              <w:pStyle w:val="Header"/>
              <w:rPr>
                <w:rFonts w:ascii="Times New Roman" w:hAnsi="Times New Roman"/>
                <w:sz w:val="20"/>
              </w:rPr>
            </w:pPr>
          </w:p>
          <w:p w14:paraId="011964EA" w14:textId="36975A01" w:rsidR="00553A96" w:rsidRPr="00553A96" w:rsidRDefault="00553A96" w:rsidP="00553A96">
            <w:pPr>
              <w:pStyle w:val="Header"/>
              <w:ind w:left="720" w:hanging="720"/>
              <w:rPr>
                <w:rFonts w:cs="Arial"/>
              </w:rPr>
            </w:pPr>
            <w:r w:rsidRPr="00553A96">
              <w:rPr>
                <w:rFonts w:ascii="Times New Roman" w:hAnsi="Times New Roman"/>
                <w:sz w:val="20"/>
              </w:rPr>
              <w:t>Q5:</w:t>
            </w:r>
            <w:r w:rsidRPr="00553A96">
              <w:rPr>
                <w:rFonts w:ascii="Times New Roman" w:hAnsi="Times New Roman"/>
                <w:sz w:val="20"/>
              </w:rPr>
              <w:tab/>
              <w:t>In addition to Q1, will RAN4 specify additional UE requirements for which the UE requirement across inter-RATs is not the union of the one for each RAT (like the number of measurable carriers)?</w:t>
            </w:r>
          </w:p>
        </w:tc>
      </w:tr>
    </w:tbl>
    <w:p w14:paraId="0983CCF1" w14:textId="05B69F40" w:rsidR="00553A96" w:rsidRDefault="00553A96" w:rsidP="00553A96"/>
    <w:p w14:paraId="4A0814B2" w14:textId="4DEF3EE0" w:rsidR="00705350" w:rsidRDefault="00E73A2B" w:rsidP="00553A96">
      <w:r>
        <w:t>The questions are touching on several partly connected issues, but can be roughly categorized as follows:</w:t>
      </w:r>
    </w:p>
    <w:p w14:paraId="6E4BFCAD" w14:textId="7C89859B" w:rsidR="00E73A2B" w:rsidRDefault="00E73A2B" w:rsidP="00E73A2B">
      <w:pPr>
        <w:pStyle w:val="ListParagraph"/>
        <w:numPr>
          <w:ilvl w:val="0"/>
          <w:numId w:val="10"/>
        </w:numPr>
      </w:pPr>
      <w:r>
        <w:lastRenderedPageBreak/>
        <w:t>How will RAN4 define measurement requirements for LTE-NR operation? (Q1, Q5)</w:t>
      </w:r>
    </w:p>
    <w:p w14:paraId="0D3C29C7" w14:textId="6D3EA241" w:rsidR="00E73A2B" w:rsidRDefault="009F10A8" w:rsidP="00E73A2B">
      <w:pPr>
        <w:pStyle w:val="ListParagraph"/>
        <w:numPr>
          <w:ilvl w:val="0"/>
          <w:numId w:val="10"/>
        </w:numPr>
      </w:pPr>
      <w:r>
        <w:t>How d</w:t>
      </w:r>
      <w:r w:rsidR="00E73A2B">
        <w:t xml:space="preserve">o </w:t>
      </w:r>
      <w:r>
        <w:t xml:space="preserve">the </w:t>
      </w:r>
      <w:r w:rsidR="00E73A2B">
        <w:t>requirements for measurements configured by SN depend on measurements configured by MN? (Q2, Q4)</w:t>
      </w:r>
    </w:p>
    <w:p w14:paraId="3D1613D2" w14:textId="66C1ED0D" w:rsidR="00E73A2B" w:rsidRDefault="00E73A2B" w:rsidP="00E73A2B">
      <w:pPr>
        <w:pStyle w:val="ListParagraph"/>
        <w:numPr>
          <w:ilvl w:val="0"/>
          <w:numId w:val="10"/>
        </w:numPr>
      </w:pPr>
      <w:r>
        <w:t>How are measurement requirements affected if the MN and SN do not coordinate what UE is asked to measure? (Q3)</w:t>
      </w:r>
    </w:p>
    <w:p w14:paraId="38AFFE24" w14:textId="77777777" w:rsidR="00893199" w:rsidRDefault="00893199" w:rsidP="00800E89"/>
    <w:p w14:paraId="5FF0E443" w14:textId="79383805" w:rsidR="00CD4C7B" w:rsidRPr="006E13D1" w:rsidRDefault="00CD4C7B" w:rsidP="00CD4C7B">
      <w:pPr>
        <w:pStyle w:val="Heading1"/>
      </w:pPr>
      <w:r w:rsidRPr="006E13D1">
        <w:t>3</w:t>
      </w:r>
      <w:r w:rsidRPr="006E13D1">
        <w:tab/>
      </w:r>
      <w:r w:rsidR="00553A96">
        <w:t>Measurements for EN-DC</w:t>
      </w:r>
      <w:r w:rsidRPr="006E13D1">
        <w:t xml:space="preserve"> </w:t>
      </w:r>
    </w:p>
    <w:p w14:paraId="3771C9CA" w14:textId="06772AA1" w:rsidR="00CD4C7B" w:rsidRPr="006E13D1" w:rsidRDefault="00CD4C7B" w:rsidP="00CD4C7B">
      <w:pPr>
        <w:pStyle w:val="Heading2"/>
      </w:pPr>
      <w:r w:rsidRPr="006E13D1">
        <w:t>3.1</w:t>
      </w:r>
      <w:r w:rsidRPr="006E13D1">
        <w:tab/>
      </w:r>
      <w:r w:rsidR="00553A96">
        <w:t>Measurements configured by MN</w:t>
      </w:r>
    </w:p>
    <w:p w14:paraId="6504CE58" w14:textId="0D05EA2F" w:rsidR="00E73A2B" w:rsidRDefault="00E73A2B" w:rsidP="00CD4C7B">
      <w:r>
        <w:t xml:space="preserve">MN will </w:t>
      </w:r>
      <w:r w:rsidR="00D02C20">
        <w:t xml:space="preserve">contain </w:t>
      </w:r>
      <w:r>
        <w:t xml:space="preserve">the </w:t>
      </w:r>
      <w:r w:rsidR="00D02C20">
        <w:t xml:space="preserve">PCell </w:t>
      </w:r>
      <w:r>
        <w:t xml:space="preserve">where UE initially operates, </w:t>
      </w:r>
      <w:r w:rsidR="000763CF">
        <w:t xml:space="preserve">and </w:t>
      </w:r>
      <w:r>
        <w:t>it will always be possible that MN has configure</w:t>
      </w:r>
      <w:r w:rsidR="000763CF">
        <w:t>s</w:t>
      </w:r>
      <w:r>
        <w:t xml:space="preserve"> measurements of NR carriers</w:t>
      </w:r>
      <w:r w:rsidR="000763CF">
        <w:t>.</w:t>
      </w:r>
      <w:r>
        <w:t xml:space="preserve"> In </w:t>
      </w:r>
      <w:r w:rsidR="000763CF">
        <w:t xml:space="preserve">a </w:t>
      </w:r>
      <w:r>
        <w:t xml:space="preserve">typical case, </w:t>
      </w:r>
      <w:r w:rsidR="000763CF">
        <w:t xml:space="preserve">when eNB </w:t>
      </w:r>
      <w:r>
        <w:t>receiv</w:t>
      </w:r>
      <w:r w:rsidR="000763CF">
        <w:t>es</w:t>
      </w:r>
      <w:r>
        <w:t xml:space="preserve"> measurements of suitable NR cells i</w:t>
      </w:r>
      <w:r w:rsidR="000763CF">
        <w:t>t</w:t>
      </w:r>
      <w:r>
        <w:t xml:space="preserve"> triggers MN to start the </w:t>
      </w:r>
      <w:r w:rsidR="000763CF">
        <w:t xml:space="preserve">initial </w:t>
      </w:r>
      <w:r w:rsidR="00D02C20">
        <w:t xml:space="preserve">setup of </w:t>
      </w:r>
      <w:r>
        <w:t>EN-DC operation</w:t>
      </w:r>
      <w:r w:rsidR="000763CF">
        <w:t xml:space="preserve"> </w:t>
      </w:r>
      <w:r w:rsidR="00D02C20">
        <w:t>(</w:t>
      </w:r>
      <w:r w:rsidR="000763CF">
        <w:t>if</w:t>
      </w:r>
      <w:r w:rsidR="00D02C20">
        <w:t>/</w:t>
      </w:r>
      <w:r w:rsidR="000763CF">
        <w:t>when needed</w:t>
      </w:r>
      <w:r w:rsidR="00D02C20">
        <w:t>)</w:t>
      </w:r>
      <w:r w:rsidR="000763CF">
        <w:t>.</w:t>
      </w:r>
    </w:p>
    <w:p w14:paraId="03DD79C9" w14:textId="0F9A93DC" w:rsidR="00E73A2B" w:rsidRDefault="00E73A2B" w:rsidP="00CD4C7B">
      <w:r w:rsidRPr="00E73A2B">
        <w:rPr>
          <w:b/>
        </w:rPr>
        <w:t>Observation 1:</w:t>
      </w:r>
      <w:r>
        <w:t xml:space="preserve"> MN will always be able to configure both LTE measurements as well as NR measurements.</w:t>
      </w:r>
    </w:p>
    <w:p w14:paraId="285AC5B2" w14:textId="342C4494" w:rsidR="00E73A2B" w:rsidRDefault="00E73A2B" w:rsidP="00CD4C7B">
      <w:r>
        <w:t xml:space="preserve">Once the EN-DC configuration is </w:t>
      </w:r>
      <w:r w:rsidR="00AB27C4">
        <w:t>running, RAN2 assumes that some form of measurement coordination is performed.</w:t>
      </w:r>
      <w:r w:rsidR="000763CF">
        <w:t xml:space="preserve"> Once the NR P</w:t>
      </w:r>
      <w:r w:rsidR="00D02C20">
        <w:t>S</w:t>
      </w:r>
      <w:r w:rsidR="000763CF">
        <w:t>Cell is configured</w:t>
      </w:r>
      <w:r w:rsidR="00D02C20">
        <w:t>,</w:t>
      </w:r>
      <w:r w:rsidR="000763CF">
        <w:t xml:space="preserve"> </w:t>
      </w:r>
      <w:r w:rsidR="00D02C20">
        <w:t xml:space="preserve">UE will perform </w:t>
      </w:r>
      <w:r w:rsidR="000763CF">
        <w:t xml:space="preserve">intra-frequency measurements on that NR carrier </w:t>
      </w:r>
      <w:r w:rsidR="00321074">
        <w:t>(</w:t>
      </w:r>
      <w:r w:rsidR="00D02C20">
        <w:t xml:space="preserve">assuming </w:t>
      </w:r>
      <w:r w:rsidR="00321074">
        <w:t>RAN4 follow</w:t>
      </w:r>
      <w:r w:rsidR="00D02C20">
        <w:t>s the</w:t>
      </w:r>
      <w:r w:rsidR="00321074">
        <w:t xml:space="preserve"> E-UTRAN approach) </w:t>
      </w:r>
      <w:r w:rsidR="000763CF">
        <w:t xml:space="preserve">and there is no longer a need for inter-RAT measurements on same carrier. </w:t>
      </w:r>
      <w:r w:rsidR="00321074">
        <w:t>It</w:t>
      </w:r>
      <w:r w:rsidR="000763CF">
        <w:t xml:space="preserve"> is however still possible</w:t>
      </w:r>
      <w:r w:rsidR="00321074">
        <w:t xml:space="preserve"> that MN keeps the Inter-RAT measurements active</w:t>
      </w:r>
      <w:r w:rsidR="000763CF">
        <w:t xml:space="preserve">. </w:t>
      </w:r>
      <w:r w:rsidR="00AB27C4">
        <w:t xml:space="preserve"> </w:t>
      </w:r>
    </w:p>
    <w:p w14:paraId="1D51F9D0" w14:textId="2B70B166" w:rsidR="00AB27C4" w:rsidRDefault="00AB27C4" w:rsidP="00CD4C7B">
      <w:r w:rsidRPr="00AB27C4">
        <w:rPr>
          <w:b/>
        </w:rPr>
        <w:t>Proposal 1:</w:t>
      </w:r>
      <w:r>
        <w:t xml:space="preserve"> </w:t>
      </w:r>
      <w:r w:rsidR="009F10A8">
        <w:t xml:space="preserve">Once EN-DC configuration is running, </w:t>
      </w:r>
      <w:r w:rsidR="000763CF">
        <w:t>i.e. P</w:t>
      </w:r>
      <w:r w:rsidR="00D02C20">
        <w:t>S</w:t>
      </w:r>
      <w:r w:rsidR="000763CF">
        <w:t>Cell has been</w:t>
      </w:r>
      <w:r>
        <w:t xml:space="preserve"> configured </w:t>
      </w:r>
      <w:r w:rsidR="000763CF">
        <w:t>, the</w:t>
      </w:r>
      <w:r>
        <w:t xml:space="preserve"> corresponding </w:t>
      </w:r>
      <w:r w:rsidR="000763CF">
        <w:t>measurements</w:t>
      </w:r>
      <w:r>
        <w:t xml:space="preserve"> </w:t>
      </w:r>
      <w:r w:rsidR="000763CF">
        <w:t>o</w:t>
      </w:r>
      <w:r>
        <w:t>n NR side are considered as intra-frequency from measurement requirement viewpoint.</w:t>
      </w:r>
    </w:p>
    <w:p w14:paraId="1EEB1256" w14:textId="1D525B37" w:rsidR="00914446" w:rsidRDefault="00914446" w:rsidP="00CD4C7B">
      <w:r>
        <w:t>At this point</w:t>
      </w:r>
      <w:r w:rsidR="00321074">
        <w:t>, when the EN-DC is up running,</w:t>
      </w:r>
      <w:r>
        <w:t xml:space="preserve"> SN is at least performing intra-frequency measurement on the P</w:t>
      </w:r>
      <w:r w:rsidR="00D02C20">
        <w:t>S</w:t>
      </w:r>
      <w:r>
        <w:t>Cell carrier, while MN might still have inter-RAT measurement configured for the same NR carrier.</w:t>
      </w:r>
    </w:p>
    <w:p w14:paraId="517E669A" w14:textId="77777777" w:rsidR="00321074" w:rsidRDefault="00321074" w:rsidP="00CD4C7B"/>
    <w:p w14:paraId="5A7E381B" w14:textId="200D5D2C" w:rsidR="00CD4C7B" w:rsidRPr="006E13D1" w:rsidRDefault="00CD4C7B" w:rsidP="00CD4C7B">
      <w:pPr>
        <w:pStyle w:val="Heading2"/>
      </w:pPr>
      <w:r w:rsidRPr="006E13D1">
        <w:t>3.2</w:t>
      </w:r>
      <w:r w:rsidRPr="006E13D1">
        <w:tab/>
      </w:r>
      <w:r w:rsidR="00553A96">
        <w:t>Measurements configured by SN</w:t>
      </w:r>
    </w:p>
    <w:p w14:paraId="79ED49B6" w14:textId="414FB832" w:rsidR="00D70F9D" w:rsidRDefault="00914446" w:rsidP="00CD4C7B">
      <w:r>
        <w:t>F</w:t>
      </w:r>
      <w:r w:rsidR="00D70F9D">
        <w:t xml:space="preserve">or the EN-DC, it has been decided that the SN will handle the intra-SN mobility </w:t>
      </w:r>
      <w:r w:rsidR="00D02C20">
        <w:t>independently from MN</w:t>
      </w:r>
      <w:r w:rsidR="00D70F9D">
        <w:t xml:space="preserve">. This means that </w:t>
      </w:r>
      <w:r w:rsidR="00705350">
        <w:t xml:space="preserve">the SN will </w:t>
      </w:r>
      <w:r>
        <w:t>configure</w:t>
      </w:r>
      <w:r w:rsidR="00705350">
        <w:t xml:space="preserve"> measurements relate</w:t>
      </w:r>
      <w:r>
        <w:t>d</w:t>
      </w:r>
      <w:r w:rsidR="00705350">
        <w:t xml:space="preserve"> to NR</w:t>
      </w:r>
      <w:r>
        <w:t xml:space="preserve"> (</w:t>
      </w:r>
      <w:r w:rsidR="00D02C20">
        <w:t xml:space="preserve">since NR is the SN in EN-DC, i.e. NR NSA </w:t>
      </w:r>
      <w:r>
        <w:t>option 3)</w:t>
      </w:r>
      <w:r w:rsidR="00705350">
        <w:t xml:space="preserve">, to be used for </w:t>
      </w:r>
      <w:r>
        <w:t>mobility among the configured</w:t>
      </w:r>
      <w:r w:rsidR="00705350">
        <w:t xml:space="preserve"> carriers.</w:t>
      </w:r>
    </w:p>
    <w:p w14:paraId="44011534" w14:textId="0BD2E369" w:rsidR="00705350" w:rsidRDefault="00705350" w:rsidP="00CD4C7B">
      <w:r w:rsidRPr="000349A8">
        <w:rPr>
          <w:b/>
        </w:rPr>
        <w:t>Observa</w:t>
      </w:r>
      <w:r w:rsidR="000349A8" w:rsidRPr="000349A8">
        <w:rPr>
          <w:b/>
        </w:rPr>
        <w:t>tion</w:t>
      </w:r>
      <w:r w:rsidR="007E5665">
        <w:rPr>
          <w:b/>
        </w:rPr>
        <w:t xml:space="preserve"> 2</w:t>
      </w:r>
      <w:r w:rsidRPr="000349A8">
        <w:rPr>
          <w:b/>
        </w:rPr>
        <w:t>:</w:t>
      </w:r>
      <w:r>
        <w:t xml:space="preserve"> SN may </w:t>
      </w:r>
      <w:r w:rsidR="00914446">
        <w:t xml:space="preserve">configure UE </w:t>
      </w:r>
      <w:r>
        <w:t xml:space="preserve">to </w:t>
      </w:r>
      <w:r w:rsidR="00914446">
        <w:t>perform</w:t>
      </w:r>
      <w:r>
        <w:t xml:space="preserve"> inter-frequency measurements</w:t>
      </w:r>
      <w:r w:rsidR="000349A8">
        <w:t xml:space="preserve"> </w:t>
      </w:r>
      <w:r w:rsidR="00914446">
        <w:t>for the purpose of mobility or CA</w:t>
      </w:r>
      <w:r w:rsidR="00D02C20">
        <w:t xml:space="preserve"> between NR frequencies</w:t>
      </w:r>
      <w:r w:rsidR="000349A8">
        <w:t>.</w:t>
      </w:r>
    </w:p>
    <w:p w14:paraId="56E55B7B" w14:textId="03A29900" w:rsidR="00914446" w:rsidRDefault="00914446" w:rsidP="00CD4C7B">
      <w:r>
        <w:t xml:space="preserve">Once UE is configured by SN to perform inter-frequency measurements </w:t>
      </w:r>
      <w:r w:rsidR="00D02C20">
        <w:t xml:space="preserve">it </w:t>
      </w:r>
      <w:r>
        <w:t xml:space="preserve">will act accordingly. </w:t>
      </w:r>
      <w:r w:rsidR="00321074">
        <w:t>Additionally, i</w:t>
      </w:r>
      <w:r>
        <w:t>t is assumed that UE will be required to perform intra-frequency measurements on the P</w:t>
      </w:r>
      <w:r w:rsidR="00D02C20">
        <w:t>S</w:t>
      </w:r>
      <w:r>
        <w:t xml:space="preserve">Cell as is known from LTE. As phase1 focuses on </w:t>
      </w:r>
      <w:r w:rsidR="00D02C20">
        <w:t xml:space="preserve">EN-DC (i.e. NR NSA </w:t>
      </w:r>
      <w:r>
        <w:t>option 3</w:t>
      </w:r>
      <w:r w:rsidR="00D02C20">
        <w:t>)</w:t>
      </w:r>
      <w:r>
        <w:t xml:space="preserve"> it is not necessary to discuss inter-RAT measurements configured by the SN.</w:t>
      </w:r>
    </w:p>
    <w:p w14:paraId="6E8EDDB8" w14:textId="77777777" w:rsidR="00AB27C4" w:rsidRDefault="00AB27C4" w:rsidP="00CD4C7B"/>
    <w:p w14:paraId="7B183599" w14:textId="63BF5C17" w:rsidR="00553A96" w:rsidRPr="006E13D1" w:rsidRDefault="00553A96" w:rsidP="00553A96">
      <w:pPr>
        <w:pStyle w:val="Heading2"/>
      </w:pPr>
      <w:r w:rsidRPr="006E13D1">
        <w:t>3.</w:t>
      </w:r>
      <w:r>
        <w:t>3</w:t>
      </w:r>
      <w:r w:rsidRPr="006E13D1">
        <w:tab/>
      </w:r>
      <w:r w:rsidR="007F2AF2">
        <w:t>C</w:t>
      </w:r>
      <w:r>
        <w:t xml:space="preserve">onsistency </w:t>
      </w:r>
      <w:r w:rsidR="007F2AF2">
        <w:t>of measurement objects</w:t>
      </w:r>
    </w:p>
    <w:p w14:paraId="115F70D6" w14:textId="4AE031C9" w:rsidR="00712482" w:rsidRDefault="000349A8" w:rsidP="00553A96">
      <w:r>
        <w:t xml:space="preserve">RAN2 concluded that the measurement objects need to be consistent across EUTRAN and NR – this </w:t>
      </w:r>
      <w:r w:rsidR="00914446">
        <w:t>i</w:t>
      </w:r>
      <w:r>
        <w:t xml:space="preserve">s to ensure </w:t>
      </w:r>
      <w:r w:rsidR="00BF68B1">
        <w:t xml:space="preserve">that the </w:t>
      </w:r>
      <w:r>
        <w:t>UE is not required to do substantially different physical layer</w:t>
      </w:r>
      <w:r w:rsidR="004D12FD">
        <w:t xml:space="preserve"> procedures for the measurements.</w:t>
      </w:r>
    </w:p>
    <w:p w14:paraId="551B6D6D" w14:textId="64046866" w:rsidR="00893199" w:rsidRDefault="00712482">
      <w:r>
        <w:t xml:space="preserve">However, in LTE, </w:t>
      </w:r>
      <w:r w:rsidR="007E5665">
        <w:t xml:space="preserve">a </w:t>
      </w:r>
      <w:r>
        <w:t xml:space="preserve">UE </w:t>
      </w:r>
      <w:r w:rsidR="007E5665">
        <w:t xml:space="preserve">that </w:t>
      </w:r>
      <w:r>
        <w:t xml:space="preserve">is measuring </w:t>
      </w:r>
      <w:r w:rsidR="00BF68B1">
        <w:t>a</w:t>
      </w:r>
      <w:r>
        <w:t xml:space="preserve"> carrier can measure different </w:t>
      </w:r>
      <w:r w:rsidR="00BF68B1">
        <w:t xml:space="preserve">intra-frequency </w:t>
      </w:r>
      <w:r>
        <w:t xml:space="preserve">cells and different measurement quantities without </w:t>
      </w:r>
      <w:r w:rsidR="00BF68B1">
        <w:t>significant additional complexity</w:t>
      </w:r>
      <w:r>
        <w:t xml:space="preserve">. </w:t>
      </w:r>
      <w:r w:rsidR="00BF68B1">
        <w:t>M</w:t>
      </w:r>
      <w:r w:rsidR="007E5665">
        <w:t xml:space="preserve">ostly </w:t>
      </w:r>
      <w:r w:rsidR="00BF68B1">
        <w:t xml:space="preserve">this is </w:t>
      </w:r>
      <w:r w:rsidR="007E5665">
        <w:t xml:space="preserve">a matter of post-processing </w:t>
      </w:r>
      <w:r w:rsidR="00BF68B1">
        <w:t xml:space="preserve">of </w:t>
      </w:r>
      <w:r w:rsidR="007E5665">
        <w:t xml:space="preserve">the </w:t>
      </w:r>
      <w:r w:rsidR="00BF68B1">
        <w:t xml:space="preserve">measurement </w:t>
      </w:r>
      <w:r w:rsidR="007E5665">
        <w:t xml:space="preserve">data. Therefore, if the LTE-configured and NR-configured measurement objects are consistent (in the sense that </w:t>
      </w:r>
      <w:r w:rsidR="00BF68B1">
        <w:t xml:space="preserve">the </w:t>
      </w:r>
      <w:r w:rsidR="007E5665">
        <w:t xml:space="preserve">UE is measuring the </w:t>
      </w:r>
      <w:r w:rsidR="00321074">
        <w:t xml:space="preserve">same </w:t>
      </w:r>
      <w:r w:rsidR="00BF68B1">
        <w:t>object</w:t>
      </w:r>
      <w:r w:rsidR="007E5665">
        <w:t xml:space="preserve">), the UE shall be able to perform those measurements according to </w:t>
      </w:r>
      <w:r w:rsidR="00485D7A">
        <w:t xml:space="preserve">the </w:t>
      </w:r>
      <w:r w:rsidR="007E5665">
        <w:t xml:space="preserve">NR requirements. </w:t>
      </w:r>
      <w:r w:rsidR="00BF68B1">
        <w:t xml:space="preserve">This is addressed </w:t>
      </w:r>
      <w:r w:rsidR="00893199">
        <w:t xml:space="preserve">more details </w:t>
      </w:r>
      <w:r w:rsidR="00BF68B1">
        <w:t>in our paper [</w:t>
      </w:r>
      <w:r w:rsidR="00893199">
        <w:t>3</w:t>
      </w:r>
      <w:r w:rsidR="00BF68B1">
        <w:t xml:space="preserve">]. </w:t>
      </w:r>
    </w:p>
    <w:p w14:paraId="2E50177F" w14:textId="540DF2F2" w:rsidR="00703386" w:rsidRDefault="00703386"/>
    <w:p w14:paraId="349F6603" w14:textId="71BB6647" w:rsidR="00667B8F" w:rsidRPr="006E13D1" w:rsidRDefault="00667B8F" w:rsidP="00667B8F">
      <w:pPr>
        <w:pStyle w:val="Heading1"/>
      </w:pPr>
      <w:r>
        <w:lastRenderedPageBreak/>
        <w:t>4</w:t>
      </w:r>
      <w:r w:rsidRPr="006E13D1">
        <w:tab/>
      </w:r>
      <w:r>
        <w:t>Addressing the questions in the LS</w:t>
      </w:r>
      <w:r w:rsidRPr="006E13D1">
        <w:t xml:space="preserve"> </w:t>
      </w:r>
    </w:p>
    <w:p w14:paraId="6C6886D6" w14:textId="6A1C6A05" w:rsidR="004170E3" w:rsidRDefault="00321074" w:rsidP="00553A96">
      <w:r>
        <w:t xml:space="preserve">Based on basic principles agreed in RAN2 </w:t>
      </w:r>
      <w:r w:rsidR="004170E3">
        <w:t xml:space="preserve">we next discuss the questions in the LS. It should be mentioned that the replies are based on the fact that RAN4 is focusing the discussion </w:t>
      </w:r>
      <w:r w:rsidR="00D02C20">
        <w:t xml:space="preserve">EN-DC (i.e. NR </w:t>
      </w:r>
      <w:r w:rsidR="004170E3">
        <w:t>NSA option 3</w:t>
      </w:r>
      <w:r w:rsidR="00D02C20">
        <w:t>)</w:t>
      </w:r>
      <w:r w:rsidR="004170E3">
        <w:t xml:space="preserve">. I.e. we only consider NR objects and objects pointing NR carriers as </w:t>
      </w:r>
      <w:r w:rsidR="0063172F">
        <w:t xml:space="preserve">EN-DC (i.e. NR </w:t>
      </w:r>
      <w:r w:rsidR="004170E3">
        <w:t>NSA option 3</w:t>
      </w:r>
      <w:r w:rsidR="0063172F">
        <w:t>)</w:t>
      </w:r>
      <w:r w:rsidR="004170E3">
        <w:t xml:space="preserve"> does not include inter-RAT measurements from NR. We also assume that if objects are pointing to same carrier frequency, this object cannot at the same time be an LTE carrier if configured from LTE (MN) and an NR carrier if configured from NR (SN).</w:t>
      </w:r>
    </w:p>
    <w:p w14:paraId="1058E37D" w14:textId="5E72926F" w:rsidR="00667B8F" w:rsidRDefault="004170E3" w:rsidP="00553A96">
      <w:r>
        <w:t xml:space="preserve"> </w:t>
      </w:r>
      <w:r w:rsidR="00667B8F">
        <w:t>Following we look at the each question in the LS and give our preferred reply.</w:t>
      </w:r>
    </w:p>
    <w:p w14:paraId="6266BE6E" w14:textId="77777777" w:rsidR="00667B8F" w:rsidRPr="00553A96" w:rsidRDefault="00667B8F" w:rsidP="00667B8F">
      <w:pPr>
        <w:pStyle w:val="B1"/>
        <w:ind w:left="0" w:firstLine="0"/>
        <w:rPr>
          <w:b/>
        </w:rPr>
      </w:pPr>
      <w:r w:rsidRPr="00553A96">
        <w:rPr>
          <w:b/>
        </w:rPr>
        <w:t>Q1:</w:t>
      </w:r>
      <w:r w:rsidRPr="00553A96">
        <w:rPr>
          <w:b/>
        </w:rPr>
        <w:tab/>
      </w:r>
      <w:r w:rsidRPr="00553A96">
        <w:rPr>
          <w:b/>
        </w:rPr>
        <w:tab/>
        <w:t>Will RAN4 specify UE requirements on;</w:t>
      </w:r>
    </w:p>
    <w:p w14:paraId="1AA470A2" w14:textId="77777777" w:rsidR="00667B8F" w:rsidRPr="00553A96" w:rsidRDefault="00667B8F" w:rsidP="00667B8F">
      <w:pPr>
        <w:pStyle w:val="B1"/>
        <w:numPr>
          <w:ilvl w:val="0"/>
          <w:numId w:val="11"/>
        </w:numPr>
        <w:spacing w:after="0"/>
        <w:jc w:val="both"/>
        <w:rPr>
          <w:rFonts w:eastAsia="SimSun"/>
          <w:b/>
          <w:lang w:val="en-US" w:eastAsia="zh-CN"/>
        </w:rPr>
      </w:pPr>
      <w:r w:rsidRPr="00553A96">
        <w:rPr>
          <w:b/>
        </w:rPr>
        <w:t>the total number of measurable objects across LTE and NR?</w:t>
      </w:r>
      <w:r w:rsidRPr="00553A96">
        <w:rPr>
          <w:rFonts w:eastAsia="SimSun"/>
          <w:b/>
          <w:lang w:val="en-US" w:eastAsia="zh-CN"/>
        </w:rPr>
        <w:t xml:space="preserve"> </w:t>
      </w:r>
    </w:p>
    <w:p w14:paraId="3181B531" w14:textId="77777777" w:rsidR="00667B8F" w:rsidRPr="00553A96" w:rsidRDefault="00667B8F" w:rsidP="00667B8F">
      <w:pPr>
        <w:pStyle w:val="B1"/>
        <w:numPr>
          <w:ilvl w:val="0"/>
          <w:numId w:val="11"/>
        </w:numPr>
        <w:spacing w:after="0"/>
        <w:jc w:val="both"/>
        <w:rPr>
          <w:b/>
        </w:rPr>
      </w:pPr>
      <w:r w:rsidRPr="00553A96">
        <w:rPr>
          <w:b/>
        </w:rPr>
        <w:t>the total number of configurable measurement events across LTE and NR?</w:t>
      </w:r>
    </w:p>
    <w:p w14:paraId="5810F76F" w14:textId="77777777" w:rsidR="00667B8F" w:rsidRPr="00553A96" w:rsidRDefault="00667B8F" w:rsidP="00667B8F">
      <w:pPr>
        <w:pStyle w:val="Header"/>
        <w:rPr>
          <w:rFonts w:ascii="Times New Roman" w:hAnsi="Times New Roman"/>
          <w:sz w:val="20"/>
        </w:rPr>
      </w:pPr>
    </w:p>
    <w:p w14:paraId="697C58C7" w14:textId="262FB296" w:rsidR="00667B8F" w:rsidRDefault="00667B8F" w:rsidP="00553A96">
      <w:r>
        <w:t>Reply:</w:t>
      </w:r>
    </w:p>
    <w:p w14:paraId="0EE2DF50" w14:textId="69139794" w:rsidR="00667B8F" w:rsidRDefault="00667B8F" w:rsidP="00800E89">
      <w:pPr>
        <w:pStyle w:val="ListParagraph"/>
        <w:numPr>
          <w:ilvl w:val="0"/>
          <w:numId w:val="12"/>
        </w:numPr>
      </w:pPr>
      <w:r>
        <w:t>Yes, RAN4 will discuss and decide on the total number of measurable object across LTE and NR.</w:t>
      </w:r>
    </w:p>
    <w:p w14:paraId="7C1CC424" w14:textId="05A863C1" w:rsidR="00667B8F" w:rsidRDefault="00667B8F" w:rsidP="00800E89">
      <w:pPr>
        <w:pStyle w:val="ListParagraph"/>
        <w:numPr>
          <w:ilvl w:val="0"/>
          <w:numId w:val="12"/>
        </w:numPr>
      </w:pPr>
      <w:r>
        <w:t>Yes, RAN4 will discuss and decide on the total number of measurement events across LTE and NR.</w:t>
      </w:r>
    </w:p>
    <w:p w14:paraId="2B8844F2" w14:textId="28079B50" w:rsidR="00667B8F" w:rsidRDefault="00667B8F" w:rsidP="00553A96"/>
    <w:p w14:paraId="3557EF9C" w14:textId="77777777" w:rsidR="00667B8F" w:rsidRPr="00553A96" w:rsidRDefault="00667B8F" w:rsidP="00667B8F">
      <w:pPr>
        <w:pStyle w:val="Header"/>
        <w:ind w:left="711" w:hangingChars="354" w:hanging="711"/>
        <w:rPr>
          <w:rFonts w:ascii="Times New Roman" w:hAnsi="Times New Roman"/>
          <w:sz w:val="20"/>
        </w:rPr>
      </w:pPr>
      <w:r w:rsidRPr="00553A96">
        <w:rPr>
          <w:rFonts w:ascii="Times New Roman" w:hAnsi="Times New Roman"/>
          <w:sz w:val="20"/>
        </w:rPr>
        <w:t>Q2:</w:t>
      </w:r>
      <w:r w:rsidRPr="00553A96">
        <w:rPr>
          <w:rFonts w:ascii="Times New Roman" w:hAnsi="Times New Roman"/>
          <w:sz w:val="20"/>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14:paraId="649E5AEC" w14:textId="77777777" w:rsidR="00667B8F" w:rsidRDefault="00667B8F" w:rsidP="00553A96"/>
    <w:p w14:paraId="76746B7C" w14:textId="71159913" w:rsidR="00667B8F" w:rsidRDefault="00667B8F" w:rsidP="00553A96">
      <w:r>
        <w:t>Reply:</w:t>
      </w:r>
    </w:p>
    <w:p w14:paraId="6D63AEF3" w14:textId="49ABCCC8" w:rsidR="00667B8F" w:rsidRDefault="00667B8F" w:rsidP="00553A96">
      <w:r>
        <w:t>In case both MN and SN configures the UE measure the same object in NR this will only count as one measurement object.</w:t>
      </w:r>
    </w:p>
    <w:p w14:paraId="5EDBE49A" w14:textId="465C6E42" w:rsidR="00667B8F" w:rsidRDefault="00667B8F" w:rsidP="00553A96"/>
    <w:p w14:paraId="69E2FC66" w14:textId="77777777" w:rsidR="0031312E" w:rsidRPr="00553A96" w:rsidRDefault="0031312E" w:rsidP="0031312E">
      <w:pPr>
        <w:pStyle w:val="Header"/>
        <w:ind w:left="720" w:hanging="720"/>
        <w:rPr>
          <w:rFonts w:ascii="Times New Roman" w:hAnsi="Times New Roman"/>
          <w:sz w:val="20"/>
        </w:rPr>
      </w:pPr>
      <w:r w:rsidRPr="00553A96">
        <w:rPr>
          <w:rFonts w:ascii="Times New Roman" w:hAnsi="Times New Roman"/>
          <w:sz w:val="20"/>
        </w:rPr>
        <w:t>Q3:</w:t>
      </w:r>
      <w:r w:rsidRPr="00553A96">
        <w:rPr>
          <w:rFonts w:ascii="Times New Roman" w:hAnsi="Times New Roman"/>
          <w:sz w:val="20"/>
        </w:rPr>
        <w:tab/>
        <w:t xml:space="preserve">Would the answer to Q2 be dependent on differences in configuration of the measurement object? </w:t>
      </w:r>
    </w:p>
    <w:p w14:paraId="62FEC4F9" w14:textId="43F9B962" w:rsidR="00667B8F" w:rsidRDefault="00667B8F" w:rsidP="00553A96"/>
    <w:p w14:paraId="5E49C6C2" w14:textId="79C031DF" w:rsidR="0031312E" w:rsidRDefault="0031312E" w:rsidP="00553A96">
      <w:r>
        <w:t>Reply:</w:t>
      </w:r>
    </w:p>
    <w:p w14:paraId="5D4639DC" w14:textId="62122103" w:rsidR="0031312E" w:rsidRDefault="0031312E" w:rsidP="00553A96">
      <w:r>
        <w:t>No, if the measurement object is the same but the measurement configuration is different it would still count as one object.</w:t>
      </w:r>
    </w:p>
    <w:p w14:paraId="14C00C31" w14:textId="28BA7A44" w:rsidR="0031312E" w:rsidRDefault="0031312E" w:rsidP="00553A96"/>
    <w:p w14:paraId="0B9DDC5A" w14:textId="77777777" w:rsidR="0031312E" w:rsidRPr="00553A96" w:rsidRDefault="0031312E" w:rsidP="0031312E">
      <w:pPr>
        <w:pStyle w:val="Header"/>
        <w:ind w:left="720" w:hanging="720"/>
        <w:rPr>
          <w:rFonts w:ascii="Times New Roman" w:hAnsi="Times New Roman"/>
          <w:sz w:val="20"/>
        </w:rPr>
      </w:pPr>
      <w:r w:rsidRPr="00553A96">
        <w:rPr>
          <w:rFonts w:ascii="Times New Roman" w:hAnsi="Times New Roman"/>
          <w:sz w:val="20"/>
        </w:rPr>
        <w:t>Q4:</w:t>
      </w:r>
      <w:r w:rsidRPr="00553A96">
        <w:rPr>
          <w:rFonts w:ascii="Times New Roman" w:hAnsi="Times New Roman"/>
          <w:sz w:val="20"/>
        </w:rPr>
        <w:tab/>
        <w:t>If MN and SN are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measurement object?</w:t>
      </w:r>
    </w:p>
    <w:p w14:paraId="421B10EF" w14:textId="77777777" w:rsidR="0031312E" w:rsidRPr="00553A96" w:rsidRDefault="0031312E" w:rsidP="0031312E">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For example, the parameters included in E-UTRA measurement object are listed in Annex.</w:t>
      </w:r>
    </w:p>
    <w:p w14:paraId="2365690F" w14:textId="77777777" w:rsidR="0031312E" w:rsidRPr="00553A96" w:rsidRDefault="0031312E" w:rsidP="0031312E">
      <w:pPr>
        <w:pStyle w:val="Header"/>
        <w:widowControl/>
        <w:numPr>
          <w:ilvl w:val="0"/>
          <w:numId w:val="6"/>
        </w:numPr>
        <w:overflowPunct/>
        <w:autoSpaceDE/>
        <w:autoSpaceDN/>
        <w:adjustRightInd/>
        <w:textAlignment w:val="auto"/>
        <w:rPr>
          <w:rFonts w:ascii="Times New Roman" w:hAnsi="Times New Roman"/>
          <w:sz w:val="20"/>
        </w:rPr>
      </w:pPr>
      <w:r w:rsidRPr="00553A96">
        <w:rPr>
          <w:rFonts w:ascii="Times New Roman" w:hAnsi="Times New Roman"/>
          <w:sz w:val="20"/>
        </w:rPr>
        <w:t>Any other parameters to be specified for NR, if any.</w:t>
      </w:r>
    </w:p>
    <w:p w14:paraId="14F144CB" w14:textId="047C1BD3" w:rsidR="0031312E" w:rsidRDefault="0031312E" w:rsidP="00553A96"/>
    <w:p w14:paraId="28442A0C" w14:textId="543460A8" w:rsidR="0031312E" w:rsidRDefault="0031312E" w:rsidP="00553A96">
      <w:r>
        <w:t>Reply:</w:t>
      </w:r>
    </w:p>
    <w:p w14:paraId="786CE90A" w14:textId="798EC80D" w:rsidR="0031312E" w:rsidRDefault="0031312E" w:rsidP="00553A96">
      <w:r>
        <w:t xml:space="preserve">If MN and SN separately configures a measurement object at least </w:t>
      </w:r>
      <w:r w:rsidR="00281B6D">
        <w:t xml:space="preserve">the center frequency </w:t>
      </w:r>
      <w:r w:rsidR="0063172F">
        <w:t xml:space="preserve">of </w:t>
      </w:r>
      <w:r>
        <w:t xml:space="preserve">the measurement object needs to </w:t>
      </w:r>
      <w:r w:rsidR="0063172F">
        <w:t xml:space="preserve">be </w:t>
      </w:r>
      <w:r>
        <w:t xml:space="preserve">the same. RAN4 will still need to discuss further related to other parameters such as S-measure. As RAN4 is only discussing </w:t>
      </w:r>
      <w:r w:rsidR="0063172F">
        <w:t xml:space="preserve">EN-DC (i.e. NR </w:t>
      </w:r>
      <w:r>
        <w:t>NSA option 3</w:t>
      </w:r>
      <w:r w:rsidR="0063172F">
        <w:t>)</w:t>
      </w:r>
      <w:r>
        <w:t xml:space="preserve"> the only objects considered are objects pointing NR carriers.</w:t>
      </w:r>
    </w:p>
    <w:p w14:paraId="35BC81A6" w14:textId="6289C123" w:rsidR="0031312E" w:rsidRDefault="0031312E" w:rsidP="00553A96"/>
    <w:p w14:paraId="59C33A6C" w14:textId="7BA21193" w:rsidR="002E1283" w:rsidRDefault="002E1283" w:rsidP="00553A96">
      <w:pPr>
        <w:rPr>
          <w:b/>
        </w:rPr>
      </w:pPr>
      <w:r w:rsidRPr="00800E89">
        <w:rPr>
          <w:b/>
        </w:rPr>
        <w:t>Q5:</w:t>
      </w:r>
      <w:r w:rsidRPr="00800E89">
        <w:rPr>
          <w:b/>
        </w:rPr>
        <w:tab/>
        <w:t>In addition to Q1, will RAN4 specify additional UE requirements for which the UE requirement across inter-RATs is not the union of the one for each RAT (like the number of measurable carriers)?</w:t>
      </w:r>
    </w:p>
    <w:p w14:paraId="13892FD0" w14:textId="7ECAE99D" w:rsidR="002E1283" w:rsidRDefault="002E1283" w:rsidP="00553A96">
      <w:r>
        <w:t>Reply:</w:t>
      </w:r>
    </w:p>
    <w:p w14:paraId="497132AE" w14:textId="3B6A9CCA" w:rsidR="002E1283" w:rsidRPr="00800E89" w:rsidRDefault="002E1283" w:rsidP="00553A96">
      <w:pPr>
        <w:rPr>
          <w:b/>
        </w:rPr>
      </w:pPr>
      <w:r>
        <w:lastRenderedPageBreak/>
        <w:t xml:space="preserve">RAN4 is currently focusing the work on </w:t>
      </w:r>
      <w:r w:rsidR="0063172F">
        <w:t xml:space="preserve">EN-DC (i.e. NR </w:t>
      </w:r>
      <w:r>
        <w:t>NSA option 3</w:t>
      </w:r>
      <w:r w:rsidR="0063172F">
        <w:t>)</w:t>
      </w:r>
      <w:r>
        <w:t>. What may be specified in the future will be discussed in due time.</w:t>
      </w:r>
    </w:p>
    <w:p w14:paraId="43A12B72" w14:textId="362E1E3C" w:rsidR="00CD4C7B" w:rsidRPr="006E13D1" w:rsidRDefault="00667B8F" w:rsidP="00CD4C7B">
      <w:pPr>
        <w:pStyle w:val="Heading1"/>
      </w:pPr>
      <w:r>
        <w:t>5</w:t>
      </w:r>
      <w:r w:rsidR="00CD4C7B" w:rsidRPr="006E13D1">
        <w:tab/>
      </w:r>
      <w:r w:rsidR="007F2AF2">
        <w:t>Conclusions</w:t>
      </w:r>
    </w:p>
    <w:p w14:paraId="45685EB2" w14:textId="5B203B5A" w:rsidR="004170E3" w:rsidRDefault="004170E3" w:rsidP="00CD4C7B">
      <w:r>
        <w:t xml:space="preserve">In this contribution, we discussed the questions and the RAN4 aspects arising from the LS RAN2 has sent </w:t>
      </w:r>
      <w:r w:rsidR="00C86971">
        <w:t>to RAN4 in</w:t>
      </w:r>
      <w:r>
        <w:t xml:space="preserve"> LS </w:t>
      </w:r>
      <w:hyperlink r:id="rId9" w:history="1">
        <w:r w:rsidRPr="00553A96">
          <w:rPr>
            <w:rStyle w:val="Hyperlink"/>
          </w:rPr>
          <w:t>R2-1706140</w:t>
        </w:r>
      </w:hyperlink>
      <w:r w:rsidR="00C86971">
        <w:rPr>
          <w:rStyle w:val="Hyperlink"/>
        </w:rPr>
        <w:t>.</w:t>
      </w:r>
      <w:r>
        <w:t xml:space="preserve"> </w:t>
      </w:r>
      <w:r w:rsidR="00C86971">
        <w:t>We</w:t>
      </w:r>
      <w:r>
        <w:t xml:space="preserve"> provide </w:t>
      </w:r>
      <w:r w:rsidR="00C86971">
        <w:t>our views on the replies</w:t>
      </w:r>
      <w:r>
        <w:t xml:space="preserve"> on how the measurement capabilities should be defined for the case of LTE-NR DC, (EN-DC). </w:t>
      </w:r>
      <w:r w:rsidR="00C86971">
        <w:t>The replies are based on NSA option 3 assumption.</w:t>
      </w:r>
    </w:p>
    <w:p w14:paraId="6EB2918B" w14:textId="25ED03D3" w:rsidR="00F644A5" w:rsidRDefault="00C86971" w:rsidP="00CD4C7B">
      <w:r>
        <w:t>In [</w:t>
      </w:r>
      <w:r w:rsidR="00893199">
        <w:t>2</w:t>
      </w:r>
      <w:r>
        <w:t>] we have</w:t>
      </w:r>
      <w:r w:rsidR="00F644A5">
        <w:t xml:space="preserve"> draft </w:t>
      </w:r>
      <w:r>
        <w:t xml:space="preserve">LS capturing the </w:t>
      </w:r>
      <w:r w:rsidR="00F644A5">
        <w:t>answers to RAN2 based on the discussion within this paper.</w:t>
      </w:r>
    </w:p>
    <w:p w14:paraId="1D8DE879" w14:textId="77777777" w:rsidR="00D173EF" w:rsidRDefault="00D173EF" w:rsidP="00F644A5">
      <w:pPr>
        <w:pStyle w:val="Heading1"/>
      </w:pPr>
      <w:r>
        <w:t>6</w:t>
      </w:r>
      <w:r>
        <w:tab/>
        <w:t>References</w:t>
      </w:r>
    </w:p>
    <w:p w14:paraId="77D47018" w14:textId="24AA5C47" w:rsidR="00D173EF" w:rsidRDefault="00D173EF" w:rsidP="00D173EF">
      <w:pPr>
        <w:numPr>
          <w:ilvl w:val="0"/>
          <w:numId w:val="13"/>
        </w:numPr>
        <w:overflowPunct w:val="0"/>
        <w:autoSpaceDE w:val="0"/>
        <w:autoSpaceDN w:val="0"/>
        <w:adjustRightInd w:val="0"/>
        <w:spacing w:after="160" w:line="259" w:lineRule="auto"/>
        <w:textAlignment w:val="baseline"/>
        <w:rPr>
          <w:rFonts w:eastAsia="Calibri"/>
          <w:szCs w:val="22"/>
          <w:lang w:val="en-US"/>
        </w:rPr>
      </w:pPr>
      <w:r w:rsidRPr="00800E89">
        <w:rPr>
          <w:rFonts w:eastAsia="Calibri"/>
          <w:szCs w:val="22"/>
          <w:lang w:val="en-US"/>
        </w:rPr>
        <w:t>R2-1706140, LS on UE measurement capabilities across LTE and NR, RAN2</w:t>
      </w:r>
    </w:p>
    <w:p w14:paraId="36A2E80F" w14:textId="4F352333" w:rsidR="006E3832" w:rsidRPr="00ED4AAD" w:rsidRDefault="00893199" w:rsidP="00D173EF">
      <w:pPr>
        <w:numPr>
          <w:ilvl w:val="0"/>
          <w:numId w:val="13"/>
        </w:numPr>
        <w:overflowPunct w:val="0"/>
        <w:autoSpaceDE w:val="0"/>
        <w:autoSpaceDN w:val="0"/>
        <w:adjustRightInd w:val="0"/>
        <w:spacing w:after="160" w:line="259" w:lineRule="auto"/>
        <w:textAlignment w:val="baseline"/>
        <w:rPr>
          <w:rFonts w:eastAsia="Calibri"/>
          <w:szCs w:val="22"/>
          <w:lang w:val="en-US"/>
        </w:rPr>
      </w:pPr>
      <w:r>
        <w:rPr>
          <w:rFonts w:eastAsia="Calibri"/>
          <w:szCs w:val="22"/>
          <w:lang w:val="en-US"/>
        </w:rPr>
        <w:t>R4-</w:t>
      </w:r>
      <w:r w:rsidR="00800E89">
        <w:rPr>
          <w:rFonts w:eastAsia="Calibri"/>
          <w:szCs w:val="22"/>
          <w:lang w:val="en-US"/>
        </w:rPr>
        <w:t>1706792</w:t>
      </w:r>
      <w:r w:rsidR="006E3832">
        <w:rPr>
          <w:rFonts w:eastAsia="Calibri"/>
          <w:szCs w:val="22"/>
          <w:lang w:val="en-US"/>
        </w:rPr>
        <w:t xml:space="preserve">, </w:t>
      </w:r>
      <w:r w:rsidR="00BD7290" w:rsidRPr="00BD7290">
        <w:rPr>
          <w:rFonts w:eastAsia="Calibri"/>
          <w:szCs w:val="22"/>
        </w:rPr>
        <w:t xml:space="preserve">Reply </w:t>
      </w:r>
      <w:r w:rsidR="00BD7290" w:rsidRPr="00BD7290">
        <w:rPr>
          <w:rFonts w:eastAsia="Calibri"/>
          <w:bCs/>
          <w:szCs w:val="22"/>
        </w:rPr>
        <w:t xml:space="preserve">LS </w:t>
      </w:r>
      <w:r w:rsidR="00BD7290" w:rsidRPr="00BD7290">
        <w:rPr>
          <w:rFonts w:eastAsia="Calibri"/>
          <w:bCs/>
          <w:szCs w:val="22"/>
          <w:lang w:val="en-US"/>
        </w:rPr>
        <w:t>on UE measurement capabilities across LTE and NR</w:t>
      </w:r>
    </w:p>
    <w:p w14:paraId="3B66B0CD" w14:textId="44944B3F" w:rsidR="00893199" w:rsidRPr="00800E89" w:rsidRDefault="00893199" w:rsidP="00893199">
      <w:pPr>
        <w:numPr>
          <w:ilvl w:val="0"/>
          <w:numId w:val="13"/>
        </w:numPr>
        <w:overflowPunct w:val="0"/>
        <w:autoSpaceDE w:val="0"/>
        <w:autoSpaceDN w:val="0"/>
        <w:adjustRightInd w:val="0"/>
        <w:spacing w:after="160" w:line="259" w:lineRule="auto"/>
        <w:textAlignment w:val="baseline"/>
        <w:rPr>
          <w:rFonts w:eastAsia="Calibri"/>
          <w:szCs w:val="22"/>
          <w:lang w:val="en-US"/>
        </w:rPr>
      </w:pPr>
      <w:r>
        <w:rPr>
          <w:rFonts w:eastAsia="Calibri"/>
          <w:bCs/>
          <w:szCs w:val="22"/>
          <w:lang w:val="en-US"/>
        </w:rPr>
        <w:t>R4-</w:t>
      </w:r>
      <w:r w:rsidR="00800E89">
        <w:rPr>
          <w:rFonts w:eastAsia="Calibri"/>
          <w:bCs/>
          <w:szCs w:val="22"/>
          <w:lang w:val="en-US"/>
        </w:rPr>
        <w:t>1706793</w:t>
      </w:r>
      <w:r>
        <w:rPr>
          <w:rFonts w:eastAsia="Calibri"/>
          <w:bCs/>
          <w:szCs w:val="22"/>
          <w:lang w:val="en-US"/>
        </w:rPr>
        <w:t xml:space="preserve">, </w:t>
      </w:r>
      <w:r w:rsidRPr="00893199">
        <w:rPr>
          <w:rFonts w:eastAsia="Calibri"/>
          <w:bCs/>
          <w:szCs w:val="22"/>
          <w:lang w:val="en-US"/>
        </w:rPr>
        <w:t>UE Measurement capability</w:t>
      </w:r>
      <w:r>
        <w:rPr>
          <w:rFonts w:eastAsia="Calibri"/>
          <w:bCs/>
          <w:szCs w:val="22"/>
          <w:lang w:val="en-US"/>
        </w:rPr>
        <w:t xml:space="preserve">, </w:t>
      </w:r>
      <w:r w:rsidRPr="00893199">
        <w:rPr>
          <w:rFonts w:eastAsia="Calibri"/>
          <w:bCs/>
          <w:szCs w:val="22"/>
          <w:lang w:val="en-US"/>
        </w:rPr>
        <w:t>Nokia, Alcatel-Lucent Shanghai Bell</w:t>
      </w:r>
    </w:p>
    <w:p w14:paraId="77AECC59" w14:textId="77777777" w:rsidR="00F644A5" w:rsidRDefault="00F644A5" w:rsidP="00F644A5"/>
    <w:sectPr w:rsidR="00F644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F946C" w14:textId="77777777" w:rsidR="00B55689" w:rsidRDefault="00B55689">
      <w:r>
        <w:separator/>
      </w:r>
    </w:p>
  </w:endnote>
  <w:endnote w:type="continuationSeparator" w:id="0">
    <w:p w14:paraId="7227B6B6" w14:textId="77777777" w:rsidR="00B55689" w:rsidRDefault="00B5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21151" w14:textId="77777777" w:rsidR="00B55689" w:rsidRDefault="00B55689">
      <w:r>
        <w:separator/>
      </w:r>
    </w:p>
  </w:footnote>
  <w:footnote w:type="continuationSeparator" w:id="0">
    <w:p w14:paraId="1D2C7F68" w14:textId="77777777" w:rsidR="00B55689" w:rsidRDefault="00B55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0A5144"/>
    <w:multiLevelType w:val="hybridMultilevel"/>
    <w:tmpl w:val="B7BC2D18"/>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5" w15:restartNumberingAfterBreak="0">
    <w:nsid w:val="2E150A2F"/>
    <w:multiLevelType w:val="hybridMultilevel"/>
    <w:tmpl w:val="48F8AA0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5AD613C"/>
    <w:multiLevelType w:val="hybridMultilevel"/>
    <w:tmpl w:val="ADD09F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15:restartNumberingAfterBreak="0">
    <w:nsid w:val="5CF44765"/>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0" w15:restartNumberingAfterBreak="0">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1" w15:restartNumberingAfterBreak="0">
    <w:nsid w:val="7B4B4AB5"/>
    <w:multiLevelType w:val="hybridMultilevel"/>
    <w:tmpl w:val="2510502E"/>
    <w:lvl w:ilvl="0" w:tplc="133C3A9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1"/>
  </w:num>
  <w:num w:numId="6">
    <w:abstractNumId w:val="4"/>
  </w:num>
  <w:num w:numId="7">
    <w:abstractNumId w:val="10"/>
  </w:num>
  <w:num w:numId="8">
    <w:abstractNumId w:val="3"/>
  </w:num>
  <w:num w:numId="9">
    <w:abstractNumId w:val="9"/>
  </w:num>
  <w:num w:numId="10">
    <w:abstractNumId w:val="5"/>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9A8"/>
    <w:rsid w:val="00040095"/>
    <w:rsid w:val="000763CF"/>
    <w:rsid w:val="00080512"/>
    <w:rsid w:val="00090468"/>
    <w:rsid w:val="000B7BCF"/>
    <w:rsid w:val="000C4FAD"/>
    <w:rsid w:val="000C522B"/>
    <w:rsid w:val="000D58AB"/>
    <w:rsid w:val="00112F1A"/>
    <w:rsid w:val="001416CA"/>
    <w:rsid w:val="00145075"/>
    <w:rsid w:val="001741A0"/>
    <w:rsid w:val="00194CD0"/>
    <w:rsid w:val="001B3FCD"/>
    <w:rsid w:val="001B49C9"/>
    <w:rsid w:val="001F168B"/>
    <w:rsid w:val="001F36BC"/>
    <w:rsid w:val="001F7831"/>
    <w:rsid w:val="00204045"/>
    <w:rsid w:val="0022606D"/>
    <w:rsid w:val="002571AB"/>
    <w:rsid w:val="002747EC"/>
    <w:rsid w:val="00280B1E"/>
    <w:rsid w:val="00281B6D"/>
    <w:rsid w:val="002855BF"/>
    <w:rsid w:val="002E1283"/>
    <w:rsid w:val="002F0003"/>
    <w:rsid w:val="002F0D22"/>
    <w:rsid w:val="0031312E"/>
    <w:rsid w:val="003172DC"/>
    <w:rsid w:val="00321074"/>
    <w:rsid w:val="00326069"/>
    <w:rsid w:val="003322C0"/>
    <w:rsid w:val="0035462D"/>
    <w:rsid w:val="003B40AD"/>
    <w:rsid w:val="003C4E37"/>
    <w:rsid w:val="003E16BE"/>
    <w:rsid w:val="004006E8"/>
    <w:rsid w:val="00401855"/>
    <w:rsid w:val="00413C47"/>
    <w:rsid w:val="004170E3"/>
    <w:rsid w:val="00477455"/>
    <w:rsid w:val="00485D7A"/>
    <w:rsid w:val="004D12FD"/>
    <w:rsid w:val="004D3578"/>
    <w:rsid w:val="004D380D"/>
    <w:rsid w:val="004D7D20"/>
    <w:rsid w:val="004E213A"/>
    <w:rsid w:val="00503171"/>
    <w:rsid w:val="00506C28"/>
    <w:rsid w:val="00534DA0"/>
    <w:rsid w:val="00543E6C"/>
    <w:rsid w:val="00553A96"/>
    <w:rsid w:val="00565087"/>
    <w:rsid w:val="0056573F"/>
    <w:rsid w:val="005D2B25"/>
    <w:rsid w:val="00611566"/>
    <w:rsid w:val="006147EB"/>
    <w:rsid w:val="0063172F"/>
    <w:rsid w:val="00646D99"/>
    <w:rsid w:val="00656910"/>
    <w:rsid w:val="00663298"/>
    <w:rsid w:val="00667B8F"/>
    <w:rsid w:val="0068696A"/>
    <w:rsid w:val="006C66D8"/>
    <w:rsid w:val="006D1E24"/>
    <w:rsid w:val="006D71EC"/>
    <w:rsid w:val="006E1417"/>
    <w:rsid w:val="006E3832"/>
    <w:rsid w:val="006F17A8"/>
    <w:rsid w:val="006F6A2C"/>
    <w:rsid w:val="00703386"/>
    <w:rsid w:val="00705350"/>
    <w:rsid w:val="00710201"/>
    <w:rsid w:val="00712482"/>
    <w:rsid w:val="00734A5B"/>
    <w:rsid w:val="00744E76"/>
    <w:rsid w:val="00757D40"/>
    <w:rsid w:val="00773278"/>
    <w:rsid w:val="00781F0F"/>
    <w:rsid w:val="0078727C"/>
    <w:rsid w:val="0079049D"/>
    <w:rsid w:val="0079224E"/>
    <w:rsid w:val="007B18D8"/>
    <w:rsid w:val="007B5841"/>
    <w:rsid w:val="007C095F"/>
    <w:rsid w:val="007E5665"/>
    <w:rsid w:val="007F2AF2"/>
    <w:rsid w:val="00800E89"/>
    <w:rsid w:val="008028A4"/>
    <w:rsid w:val="00813245"/>
    <w:rsid w:val="008768CA"/>
    <w:rsid w:val="00877EF9"/>
    <w:rsid w:val="00880559"/>
    <w:rsid w:val="00893199"/>
    <w:rsid w:val="008B5306"/>
    <w:rsid w:val="008D49C7"/>
    <w:rsid w:val="0090271F"/>
    <w:rsid w:val="00902DB9"/>
    <w:rsid w:val="0090466A"/>
    <w:rsid w:val="00914446"/>
    <w:rsid w:val="00936071"/>
    <w:rsid w:val="00940212"/>
    <w:rsid w:val="00940C0E"/>
    <w:rsid w:val="00942EC2"/>
    <w:rsid w:val="00961B32"/>
    <w:rsid w:val="00970DB3"/>
    <w:rsid w:val="00974BB0"/>
    <w:rsid w:val="00981B3F"/>
    <w:rsid w:val="009A0AF3"/>
    <w:rsid w:val="009B07CD"/>
    <w:rsid w:val="009B51CF"/>
    <w:rsid w:val="009C19E9"/>
    <w:rsid w:val="009F10A8"/>
    <w:rsid w:val="00A07708"/>
    <w:rsid w:val="00A10F02"/>
    <w:rsid w:val="00A204CA"/>
    <w:rsid w:val="00A53724"/>
    <w:rsid w:val="00A82346"/>
    <w:rsid w:val="00A9671C"/>
    <w:rsid w:val="00AA1553"/>
    <w:rsid w:val="00AB27C4"/>
    <w:rsid w:val="00AC41D1"/>
    <w:rsid w:val="00AD2D42"/>
    <w:rsid w:val="00AF6184"/>
    <w:rsid w:val="00B15449"/>
    <w:rsid w:val="00B47FD1"/>
    <w:rsid w:val="00B516BB"/>
    <w:rsid w:val="00B55689"/>
    <w:rsid w:val="00BD7290"/>
    <w:rsid w:val="00BF68B1"/>
    <w:rsid w:val="00C12B51"/>
    <w:rsid w:val="00C1751A"/>
    <w:rsid w:val="00C24650"/>
    <w:rsid w:val="00C33079"/>
    <w:rsid w:val="00C660E7"/>
    <w:rsid w:val="00C83A13"/>
    <w:rsid w:val="00C86971"/>
    <w:rsid w:val="00C9068C"/>
    <w:rsid w:val="00C92967"/>
    <w:rsid w:val="00C9725C"/>
    <w:rsid w:val="00CA3D0C"/>
    <w:rsid w:val="00CA654B"/>
    <w:rsid w:val="00CD4C7B"/>
    <w:rsid w:val="00CF2367"/>
    <w:rsid w:val="00D02C20"/>
    <w:rsid w:val="00D173EF"/>
    <w:rsid w:val="00D70F9D"/>
    <w:rsid w:val="00D738D6"/>
    <w:rsid w:val="00D80795"/>
    <w:rsid w:val="00D854BE"/>
    <w:rsid w:val="00D87E00"/>
    <w:rsid w:val="00D9134D"/>
    <w:rsid w:val="00D96D11"/>
    <w:rsid w:val="00DA00C6"/>
    <w:rsid w:val="00DA7A03"/>
    <w:rsid w:val="00DB1818"/>
    <w:rsid w:val="00DC309B"/>
    <w:rsid w:val="00DC4DA2"/>
    <w:rsid w:val="00E62835"/>
    <w:rsid w:val="00E73A2B"/>
    <w:rsid w:val="00E77645"/>
    <w:rsid w:val="00E83697"/>
    <w:rsid w:val="00EC4A25"/>
    <w:rsid w:val="00ED4AAD"/>
    <w:rsid w:val="00EE2037"/>
    <w:rsid w:val="00F025A2"/>
    <w:rsid w:val="00F07388"/>
    <w:rsid w:val="00F2026E"/>
    <w:rsid w:val="00F2210A"/>
    <w:rsid w:val="00F37743"/>
    <w:rsid w:val="00F54A3D"/>
    <w:rsid w:val="00F54CB0"/>
    <w:rsid w:val="00F644A5"/>
    <w:rsid w:val="00F653B8"/>
    <w:rsid w:val="00F71B89"/>
    <w:rsid w:val="00F7353C"/>
    <w:rsid w:val="00F76F8F"/>
    <w:rsid w:val="00FA1266"/>
    <w:rsid w:val="00FA6E42"/>
    <w:rsid w:val="00FB36FA"/>
    <w:rsid w:val="00FC1192"/>
    <w:rsid w:val="00FE48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633974F4-E943-4E37-AE22-6CD14DA4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553A96"/>
    <w:rPr>
      <w:color w:val="2B579A"/>
      <w:shd w:val="clear" w:color="auto" w:fill="E6E6E6"/>
    </w:rPr>
  </w:style>
  <w:style w:type="paragraph" w:styleId="ListParagraph">
    <w:name w:val="List Paragraph"/>
    <w:basedOn w:val="Normal"/>
    <w:uiPriority w:val="34"/>
    <w:qFormat/>
    <w:rsid w:val="00553A96"/>
    <w:pPr>
      <w:ind w:left="720"/>
      <w:contextualSpacing/>
    </w:pPr>
  </w:style>
  <w:style w:type="table" w:styleId="TableGrid">
    <w:name w:val="Table Grid"/>
    <w:basedOn w:val="TableNormal"/>
    <w:rsid w:val="0055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E5665"/>
    <w:pPr>
      <w:spacing w:after="200"/>
    </w:pPr>
    <w:rPr>
      <w:i/>
      <w:iCs/>
      <w:color w:val="44546A" w:themeColor="text2"/>
      <w:sz w:val="18"/>
      <w:szCs w:val="18"/>
    </w:rPr>
  </w:style>
  <w:style w:type="paragraph" w:styleId="BalloonText">
    <w:name w:val="Balloon Text"/>
    <w:basedOn w:val="Normal"/>
    <w:link w:val="BalloonTextChar"/>
    <w:rsid w:val="00DA00C6"/>
    <w:pPr>
      <w:spacing w:after="0"/>
    </w:pPr>
    <w:rPr>
      <w:rFonts w:ascii="Segoe UI" w:hAnsi="Segoe UI" w:cs="Segoe UI"/>
      <w:sz w:val="18"/>
      <w:szCs w:val="18"/>
    </w:rPr>
  </w:style>
  <w:style w:type="character" w:customStyle="1" w:styleId="BalloonTextChar">
    <w:name w:val="Balloon Text Char"/>
    <w:basedOn w:val="DefaultParagraphFont"/>
    <w:link w:val="BalloonText"/>
    <w:rsid w:val="00DA00C6"/>
    <w:rPr>
      <w:rFonts w:ascii="Segoe UI" w:hAnsi="Segoe UI" w:cs="Segoe UI"/>
      <w:sz w:val="18"/>
      <w:szCs w:val="18"/>
      <w:lang w:eastAsia="en-US"/>
    </w:rPr>
  </w:style>
  <w:style w:type="character" w:styleId="CommentReference">
    <w:name w:val="annotation reference"/>
    <w:basedOn w:val="DefaultParagraphFont"/>
    <w:rsid w:val="00DA00C6"/>
    <w:rPr>
      <w:sz w:val="16"/>
      <w:szCs w:val="16"/>
    </w:rPr>
  </w:style>
  <w:style w:type="paragraph" w:styleId="CommentText">
    <w:name w:val="annotation text"/>
    <w:basedOn w:val="Normal"/>
    <w:link w:val="CommentTextChar"/>
    <w:rsid w:val="00DA00C6"/>
  </w:style>
  <w:style w:type="character" w:customStyle="1" w:styleId="CommentTextChar">
    <w:name w:val="Comment Text Char"/>
    <w:basedOn w:val="DefaultParagraphFont"/>
    <w:link w:val="CommentText"/>
    <w:rsid w:val="00DA00C6"/>
    <w:rPr>
      <w:lang w:eastAsia="en-US"/>
    </w:rPr>
  </w:style>
  <w:style w:type="paragraph" w:styleId="CommentSubject">
    <w:name w:val="annotation subject"/>
    <w:basedOn w:val="CommentText"/>
    <w:next w:val="CommentText"/>
    <w:link w:val="CommentSubjectChar"/>
    <w:rsid w:val="00DA00C6"/>
    <w:rPr>
      <w:b/>
      <w:bCs/>
    </w:rPr>
  </w:style>
  <w:style w:type="character" w:customStyle="1" w:styleId="CommentSubjectChar">
    <w:name w:val="Comment Subject Char"/>
    <w:basedOn w:val="CommentTextChar"/>
    <w:link w:val="CommentSubject"/>
    <w:rsid w:val="00DA00C6"/>
    <w:rPr>
      <w:b/>
      <w:bCs/>
      <w:lang w:eastAsia="en-US"/>
    </w:rPr>
  </w:style>
  <w:style w:type="character" w:styleId="FollowedHyperlink">
    <w:name w:val="FollowedHyperlink"/>
    <w:basedOn w:val="DefaultParagraphFont"/>
    <w:rsid w:val="007922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8/Docs/R2-1706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98/Docs/R2-17061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39E2E-FFCD-4AC9-861B-88348521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cp:lastModifiedBy>
  <cp:revision>2</cp:revision>
  <dcterms:created xsi:type="dcterms:W3CDTF">2017-06-19T18:21:00Z</dcterms:created>
  <dcterms:modified xsi:type="dcterms:W3CDTF">2017-06-19T18:21:00Z</dcterms:modified>
</cp:coreProperties>
</file>