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7594F3" w14:textId="108A1BDF" w:rsidR="006E2CA0" w:rsidRDefault="00083A52" w:rsidP="006E2CA0">
      <w:pPr>
        <w:pStyle w:val="CRCoverPage"/>
        <w:tabs>
          <w:tab w:val="right" w:pos="9639"/>
        </w:tabs>
        <w:spacing w:after="0"/>
        <w:rPr>
          <w:b/>
          <w:i/>
          <w:noProof/>
          <w:sz w:val="28"/>
        </w:rPr>
      </w:pPr>
      <w:bookmarkStart w:id="0" w:name="OLE_LINK1"/>
      <w:bookmarkStart w:id="1" w:name="OLE_LINK3"/>
      <w:bookmarkStart w:id="2" w:name="_Ref244672832"/>
      <w:r w:rsidRPr="00083A52">
        <w:rPr>
          <w:b/>
          <w:noProof/>
          <w:sz w:val="24"/>
        </w:rPr>
        <w:t>3GPP TSG-RAN WG4 Meeting NR#2 Ad Hoc</w:t>
      </w:r>
      <w:r w:rsidR="00A87A19">
        <w:rPr>
          <w:b/>
          <w:noProof/>
          <w:sz w:val="24"/>
        </w:rPr>
        <w:t xml:space="preserve">     </w:t>
      </w:r>
      <w:r w:rsidR="00744C59">
        <w:rPr>
          <w:b/>
          <w:noProof/>
          <w:sz w:val="24"/>
        </w:rPr>
        <w:t xml:space="preserve">      </w:t>
      </w:r>
      <w:r w:rsidR="00784442">
        <w:rPr>
          <w:b/>
          <w:i/>
          <w:noProof/>
          <w:sz w:val="28"/>
        </w:rPr>
        <w:t xml:space="preserve">    </w:t>
      </w:r>
      <w:r w:rsidR="003B052E">
        <w:rPr>
          <w:b/>
          <w:i/>
          <w:noProof/>
          <w:sz w:val="28"/>
        </w:rPr>
        <w:t xml:space="preserve">  </w:t>
      </w:r>
      <w:r w:rsidR="00912B3D">
        <w:rPr>
          <w:b/>
          <w:i/>
          <w:noProof/>
          <w:sz w:val="28"/>
        </w:rPr>
        <w:t xml:space="preserve">                    </w:t>
      </w:r>
      <w:r w:rsidR="005A4670" w:rsidRPr="005A4670">
        <w:rPr>
          <w:b/>
          <w:i/>
          <w:noProof/>
          <w:sz w:val="28"/>
        </w:rPr>
        <w:t>R4-1706716</w:t>
      </w:r>
    </w:p>
    <w:p w14:paraId="76E021E3" w14:textId="5224A803" w:rsidR="006966FB" w:rsidRDefault="00083A52" w:rsidP="00875A1D">
      <w:pPr>
        <w:pStyle w:val="BodyText"/>
        <w:rPr>
          <w:rFonts w:ascii="Arial" w:hAnsi="Arial"/>
          <w:b/>
          <w:noProof/>
          <w:szCs w:val="20"/>
          <w:lang w:val="en-GB"/>
        </w:rPr>
      </w:pPr>
      <w:r w:rsidRPr="00083A52">
        <w:rPr>
          <w:rFonts w:ascii="Arial" w:hAnsi="Arial"/>
          <w:b/>
          <w:noProof/>
          <w:szCs w:val="20"/>
          <w:lang w:val="en-GB"/>
        </w:rPr>
        <w:t>Qingdao, China, 27 - 29 Jun 2017</w:t>
      </w:r>
      <w:bookmarkStart w:id="3" w:name="_GoBack"/>
      <w:bookmarkEnd w:id="3"/>
      <w:r w:rsidR="009D0B0A" w:rsidRPr="009D0B0A">
        <w:rPr>
          <w:rFonts w:ascii="Arial" w:hAnsi="Arial"/>
          <w:b/>
          <w:noProof/>
          <w:szCs w:val="20"/>
          <w:lang w:val="en-GB"/>
        </w:rPr>
        <w:t xml:space="preserve">   </w:t>
      </w:r>
    </w:p>
    <w:p w14:paraId="0F810C16" w14:textId="77777777" w:rsidR="00DE2F23" w:rsidRDefault="00DE2F23" w:rsidP="00875A1D">
      <w:pPr>
        <w:pStyle w:val="BodyText"/>
        <w:rPr>
          <w:rFonts w:eastAsia="SimSun"/>
          <w:b/>
          <w:noProof/>
          <w:lang w:eastAsia="zh-CN"/>
        </w:rPr>
      </w:pPr>
    </w:p>
    <w:p w14:paraId="64B95CF7" w14:textId="77777777" w:rsidR="00B8022D" w:rsidRPr="005C2B50" w:rsidRDefault="00B8022D" w:rsidP="00B8022D">
      <w:pPr>
        <w:pStyle w:val="BodyText"/>
        <w:rPr>
          <w:b/>
        </w:rPr>
      </w:pPr>
      <w:r w:rsidRPr="005C2B50">
        <w:rPr>
          <w:b/>
        </w:rPr>
        <w:t>Source:</w:t>
      </w:r>
      <w:r w:rsidRPr="005C2B50">
        <w:rPr>
          <w:b/>
        </w:rPr>
        <w:tab/>
      </w:r>
      <w:r w:rsidRPr="005C2B50">
        <w:rPr>
          <w:b/>
        </w:rPr>
        <w:tab/>
      </w:r>
      <w:r w:rsidRPr="00213FC6">
        <w:t xml:space="preserve">Ericsson </w:t>
      </w:r>
    </w:p>
    <w:p w14:paraId="363059AE" w14:textId="5FB7B3CD" w:rsidR="00B8022D" w:rsidRPr="005C2B50" w:rsidRDefault="00B8022D" w:rsidP="00B8022D">
      <w:pPr>
        <w:pStyle w:val="BodyText"/>
        <w:ind w:left="720" w:hanging="720"/>
        <w:rPr>
          <w:b/>
        </w:rPr>
      </w:pPr>
      <w:r w:rsidRPr="005C2B50">
        <w:rPr>
          <w:b/>
        </w:rPr>
        <w:t>Title:</w:t>
      </w:r>
      <w:r w:rsidRPr="005C2B50">
        <w:rPr>
          <w:b/>
        </w:rPr>
        <w:tab/>
      </w:r>
      <w:r w:rsidRPr="005C2B50">
        <w:rPr>
          <w:b/>
        </w:rPr>
        <w:tab/>
      </w:r>
      <w:r w:rsidRPr="005C2B50">
        <w:rPr>
          <w:b/>
        </w:rPr>
        <w:tab/>
      </w:r>
      <w:r w:rsidR="005A4670">
        <w:t>R</w:t>
      </w:r>
      <w:r w:rsidR="005C360E" w:rsidRPr="005C360E">
        <w:t>equirements for NR UE timing advance</w:t>
      </w:r>
    </w:p>
    <w:p w14:paraId="77ED3BE7" w14:textId="03E5C555" w:rsidR="00B8022D" w:rsidRPr="005C2B50" w:rsidRDefault="00B8022D" w:rsidP="00B8022D">
      <w:pPr>
        <w:pStyle w:val="BodyText"/>
        <w:rPr>
          <w:b/>
        </w:rPr>
      </w:pPr>
      <w:r w:rsidRPr="005C2B50">
        <w:rPr>
          <w:b/>
        </w:rPr>
        <w:t>Agenda item:</w:t>
      </w:r>
      <w:r w:rsidRPr="005C2B50">
        <w:rPr>
          <w:b/>
        </w:rPr>
        <w:tab/>
      </w:r>
      <w:r w:rsidRPr="005C2B50">
        <w:rPr>
          <w:b/>
        </w:rPr>
        <w:tab/>
      </w:r>
      <w:r w:rsidR="005A4670" w:rsidRPr="005A4670">
        <w:t>3.5.3</w:t>
      </w:r>
    </w:p>
    <w:p w14:paraId="632008FF" w14:textId="771E1B1B" w:rsidR="00B8022D" w:rsidRPr="005C2B50" w:rsidRDefault="00B8022D" w:rsidP="00B8022D">
      <w:pPr>
        <w:pStyle w:val="BodyText"/>
        <w:rPr>
          <w:b/>
        </w:rPr>
      </w:pPr>
      <w:r w:rsidRPr="005C2B50">
        <w:rPr>
          <w:b/>
        </w:rPr>
        <w:t>Document for:</w:t>
      </w:r>
      <w:r w:rsidRPr="005C2B50">
        <w:rPr>
          <w:b/>
        </w:rPr>
        <w:tab/>
      </w:r>
      <w:r w:rsidR="004D506F">
        <w:t>Approval</w:t>
      </w:r>
    </w:p>
    <w:p w14:paraId="5F06170B" w14:textId="77777777" w:rsidR="00B8022D" w:rsidRDefault="00B8022D" w:rsidP="00B8022D">
      <w:pPr>
        <w:pStyle w:val="Heading1"/>
        <w:tabs>
          <w:tab w:val="num" w:pos="432"/>
        </w:tabs>
        <w:ind w:left="432" w:hanging="432"/>
        <w:rPr>
          <w:lang w:val="en-US"/>
        </w:rPr>
      </w:pPr>
      <w:r>
        <w:rPr>
          <w:lang w:val="en-US"/>
        </w:rPr>
        <w:t xml:space="preserve">1 </w:t>
      </w:r>
      <w:r w:rsidRPr="006A67A0">
        <w:rPr>
          <w:lang w:val="en-US"/>
        </w:rPr>
        <w:t>Introduction</w:t>
      </w:r>
    </w:p>
    <w:p w14:paraId="07AEFD3B" w14:textId="72BD39D2" w:rsidR="00213FC6" w:rsidRPr="005C360E" w:rsidRDefault="005C360E" w:rsidP="005C360E">
      <w:pPr>
        <w:jc w:val="both"/>
      </w:pPr>
      <w:r>
        <w:t xml:space="preserve">In this </w:t>
      </w:r>
      <w:r w:rsidR="0060127C">
        <w:t>contribution,</w:t>
      </w:r>
      <w:r>
        <w:t xml:space="preserve"> we continue the discussion regarding timing advance for NR and examine some</w:t>
      </w:r>
      <w:r w:rsidR="00602BF4">
        <w:t xml:space="preserve"> o</w:t>
      </w:r>
      <w:r>
        <w:t>f the observations in [1]</w:t>
      </w:r>
      <w:r w:rsidR="00602BF4">
        <w:t>, when it comes to developing requirements based on RAN1 decisions and comment on initial access and mobility.</w:t>
      </w:r>
    </w:p>
    <w:p w14:paraId="5F357A0D" w14:textId="77777777" w:rsidR="00B8022D" w:rsidRDefault="00B8022D" w:rsidP="00B8022D">
      <w:pPr>
        <w:pStyle w:val="Heading1"/>
        <w:tabs>
          <w:tab w:val="num" w:pos="432"/>
        </w:tabs>
        <w:ind w:left="432" w:hanging="432"/>
        <w:rPr>
          <w:lang w:val="en-US"/>
        </w:rPr>
      </w:pPr>
      <w:r>
        <w:rPr>
          <w:lang w:val="en-US"/>
        </w:rPr>
        <w:t xml:space="preserve">2 </w:t>
      </w:r>
      <w:r w:rsidRPr="006A67A0">
        <w:rPr>
          <w:lang w:val="en-US"/>
        </w:rPr>
        <w:t>Discussion</w:t>
      </w:r>
    </w:p>
    <w:p w14:paraId="219838B7" w14:textId="77777777" w:rsidR="00602BF4" w:rsidRDefault="00602BF4" w:rsidP="00602BF4">
      <w:pPr>
        <w:pStyle w:val="Heading2"/>
        <w:rPr>
          <w:lang w:val="en-US"/>
        </w:rPr>
      </w:pPr>
      <w:r>
        <w:rPr>
          <w:lang w:val="en-US"/>
        </w:rPr>
        <w:t>2.1 TA loop, steady state</w:t>
      </w:r>
    </w:p>
    <w:p w14:paraId="67C47ED9" w14:textId="30FC13EE" w:rsidR="005C360E" w:rsidRPr="004C02B0" w:rsidRDefault="005C360E" w:rsidP="005C360E">
      <w:pPr>
        <w:jc w:val="both"/>
      </w:pPr>
      <w:r w:rsidRPr="00267324">
        <w:t xml:space="preserve">In [1] </w:t>
      </w:r>
      <w:r>
        <w:t xml:space="preserve">we </w:t>
      </w:r>
      <w:r w:rsidRPr="00267324">
        <w:t>evaluate</w:t>
      </w:r>
      <w:r>
        <w:t>d how accurately each UE’s timing can be set to the ideal timing TA</w:t>
      </w:r>
      <w:r w:rsidRPr="001F2ACA">
        <w:rPr>
          <w:vertAlign w:val="subscript"/>
        </w:rPr>
        <w:t>0</w:t>
      </w:r>
      <w:r>
        <w:t>, from the gNB</w:t>
      </w:r>
      <w:r w:rsidR="00602BF4">
        <w:t xml:space="preserve"> perspective, for the steady state case of </w:t>
      </w:r>
      <w:r w:rsidR="00601813">
        <w:t>an</w:t>
      </w:r>
      <w:r w:rsidR="00602BF4">
        <w:t xml:space="preserve"> attached, non-mobile, UE that receives TA </w:t>
      </w:r>
      <w:r w:rsidR="00601813">
        <w:t>commands</w:t>
      </w:r>
      <w:r w:rsidR="00602BF4">
        <w:t xml:space="preserve"> from the gNB.</w:t>
      </w:r>
    </w:p>
    <w:p w14:paraId="784337C6" w14:textId="77777777" w:rsidR="005C360E" w:rsidRDefault="005C360E" w:rsidP="005C360E">
      <w:pPr>
        <w:jc w:val="both"/>
      </w:pPr>
      <w:r>
        <w:t>The feedback loop consists of the following steps</w:t>
      </w:r>
    </w:p>
    <w:p w14:paraId="6516CE1D" w14:textId="77777777" w:rsidR="005C360E" w:rsidRDefault="005C360E" w:rsidP="005C360E">
      <w:pPr>
        <w:numPr>
          <w:ilvl w:val="0"/>
          <w:numId w:val="31"/>
        </w:numPr>
        <w:overflowPunct/>
        <w:autoSpaceDE/>
        <w:autoSpaceDN/>
        <w:adjustRightInd/>
        <w:spacing w:after="180"/>
        <w:jc w:val="both"/>
        <w:textAlignment w:val="auto"/>
      </w:pPr>
      <w:r>
        <w:t>gNB determines a TA command to apply</w:t>
      </w:r>
    </w:p>
    <w:p w14:paraId="36EE1689" w14:textId="77777777" w:rsidR="005C360E" w:rsidRDefault="005C360E" w:rsidP="005C360E">
      <w:pPr>
        <w:numPr>
          <w:ilvl w:val="0"/>
          <w:numId w:val="31"/>
        </w:numPr>
        <w:overflowPunct/>
        <w:autoSpaceDE/>
        <w:autoSpaceDN/>
        <w:adjustRightInd/>
        <w:spacing w:after="180"/>
        <w:jc w:val="both"/>
        <w:textAlignment w:val="auto"/>
      </w:pPr>
      <w:r>
        <w:t>UE receives the TA command and applies it to its transmit timing</w:t>
      </w:r>
    </w:p>
    <w:p w14:paraId="66E3641A" w14:textId="77777777" w:rsidR="005C360E" w:rsidRDefault="005C360E" w:rsidP="005C360E">
      <w:pPr>
        <w:jc w:val="both"/>
      </w:pPr>
      <w:r>
        <w:t>For each of these steps, an uncertainty budget is shown it table 1 for LTE</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2"/>
        <w:gridCol w:w="2896"/>
        <w:gridCol w:w="2737"/>
      </w:tblGrid>
      <w:tr w:rsidR="005C360E" w14:paraId="0A9F9B33" w14:textId="77777777" w:rsidTr="00602BF4">
        <w:tc>
          <w:tcPr>
            <w:tcW w:w="3022" w:type="dxa"/>
            <w:shd w:val="clear" w:color="auto" w:fill="auto"/>
          </w:tcPr>
          <w:p w14:paraId="3C842D96" w14:textId="77777777" w:rsidR="005C360E" w:rsidRPr="00DE1C20" w:rsidRDefault="005C360E" w:rsidP="00D60AA5">
            <w:pPr>
              <w:ind w:left="720"/>
              <w:jc w:val="both"/>
              <w:rPr>
                <w:b/>
              </w:rPr>
            </w:pPr>
            <w:r w:rsidRPr="00DE1C20">
              <w:rPr>
                <w:b/>
              </w:rPr>
              <w:t>Source of uncertainty</w:t>
            </w:r>
          </w:p>
        </w:tc>
        <w:tc>
          <w:tcPr>
            <w:tcW w:w="2896" w:type="dxa"/>
            <w:shd w:val="clear" w:color="auto" w:fill="auto"/>
          </w:tcPr>
          <w:p w14:paraId="35D59BCD" w14:textId="77777777" w:rsidR="005C360E" w:rsidRPr="00DE1C20" w:rsidRDefault="005C360E" w:rsidP="00D60AA5">
            <w:pPr>
              <w:jc w:val="both"/>
              <w:rPr>
                <w:b/>
              </w:rPr>
            </w:pPr>
            <w:r w:rsidRPr="00DE1C20">
              <w:rPr>
                <w:b/>
              </w:rPr>
              <w:t>Reference</w:t>
            </w:r>
          </w:p>
        </w:tc>
        <w:tc>
          <w:tcPr>
            <w:tcW w:w="2737" w:type="dxa"/>
            <w:shd w:val="clear" w:color="auto" w:fill="auto"/>
          </w:tcPr>
          <w:p w14:paraId="6EA232C0" w14:textId="77777777" w:rsidR="005C360E" w:rsidRDefault="005C360E" w:rsidP="00D60AA5">
            <w:pPr>
              <w:jc w:val="both"/>
              <w:rPr>
                <w:b/>
              </w:rPr>
            </w:pPr>
            <w:r w:rsidRPr="00DE1C20">
              <w:rPr>
                <w:b/>
              </w:rPr>
              <w:t>Budget</w:t>
            </w:r>
          </w:p>
          <w:p w14:paraId="5EC6C5D0" w14:textId="5F81E396" w:rsidR="005612E5" w:rsidRPr="00DE1C20" w:rsidRDefault="005612E5" w:rsidP="00D60AA5">
            <w:pPr>
              <w:jc w:val="both"/>
              <w:rPr>
                <w:b/>
              </w:rPr>
            </w:pPr>
            <w:r w:rsidRPr="008D76A4">
              <w:rPr>
                <w:lang w:val="sv-SE"/>
              </w:rPr>
              <w:t>LTE Ts = 1/(15000 x 2048) seconds</w:t>
            </w:r>
          </w:p>
        </w:tc>
      </w:tr>
      <w:tr w:rsidR="005C360E" w14:paraId="1D57B644" w14:textId="77777777" w:rsidTr="00602BF4">
        <w:tc>
          <w:tcPr>
            <w:tcW w:w="3022" w:type="dxa"/>
            <w:shd w:val="clear" w:color="auto" w:fill="auto"/>
          </w:tcPr>
          <w:p w14:paraId="6020905F" w14:textId="086773F6" w:rsidR="005C360E" w:rsidRDefault="003338BB" w:rsidP="00D60AA5">
            <w:pPr>
              <w:jc w:val="both"/>
            </w:pPr>
            <w:r>
              <w:t>1</w:t>
            </w:r>
            <w:r w:rsidR="005C360E" w:rsidRPr="00D61EDA">
              <w:t>.</w:t>
            </w:r>
            <w:r w:rsidR="005C360E" w:rsidRPr="00D61EDA">
              <w:tab/>
            </w:r>
            <w:r w:rsidR="005C360E">
              <w:t>gNB</w:t>
            </w:r>
            <w:r w:rsidR="005C360E" w:rsidRPr="00D61EDA">
              <w:t xml:space="preserve"> determines a TA command to apply</w:t>
            </w:r>
          </w:p>
        </w:tc>
        <w:tc>
          <w:tcPr>
            <w:tcW w:w="2896" w:type="dxa"/>
            <w:shd w:val="clear" w:color="auto" w:fill="auto"/>
          </w:tcPr>
          <w:p w14:paraId="5C4F7230" w14:textId="77777777" w:rsidR="005C360E" w:rsidRPr="00B54834" w:rsidRDefault="005C360E" w:rsidP="00D60AA5">
            <w:pPr>
              <w:jc w:val="both"/>
              <w:rPr>
                <w:rFonts w:eastAsia="?? ??"/>
              </w:rPr>
            </w:pPr>
            <w:r>
              <w:t>36.133 section 7.3 indicates “</w:t>
            </w:r>
            <w:r w:rsidRPr="00B54834">
              <w:rPr>
                <w:i/>
              </w:rPr>
              <w:t>The timing advance command is expressed in multiples of 16*</w:t>
            </w:r>
            <w:r w:rsidRPr="00B54834">
              <w:rPr>
                <w:rFonts w:cs="v4.2.0"/>
                <w:i/>
              </w:rPr>
              <w:t xml:space="preserve"> T</w:t>
            </w:r>
            <w:r w:rsidRPr="00B54834">
              <w:rPr>
                <w:rFonts w:cs="v4.2.0"/>
                <w:i/>
                <w:vertAlign w:val="subscript"/>
              </w:rPr>
              <w:t>S</w:t>
            </w:r>
            <w:r w:rsidRPr="00B54834">
              <w:rPr>
                <w:i/>
              </w:rPr>
              <w:t xml:space="preserve"> and is relative to the current uplink timing.</w:t>
            </w:r>
            <w:r>
              <w:rPr>
                <w:i/>
              </w:rPr>
              <w:t xml:space="preserve"> “</w:t>
            </w:r>
          </w:p>
        </w:tc>
        <w:tc>
          <w:tcPr>
            <w:tcW w:w="2737" w:type="dxa"/>
            <w:shd w:val="clear" w:color="auto" w:fill="auto"/>
          </w:tcPr>
          <w:p w14:paraId="6EDC87EE" w14:textId="77777777" w:rsidR="005C360E" w:rsidRDefault="005C360E" w:rsidP="00D60AA5">
            <w:pPr>
              <w:jc w:val="both"/>
            </w:pPr>
            <w:r>
              <w:t>±8Ts</w:t>
            </w:r>
          </w:p>
        </w:tc>
      </w:tr>
      <w:tr w:rsidR="005C360E" w14:paraId="119A0FB8" w14:textId="77777777" w:rsidTr="00602BF4">
        <w:tc>
          <w:tcPr>
            <w:tcW w:w="3022" w:type="dxa"/>
            <w:shd w:val="clear" w:color="auto" w:fill="auto"/>
          </w:tcPr>
          <w:p w14:paraId="48F80B78" w14:textId="267A218C" w:rsidR="005C360E" w:rsidRPr="00D61EDA" w:rsidRDefault="003338BB" w:rsidP="00D60AA5">
            <w:pPr>
              <w:jc w:val="both"/>
            </w:pPr>
            <w:r>
              <w:t>2</w:t>
            </w:r>
            <w:r w:rsidR="005C360E">
              <w:t>. UE applies TA command</w:t>
            </w:r>
          </w:p>
        </w:tc>
        <w:tc>
          <w:tcPr>
            <w:tcW w:w="2896" w:type="dxa"/>
            <w:shd w:val="clear" w:color="auto" w:fill="auto"/>
          </w:tcPr>
          <w:p w14:paraId="6EDCE058" w14:textId="77777777" w:rsidR="005C360E" w:rsidRDefault="005C360E" w:rsidP="00D60AA5">
            <w:pPr>
              <w:jc w:val="both"/>
            </w:pPr>
            <w:r>
              <w:t xml:space="preserve">36.133 section 7.3 indicates </w:t>
            </w:r>
            <w:r w:rsidRPr="00B54834">
              <w:rPr>
                <w:i/>
              </w:rPr>
              <w:t>“The UE shall adjust the timing of its transmissions with a relative accuracy better than or equal to ±4* TS seconds to the signalled timing advance value compared to the timing of preceding uplink transmission.”</w:t>
            </w:r>
          </w:p>
        </w:tc>
        <w:tc>
          <w:tcPr>
            <w:tcW w:w="2737" w:type="dxa"/>
            <w:shd w:val="clear" w:color="auto" w:fill="auto"/>
          </w:tcPr>
          <w:p w14:paraId="2A97836F" w14:textId="77777777" w:rsidR="005C360E" w:rsidRDefault="005C360E" w:rsidP="00D60AA5">
            <w:pPr>
              <w:jc w:val="both"/>
            </w:pPr>
            <w:r>
              <w:t>±4Ts</w:t>
            </w:r>
          </w:p>
        </w:tc>
      </w:tr>
      <w:tr w:rsidR="005C360E" w14:paraId="39100218" w14:textId="77777777" w:rsidTr="00602BF4">
        <w:tc>
          <w:tcPr>
            <w:tcW w:w="5918" w:type="dxa"/>
            <w:gridSpan w:val="2"/>
            <w:shd w:val="clear" w:color="auto" w:fill="auto"/>
          </w:tcPr>
          <w:p w14:paraId="5E59C9E1" w14:textId="77777777" w:rsidR="005C360E" w:rsidRPr="00B54834" w:rsidRDefault="005C360E" w:rsidP="00D60AA5">
            <w:pPr>
              <w:jc w:val="both"/>
              <w:rPr>
                <w:b/>
              </w:rPr>
            </w:pPr>
            <w:r>
              <w:rPr>
                <w:b/>
              </w:rPr>
              <w:lastRenderedPageBreak/>
              <w:t>TOTAL</w:t>
            </w:r>
            <w:r w:rsidR="00602BF4">
              <w:rPr>
                <w:b/>
              </w:rPr>
              <w:t xml:space="preserve"> (ideal case)</w:t>
            </w:r>
          </w:p>
        </w:tc>
        <w:tc>
          <w:tcPr>
            <w:tcW w:w="2737" w:type="dxa"/>
            <w:shd w:val="clear" w:color="auto" w:fill="auto"/>
          </w:tcPr>
          <w:p w14:paraId="35A293E1" w14:textId="7A60F0BF" w:rsidR="005C360E" w:rsidRDefault="003338BB" w:rsidP="00D60AA5">
            <w:pPr>
              <w:jc w:val="both"/>
            </w:pPr>
            <w:r>
              <w:t>±12</w:t>
            </w:r>
            <w:r w:rsidR="005C360E">
              <w:t>Ts</w:t>
            </w:r>
          </w:p>
        </w:tc>
      </w:tr>
    </w:tbl>
    <w:p w14:paraId="65733861" w14:textId="77777777" w:rsidR="005C360E" w:rsidRDefault="005C360E" w:rsidP="005C360E">
      <w:pPr>
        <w:ind w:left="360"/>
        <w:jc w:val="both"/>
      </w:pPr>
    </w:p>
    <w:p w14:paraId="1046CFE9" w14:textId="77777777" w:rsidR="005C360E" w:rsidRPr="00362891" w:rsidRDefault="005C360E" w:rsidP="005C360E">
      <w:pPr>
        <w:ind w:left="360"/>
        <w:jc w:val="both"/>
        <w:rPr>
          <w:b/>
        </w:rPr>
      </w:pPr>
      <w:r>
        <w:rPr>
          <w:b/>
        </w:rPr>
        <w:t>Table 1: Uncertainty budget for timing advance setting</w:t>
      </w:r>
    </w:p>
    <w:p w14:paraId="07A2DBFD" w14:textId="7E2F3661" w:rsidR="005C360E" w:rsidRDefault="005C360E" w:rsidP="005C360E">
      <w:pPr>
        <w:jc w:val="both"/>
      </w:pPr>
      <w:r>
        <w:t>When different numerologies are considered (e.g. with shorter symbol duration/Ts), it could be expected that many of the uncertainties would scale according to the shorter Ts. In other wor</w:t>
      </w:r>
      <w:r w:rsidR="0060127C">
        <w:t>ds, in absolute time terms the g</w:t>
      </w:r>
      <w:r>
        <w:t>NB should be able to measure the signal with greater granularity, TA commands should support setting the UE timing advance with smaller steps, and the UE should also be able to implement finer adjustment for the uplink. Another way of stating this is simply that Ts becomes shorter as the subcarrier spacing is increased.</w:t>
      </w:r>
    </w:p>
    <w:p w14:paraId="0DDE312F" w14:textId="29CD5CCC" w:rsidR="005C360E" w:rsidRDefault="001156F0" w:rsidP="005C360E">
      <w:pPr>
        <w:jc w:val="both"/>
      </w:pPr>
      <w:r>
        <w:t>W</w:t>
      </w:r>
      <w:r w:rsidR="005C360E">
        <w:t>e get a to</w:t>
      </w:r>
      <w:r>
        <w:t xml:space="preserve">tal uncertainty of ±13 </w:t>
      </w:r>
      <w:r w:rsidR="005C360E">
        <w:t xml:space="preserve">Ts. If we compare this with the LTE CP length of 144 Ts, we see that the fraction of CP used by TA uncertainty is </w:t>
      </w:r>
      <w:r w:rsidR="0092133E">
        <w:t>26/144</w:t>
      </w:r>
      <w:r w:rsidR="005C360E">
        <w:t xml:space="preserve"> ≈ </w:t>
      </w:r>
      <w:r>
        <w:t>20</w:t>
      </w:r>
      <w:r w:rsidR="005C360E">
        <w:t>%.</w:t>
      </w:r>
      <w:r>
        <w:t xml:space="preserve"> (There will be some added uncertainty from the UE </w:t>
      </w:r>
      <w:r w:rsidR="001C4A86">
        <w:t>extracting</w:t>
      </w:r>
      <w:r>
        <w:t xml:space="preserve"> DL timing reference, especially in poor SNR, but it is not </w:t>
      </w:r>
      <w:r w:rsidR="001C4A86">
        <w:t>modelled</w:t>
      </w:r>
      <w:r>
        <w:t xml:space="preserve"> here).</w:t>
      </w:r>
    </w:p>
    <w:p w14:paraId="20119B5D" w14:textId="7F7833CA" w:rsidR="005C360E" w:rsidRDefault="005C360E" w:rsidP="005C360E">
      <w:pPr>
        <w:jc w:val="both"/>
      </w:pPr>
      <w:r>
        <w:t xml:space="preserve">For </w:t>
      </w:r>
      <w:r w:rsidR="0060127C">
        <w:t>NR,</w:t>
      </w:r>
      <w:r>
        <w:t xml:space="preserve"> we will have several </w:t>
      </w:r>
      <w:r w:rsidR="0060127C">
        <w:t>subcarriers</w:t>
      </w:r>
      <w:r>
        <w:t xml:space="preserve"> spacing possibilities. They are listed in table 2.</w:t>
      </w:r>
    </w:p>
    <w:p w14:paraId="5E81F69B" w14:textId="289752DA" w:rsidR="005C360E" w:rsidRPr="008D27A0" w:rsidRDefault="005C360E" w:rsidP="005C360E">
      <w:pPr>
        <w:jc w:val="both"/>
        <w:rPr>
          <w:color w:val="000000" w:themeColor="text1"/>
        </w:rPr>
      </w:pPr>
      <w:r>
        <w:t xml:space="preserve">The CP length is inversely proportional to </w:t>
      </w:r>
      <w:r w:rsidR="004636A6">
        <w:t>Subcarrier Spacing</w:t>
      </w:r>
      <w:r>
        <w:t xml:space="preserve"> as per RAN1 decisio</w:t>
      </w:r>
      <w:r w:rsidR="004636A6">
        <w:t>n</w:t>
      </w:r>
      <w:r>
        <w:rPr>
          <w:color w:val="000000" w:themeColor="text1"/>
        </w:rPr>
        <w:t>.</w:t>
      </w:r>
    </w:p>
    <w:tbl>
      <w:tblPr>
        <w:tblW w:w="9345" w:type="dxa"/>
        <w:tblLook w:val="04A0" w:firstRow="1" w:lastRow="0" w:firstColumn="1" w:lastColumn="0" w:noHBand="0" w:noVBand="1"/>
      </w:tblPr>
      <w:tblGrid>
        <w:gridCol w:w="3957"/>
        <w:gridCol w:w="1139"/>
        <w:gridCol w:w="995"/>
        <w:gridCol w:w="1134"/>
        <w:gridCol w:w="1134"/>
        <w:gridCol w:w="986"/>
      </w:tblGrid>
      <w:tr w:rsidR="00C601A1" w:rsidRPr="001C2870" w14:paraId="1EDCA9C0" w14:textId="3D856A8D" w:rsidTr="006F52D7">
        <w:trPr>
          <w:trHeight w:val="300"/>
        </w:trPr>
        <w:tc>
          <w:tcPr>
            <w:tcW w:w="39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DE7E83" w14:textId="77777777" w:rsidR="00C601A1" w:rsidRPr="001C2870" w:rsidRDefault="00C601A1" w:rsidP="00D60AA5">
            <w:pPr>
              <w:spacing w:after="0"/>
              <w:rPr>
                <w:rFonts w:ascii="Calibri" w:hAnsi="Calibri"/>
                <w:color w:val="000000"/>
                <w:szCs w:val="22"/>
                <w:lang w:val="en-US"/>
              </w:rPr>
            </w:pPr>
            <w:r w:rsidRPr="001C2870">
              <w:rPr>
                <w:rFonts w:ascii="Calibri" w:hAnsi="Calibri"/>
                <w:color w:val="000000"/>
                <w:szCs w:val="22"/>
                <w:lang w:val="en-US"/>
              </w:rPr>
              <w:t>Subcarrier spacing (kHz)</w:t>
            </w:r>
          </w:p>
        </w:tc>
        <w:tc>
          <w:tcPr>
            <w:tcW w:w="1139" w:type="dxa"/>
            <w:tcBorders>
              <w:top w:val="single" w:sz="4" w:space="0" w:color="auto"/>
              <w:left w:val="nil"/>
              <w:bottom w:val="single" w:sz="4" w:space="0" w:color="auto"/>
              <w:right w:val="single" w:sz="4" w:space="0" w:color="auto"/>
            </w:tcBorders>
            <w:shd w:val="clear" w:color="auto" w:fill="auto"/>
            <w:noWrap/>
            <w:vAlign w:val="bottom"/>
            <w:hideMark/>
          </w:tcPr>
          <w:p w14:paraId="04A83824" w14:textId="77777777" w:rsidR="00C601A1" w:rsidRPr="001C2870" w:rsidRDefault="00C601A1" w:rsidP="00D60AA5">
            <w:pPr>
              <w:spacing w:after="0"/>
              <w:jc w:val="center"/>
              <w:rPr>
                <w:rFonts w:ascii="Calibri" w:hAnsi="Calibri"/>
                <w:color w:val="000000"/>
                <w:szCs w:val="22"/>
                <w:lang w:val="en-US"/>
              </w:rPr>
            </w:pPr>
            <w:r w:rsidRPr="001C2870">
              <w:rPr>
                <w:rFonts w:ascii="Calibri" w:hAnsi="Calibri"/>
                <w:color w:val="000000"/>
                <w:szCs w:val="22"/>
                <w:lang w:val="en-US"/>
              </w:rPr>
              <w:t>15</w:t>
            </w:r>
          </w:p>
        </w:tc>
        <w:tc>
          <w:tcPr>
            <w:tcW w:w="995" w:type="dxa"/>
            <w:tcBorders>
              <w:top w:val="single" w:sz="4" w:space="0" w:color="auto"/>
              <w:left w:val="nil"/>
              <w:bottom w:val="single" w:sz="4" w:space="0" w:color="auto"/>
              <w:right w:val="single" w:sz="4" w:space="0" w:color="auto"/>
            </w:tcBorders>
            <w:shd w:val="clear" w:color="auto" w:fill="auto"/>
            <w:noWrap/>
            <w:vAlign w:val="bottom"/>
            <w:hideMark/>
          </w:tcPr>
          <w:p w14:paraId="447E7AAB" w14:textId="77777777" w:rsidR="00C601A1" w:rsidRPr="001C2870" w:rsidRDefault="00C601A1" w:rsidP="00D60AA5">
            <w:pPr>
              <w:spacing w:after="0"/>
              <w:jc w:val="center"/>
              <w:rPr>
                <w:rFonts w:ascii="Calibri" w:hAnsi="Calibri"/>
                <w:color w:val="000000"/>
                <w:szCs w:val="22"/>
                <w:lang w:val="en-US"/>
              </w:rPr>
            </w:pPr>
            <w:r w:rsidRPr="001C2870">
              <w:rPr>
                <w:rFonts w:ascii="Calibri" w:hAnsi="Calibri"/>
                <w:color w:val="000000"/>
                <w:szCs w:val="22"/>
                <w:lang w:val="en-US"/>
              </w:rPr>
              <w:t>30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14:paraId="4334D7CD" w14:textId="77777777" w:rsidR="00C601A1" w:rsidRPr="001C2870" w:rsidRDefault="00C601A1" w:rsidP="00D60AA5">
            <w:pPr>
              <w:spacing w:after="0"/>
              <w:jc w:val="center"/>
              <w:rPr>
                <w:rFonts w:ascii="Calibri" w:hAnsi="Calibri"/>
                <w:color w:val="000000"/>
                <w:szCs w:val="22"/>
                <w:lang w:val="en-US"/>
              </w:rPr>
            </w:pPr>
            <w:r w:rsidRPr="001C2870">
              <w:rPr>
                <w:rFonts w:ascii="Calibri" w:hAnsi="Calibri"/>
                <w:color w:val="000000"/>
                <w:szCs w:val="22"/>
                <w:lang w:val="en-US"/>
              </w:rPr>
              <w:t>60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14:paraId="5D47999B" w14:textId="77777777" w:rsidR="00C601A1" w:rsidRPr="001C2870" w:rsidRDefault="00C601A1" w:rsidP="00D60AA5">
            <w:pPr>
              <w:spacing w:after="0"/>
              <w:jc w:val="center"/>
              <w:rPr>
                <w:rFonts w:ascii="Calibri" w:hAnsi="Calibri"/>
                <w:color w:val="000000"/>
                <w:szCs w:val="22"/>
                <w:lang w:val="en-US"/>
              </w:rPr>
            </w:pPr>
            <w:r w:rsidRPr="001C2870">
              <w:rPr>
                <w:rFonts w:ascii="Calibri" w:hAnsi="Calibri"/>
                <w:color w:val="000000"/>
                <w:szCs w:val="22"/>
                <w:lang w:val="en-US"/>
              </w:rPr>
              <w:t>120</w:t>
            </w:r>
          </w:p>
        </w:tc>
        <w:tc>
          <w:tcPr>
            <w:tcW w:w="986" w:type="dxa"/>
            <w:tcBorders>
              <w:top w:val="single" w:sz="4" w:space="0" w:color="auto"/>
              <w:left w:val="nil"/>
              <w:bottom w:val="single" w:sz="4" w:space="0" w:color="auto"/>
              <w:right w:val="single" w:sz="4" w:space="0" w:color="auto"/>
            </w:tcBorders>
          </w:tcPr>
          <w:p w14:paraId="42556A2E" w14:textId="5612B258" w:rsidR="00C601A1" w:rsidRPr="001C2870" w:rsidRDefault="006F52D7" w:rsidP="00D60AA5">
            <w:pPr>
              <w:spacing w:after="0"/>
              <w:jc w:val="center"/>
              <w:rPr>
                <w:rFonts w:ascii="Calibri" w:hAnsi="Calibri"/>
                <w:color w:val="000000"/>
                <w:szCs w:val="22"/>
                <w:lang w:val="en-US"/>
              </w:rPr>
            </w:pPr>
            <w:r>
              <w:rPr>
                <w:rFonts w:ascii="Calibri" w:hAnsi="Calibri"/>
                <w:color w:val="000000"/>
                <w:szCs w:val="22"/>
                <w:lang w:val="en-US"/>
              </w:rPr>
              <w:t>240</w:t>
            </w:r>
          </w:p>
        </w:tc>
      </w:tr>
      <w:tr w:rsidR="00C601A1" w:rsidRPr="001C2870" w14:paraId="7A326E30" w14:textId="61D74113" w:rsidTr="006F52D7">
        <w:trPr>
          <w:trHeight w:val="300"/>
        </w:trPr>
        <w:tc>
          <w:tcPr>
            <w:tcW w:w="3957" w:type="dxa"/>
            <w:tcBorders>
              <w:top w:val="nil"/>
              <w:left w:val="single" w:sz="4" w:space="0" w:color="auto"/>
              <w:bottom w:val="single" w:sz="4" w:space="0" w:color="auto"/>
              <w:right w:val="single" w:sz="4" w:space="0" w:color="auto"/>
            </w:tcBorders>
            <w:shd w:val="clear" w:color="auto" w:fill="auto"/>
            <w:noWrap/>
            <w:vAlign w:val="bottom"/>
            <w:hideMark/>
          </w:tcPr>
          <w:p w14:paraId="1268E772" w14:textId="77777777" w:rsidR="00C601A1" w:rsidRPr="001C2870" w:rsidRDefault="00C601A1" w:rsidP="00D60AA5">
            <w:pPr>
              <w:spacing w:after="0"/>
              <w:rPr>
                <w:rFonts w:ascii="Calibri" w:hAnsi="Calibri"/>
                <w:color w:val="000000"/>
                <w:szCs w:val="22"/>
                <w:lang w:val="en-US"/>
              </w:rPr>
            </w:pPr>
            <w:r w:rsidRPr="001C2870">
              <w:rPr>
                <w:rFonts w:ascii="Calibri" w:hAnsi="Calibri"/>
                <w:color w:val="000000"/>
                <w:szCs w:val="22"/>
                <w:lang w:val="en-US"/>
              </w:rPr>
              <w:t>Slot duration (µs)</w:t>
            </w:r>
          </w:p>
        </w:tc>
        <w:tc>
          <w:tcPr>
            <w:tcW w:w="1139" w:type="dxa"/>
            <w:tcBorders>
              <w:top w:val="nil"/>
              <w:left w:val="nil"/>
              <w:bottom w:val="single" w:sz="4" w:space="0" w:color="auto"/>
              <w:right w:val="single" w:sz="4" w:space="0" w:color="auto"/>
            </w:tcBorders>
            <w:shd w:val="clear" w:color="auto" w:fill="auto"/>
            <w:noWrap/>
            <w:vAlign w:val="bottom"/>
            <w:hideMark/>
          </w:tcPr>
          <w:p w14:paraId="5D83B8D5" w14:textId="77777777" w:rsidR="00C601A1" w:rsidRPr="001C2870" w:rsidRDefault="00C601A1" w:rsidP="00D60AA5">
            <w:pPr>
              <w:spacing w:after="0"/>
              <w:jc w:val="center"/>
              <w:rPr>
                <w:rFonts w:ascii="Calibri" w:hAnsi="Calibri"/>
                <w:color w:val="000000"/>
                <w:szCs w:val="22"/>
                <w:lang w:val="en-US"/>
              </w:rPr>
            </w:pPr>
            <w:r w:rsidRPr="001C2870">
              <w:rPr>
                <w:rFonts w:ascii="Calibri" w:hAnsi="Calibri"/>
                <w:color w:val="000000"/>
                <w:szCs w:val="22"/>
                <w:lang w:val="en-US"/>
              </w:rPr>
              <w:t>500</w:t>
            </w:r>
          </w:p>
        </w:tc>
        <w:tc>
          <w:tcPr>
            <w:tcW w:w="995" w:type="dxa"/>
            <w:tcBorders>
              <w:top w:val="nil"/>
              <w:left w:val="nil"/>
              <w:bottom w:val="single" w:sz="4" w:space="0" w:color="auto"/>
              <w:right w:val="single" w:sz="4" w:space="0" w:color="auto"/>
            </w:tcBorders>
            <w:shd w:val="clear" w:color="auto" w:fill="auto"/>
            <w:noWrap/>
            <w:vAlign w:val="bottom"/>
            <w:hideMark/>
          </w:tcPr>
          <w:p w14:paraId="2156BAF7" w14:textId="77777777" w:rsidR="00C601A1" w:rsidRPr="001C2870" w:rsidRDefault="00C601A1" w:rsidP="00D60AA5">
            <w:pPr>
              <w:spacing w:after="0"/>
              <w:jc w:val="center"/>
              <w:rPr>
                <w:rFonts w:ascii="Calibri" w:hAnsi="Calibri"/>
                <w:color w:val="000000"/>
                <w:szCs w:val="22"/>
                <w:lang w:val="en-US"/>
              </w:rPr>
            </w:pPr>
            <w:r w:rsidRPr="001C2870">
              <w:rPr>
                <w:rFonts w:ascii="Calibri" w:hAnsi="Calibri"/>
                <w:color w:val="000000"/>
                <w:szCs w:val="22"/>
                <w:lang w:val="en-US"/>
              </w:rPr>
              <w:t>250</w:t>
            </w:r>
          </w:p>
        </w:tc>
        <w:tc>
          <w:tcPr>
            <w:tcW w:w="1134" w:type="dxa"/>
            <w:tcBorders>
              <w:top w:val="nil"/>
              <w:left w:val="nil"/>
              <w:bottom w:val="single" w:sz="4" w:space="0" w:color="auto"/>
              <w:right w:val="single" w:sz="4" w:space="0" w:color="auto"/>
            </w:tcBorders>
            <w:shd w:val="clear" w:color="auto" w:fill="auto"/>
            <w:noWrap/>
            <w:vAlign w:val="bottom"/>
            <w:hideMark/>
          </w:tcPr>
          <w:p w14:paraId="174F6BAD" w14:textId="77777777" w:rsidR="00C601A1" w:rsidRPr="001C2870" w:rsidRDefault="00C601A1" w:rsidP="00D60AA5">
            <w:pPr>
              <w:spacing w:after="0"/>
              <w:jc w:val="center"/>
              <w:rPr>
                <w:rFonts w:ascii="Calibri" w:hAnsi="Calibri"/>
                <w:color w:val="000000"/>
                <w:szCs w:val="22"/>
                <w:lang w:val="en-US"/>
              </w:rPr>
            </w:pPr>
            <w:r w:rsidRPr="001C2870">
              <w:rPr>
                <w:rFonts w:ascii="Calibri" w:hAnsi="Calibri"/>
                <w:color w:val="000000"/>
                <w:szCs w:val="22"/>
                <w:lang w:val="en-US"/>
              </w:rPr>
              <w:t>125</w:t>
            </w:r>
          </w:p>
        </w:tc>
        <w:tc>
          <w:tcPr>
            <w:tcW w:w="1134" w:type="dxa"/>
            <w:tcBorders>
              <w:top w:val="nil"/>
              <w:left w:val="nil"/>
              <w:bottom w:val="single" w:sz="4" w:space="0" w:color="auto"/>
              <w:right w:val="single" w:sz="4" w:space="0" w:color="auto"/>
            </w:tcBorders>
            <w:shd w:val="clear" w:color="auto" w:fill="auto"/>
            <w:noWrap/>
            <w:vAlign w:val="bottom"/>
            <w:hideMark/>
          </w:tcPr>
          <w:p w14:paraId="5CE28C6F" w14:textId="77777777" w:rsidR="00C601A1" w:rsidRPr="001C2870" w:rsidRDefault="00C601A1" w:rsidP="00D60AA5">
            <w:pPr>
              <w:spacing w:after="0"/>
              <w:jc w:val="center"/>
              <w:rPr>
                <w:rFonts w:ascii="Calibri" w:hAnsi="Calibri"/>
                <w:color w:val="000000"/>
                <w:szCs w:val="22"/>
                <w:lang w:val="en-US"/>
              </w:rPr>
            </w:pPr>
            <w:r w:rsidRPr="001C2870">
              <w:rPr>
                <w:rFonts w:ascii="Calibri" w:hAnsi="Calibri"/>
                <w:color w:val="000000"/>
                <w:szCs w:val="22"/>
                <w:lang w:val="en-US"/>
              </w:rPr>
              <w:t>62.5</w:t>
            </w:r>
          </w:p>
        </w:tc>
        <w:tc>
          <w:tcPr>
            <w:tcW w:w="986" w:type="dxa"/>
            <w:tcBorders>
              <w:top w:val="nil"/>
              <w:left w:val="nil"/>
              <w:bottom w:val="single" w:sz="4" w:space="0" w:color="auto"/>
              <w:right w:val="single" w:sz="4" w:space="0" w:color="auto"/>
            </w:tcBorders>
          </w:tcPr>
          <w:p w14:paraId="19E851FE" w14:textId="0FC9FB1B" w:rsidR="00C601A1" w:rsidRPr="001C2870" w:rsidRDefault="006F52D7" w:rsidP="00D60AA5">
            <w:pPr>
              <w:spacing w:after="0"/>
              <w:jc w:val="center"/>
              <w:rPr>
                <w:rFonts w:ascii="Calibri" w:hAnsi="Calibri"/>
                <w:color w:val="000000"/>
                <w:szCs w:val="22"/>
                <w:lang w:val="en-US"/>
              </w:rPr>
            </w:pPr>
            <w:r>
              <w:rPr>
                <w:rFonts w:ascii="Calibri" w:hAnsi="Calibri"/>
                <w:color w:val="000000"/>
                <w:szCs w:val="22"/>
                <w:lang w:val="en-US"/>
              </w:rPr>
              <w:t>31.25</w:t>
            </w:r>
          </w:p>
        </w:tc>
      </w:tr>
      <w:tr w:rsidR="00C601A1" w:rsidRPr="001C2870" w14:paraId="255881B4" w14:textId="009E39D2" w:rsidTr="006F52D7">
        <w:trPr>
          <w:trHeight w:val="300"/>
        </w:trPr>
        <w:tc>
          <w:tcPr>
            <w:tcW w:w="3957" w:type="dxa"/>
            <w:tcBorders>
              <w:top w:val="nil"/>
              <w:left w:val="single" w:sz="4" w:space="0" w:color="auto"/>
              <w:bottom w:val="single" w:sz="4" w:space="0" w:color="auto"/>
              <w:right w:val="single" w:sz="4" w:space="0" w:color="auto"/>
            </w:tcBorders>
            <w:shd w:val="clear" w:color="auto" w:fill="auto"/>
            <w:noWrap/>
            <w:vAlign w:val="bottom"/>
            <w:hideMark/>
          </w:tcPr>
          <w:p w14:paraId="7BBA2EE8" w14:textId="77777777" w:rsidR="00C601A1" w:rsidRPr="001C2870" w:rsidRDefault="00C601A1" w:rsidP="00D60AA5">
            <w:pPr>
              <w:spacing w:after="0"/>
              <w:rPr>
                <w:rFonts w:ascii="Calibri" w:hAnsi="Calibri"/>
                <w:color w:val="000000"/>
                <w:szCs w:val="22"/>
                <w:lang w:val="en-US"/>
              </w:rPr>
            </w:pPr>
            <w:r w:rsidRPr="001C2870">
              <w:rPr>
                <w:rFonts w:ascii="Calibri" w:hAnsi="Calibri"/>
                <w:color w:val="000000"/>
                <w:szCs w:val="22"/>
                <w:lang w:val="en-US"/>
              </w:rPr>
              <w:t>OFDM symbol, duration (µs)</w:t>
            </w:r>
          </w:p>
        </w:tc>
        <w:tc>
          <w:tcPr>
            <w:tcW w:w="1139" w:type="dxa"/>
            <w:tcBorders>
              <w:top w:val="nil"/>
              <w:left w:val="nil"/>
              <w:bottom w:val="single" w:sz="4" w:space="0" w:color="auto"/>
              <w:right w:val="single" w:sz="4" w:space="0" w:color="auto"/>
            </w:tcBorders>
            <w:shd w:val="clear" w:color="auto" w:fill="auto"/>
            <w:noWrap/>
            <w:vAlign w:val="bottom"/>
            <w:hideMark/>
          </w:tcPr>
          <w:p w14:paraId="30A663B5" w14:textId="77777777" w:rsidR="00C601A1" w:rsidRPr="001C2870" w:rsidRDefault="00C601A1" w:rsidP="00D60AA5">
            <w:pPr>
              <w:spacing w:after="0"/>
              <w:jc w:val="center"/>
              <w:rPr>
                <w:rFonts w:ascii="Calibri" w:hAnsi="Calibri"/>
                <w:color w:val="000000"/>
                <w:szCs w:val="22"/>
                <w:lang w:val="en-US"/>
              </w:rPr>
            </w:pPr>
            <w:r w:rsidRPr="001C2870">
              <w:rPr>
                <w:rFonts w:ascii="Calibri" w:hAnsi="Calibri"/>
                <w:color w:val="000000"/>
                <w:szCs w:val="22"/>
                <w:lang w:val="en-US"/>
              </w:rPr>
              <w:t>66.67</w:t>
            </w:r>
          </w:p>
        </w:tc>
        <w:tc>
          <w:tcPr>
            <w:tcW w:w="995" w:type="dxa"/>
            <w:tcBorders>
              <w:top w:val="nil"/>
              <w:left w:val="nil"/>
              <w:bottom w:val="single" w:sz="4" w:space="0" w:color="auto"/>
              <w:right w:val="single" w:sz="4" w:space="0" w:color="auto"/>
            </w:tcBorders>
            <w:shd w:val="clear" w:color="auto" w:fill="auto"/>
            <w:noWrap/>
            <w:vAlign w:val="bottom"/>
            <w:hideMark/>
          </w:tcPr>
          <w:p w14:paraId="7A4BE01B" w14:textId="77777777" w:rsidR="00C601A1" w:rsidRPr="001C2870" w:rsidRDefault="00C601A1" w:rsidP="00D60AA5">
            <w:pPr>
              <w:spacing w:after="0"/>
              <w:jc w:val="center"/>
              <w:rPr>
                <w:rFonts w:ascii="Calibri" w:hAnsi="Calibri"/>
                <w:color w:val="000000"/>
                <w:szCs w:val="22"/>
                <w:lang w:val="en-US"/>
              </w:rPr>
            </w:pPr>
            <w:r w:rsidRPr="001C2870">
              <w:rPr>
                <w:rFonts w:ascii="Calibri" w:hAnsi="Calibri"/>
                <w:color w:val="000000"/>
                <w:szCs w:val="22"/>
                <w:lang w:val="en-US"/>
              </w:rPr>
              <w:t>33.33</w:t>
            </w:r>
          </w:p>
        </w:tc>
        <w:tc>
          <w:tcPr>
            <w:tcW w:w="1134" w:type="dxa"/>
            <w:tcBorders>
              <w:top w:val="nil"/>
              <w:left w:val="nil"/>
              <w:bottom w:val="single" w:sz="4" w:space="0" w:color="auto"/>
              <w:right w:val="single" w:sz="4" w:space="0" w:color="auto"/>
            </w:tcBorders>
            <w:shd w:val="clear" w:color="auto" w:fill="auto"/>
            <w:noWrap/>
            <w:vAlign w:val="bottom"/>
            <w:hideMark/>
          </w:tcPr>
          <w:p w14:paraId="4BE16558" w14:textId="77777777" w:rsidR="00C601A1" w:rsidRPr="001C2870" w:rsidRDefault="00C601A1" w:rsidP="00D60AA5">
            <w:pPr>
              <w:spacing w:after="0"/>
              <w:jc w:val="center"/>
              <w:rPr>
                <w:rFonts w:ascii="Calibri" w:hAnsi="Calibri"/>
                <w:color w:val="000000"/>
                <w:szCs w:val="22"/>
                <w:lang w:val="en-US"/>
              </w:rPr>
            </w:pPr>
            <w:r w:rsidRPr="001C2870">
              <w:rPr>
                <w:rFonts w:ascii="Calibri" w:hAnsi="Calibri"/>
                <w:color w:val="000000"/>
                <w:szCs w:val="22"/>
                <w:lang w:val="en-US"/>
              </w:rPr>
              <w:t>16.67</w:t>
            </w:r>
          </w:p>
        </w:tc>
        <w:tc>
          <w:tcPr>
            <w:tcW w:w="1134" w:type="dxa"/>
            <w:tcBorders>
              <w:top w:val="nil"/>
              <w:left w:val="nil"/>
              <w:bottom w:val="single" w:sz="4" w:space="0" w:color="auto"/>
              <w:right w:val="single" w:sz="4" w:space="0" w:color="auto"/>
            </w:tcBorders>
            <w:shd w:val="clear" w:color="auto" w:fill="auto"/>
            <w:noWrap/>
            <w:vAlign w:val="bottom"/>
            <w:hideMark/>
          </w:tcPr>
          <w:p w14:paraId="20F9AC6C" w14:textId="77777777" w:rsidR="00C601A1" w:rsidRPr="001C2870" w:rsidRDefault="00C601A1" w:rsidP="00D60AA5">
            <w:pPr>
              <w:spacing w:after="0"/>
              <w:jc w:val="center"/>
              <w:rPr>
                <w:rFonts w:ascii="Calibri" w:hAnsi="Calibri"/>
                <w:color w:val="000000"/>
                <w:szCs w:val="22"/>
                <w:lang w:val="en-US"/>
              </w:rPr>
            </w:pPr>
            <w:r w:rsidRPr="001C2870">
              <w:rPr>
                <w:rFonts w:ascii="Calibri" w:hAnsi="Calibri"/>
                <w:color w:val="000000"/>
                <w:szCs w:val="22"/>
                <w:lang w:val="en-US"/>
              </w:rPr>
              <w:t>8.34</w:t>
            </w:r>
          </w:p>
        </w:tc>
        <w:tc>
          <w:tcPr>
            <w:tcW w:w="986" w:type="dxa"/>
            <w:tcBorders>
              <w:top w:val="nil"/>
              <w:left w:val="nil"/>
              <w:bottom w:val="single" w:sz="4" w:space="0" w:color="auto"/>
              <w:right w:val="single" w:sz="4" w:space="0" w:color="auto"/>
            </w:tcBorders>
          </w:tcPr>
          <w:p w14:paraId="511CD7C6" w14:textId="530B663C" w:rsidR="00C601A1" w:rsidRPr="001C2870" w:rsidRDefault="006F52D7" w:rsidP="00D60AA5">
            <w:pPr>
              <w:spacing w:after="0"/>
              <w:jc w:val="center"/>
              <w:rPr>
                <w:rFonts w:ascii="Calibri" w:hAnsi="Calibri"/>
                <w:color w:val="000000"/>
                <w:szCs w:val="22"/>
                <w:lang w:val="en-US"/>
              </w:rPr>
            </w:pPr>
            <w:r>
              <w:rPr>
                <w:rFonts w:ascii="Calibri" w:hAnsi="Calibri"/>
                <w:color w:val="000000"/>
                <w:szCs w:val="22"/>
                <w:lang w:val="en-US"/>
              </w:rPr>
              <w:t>4.17</w:t>
            </w:r>
          </w:p>
        </w:tc>
      </w:tr>
      <w:tr w:rsidR="00C601A1" w:rsidRPr="001C2870" w14:paraId="61D0B026" w14:textId="5A8EA065" w:rsidTr="006F52D7">
        <w:trPr>
          <w:trHeight w:val="300"/>
        </w:trPr>
        <w:tc>
          <w:tcPr>
            <w:tcW w:w="3957" w:type="dxa"/>
            <w:tcBorders>
              <w:top w:val="nil"/>
              <w:left w:val="single" w:sz="4" w:space="0" w:color="auto"/>
              <w:bottom w:val="single" w:sz="4" w:space="0" w:color="auto"/>
              <w:right w:val="single" w:sz="4" w:space="0" w:color="auto"/>
            </w:tcBorders>
            <w:shd w:val="clear" w:color="auto" w:fill="auto"/>
            <w:noWrap/>
            <w:vAlign w:val="bottom"/>
            <w:hideMark/>
          </w:tcPr>
          <w:p w14:paraId="4F74A165" w14:textId="77777777" w:rsidR="00C601A1" w:rsidRPr="001C2870" w:rsidRDefault="00C601A1" w:rsidP="00D60AA5">
            <w:pPr>
              <w:spacing w:after="0"/>
              <w:rPr>
                <w:rFonts w:ascii="Calibri" w:hAnsi="Calibri"/>
                <w:color w:val="000000"/>
                <w:szCs w:val="22"/>
                <w:lang w:val="en-US"/>
              </w:rPr>
            </w:pPr>
            <w:r w:rsidRPr="001C2870">
              <w:rPr>
                <w:rFonts w:ascii="Calibri" w:hAnsi="Calibri"/>
                <w:color w:val="000000"/>
                <w:szCs w:val="22"/>
                <w:lang w:val="en-US"/>
              </w:rPr>
              <w:t>Cyclic prefix, duration (µs)</w:t>
            </w:r>
          </w:p>
        </w:tc>
        <w:tc>
          <w:tcPr>
            <w:tcW w:w="1139" w:type="dxa"/>
            <w:tcBorders>
              <w:top w:val="nil"/>
              <w:left w:val="nil"/>
              <w:bottom w:val="single" w:sz="4" w:space="0" w:color="auto"/>
              <w:right w:val="single" w:sz="4" w:space="0" w:color="auto"/>
            </w:tcBorders>
            <w:shd w:val="clear" w:color="auto" w:fill="auto"/>
            <w:noWrap/>
            <w:vAlign w:val="bottom"/>
            <w:hideMark/>
          </w:tcPr>
          <w:p w14:paraId="486072B6" w14:textId="77777777" w:rsidR="00C601A1" w:rsidRPr="001C2870" w:rsidRDefault="00C601A1" w:rsidP="00D60AA5">
            <w:pPr>
              <w:spacing w:after="0"/>
              <w:jc w:val="center"/>
              <w:rPr>
                <w:rFonts w:ascii="Calibri" w:hAnsi="Calibri"/>
                <w:color w:val="000000"/>
                <w:szCs w:val="22"/>
                <w:lang w:val="en-US"/>
              </w:rPr>
            </w:pPr>
            <w:r w:rsidRPr="001C2870">
              <w:rPr>
                <w:rFonts w:ascii="Calibri" w:hAnsi="Calibri"/>
                <w:color w:val="000000"/>
                <w:szCs w:val="22"/>
                <w:lang w:val="en-US"/>
              </w:rPr>
              <w:t>4.69</w:t>
            </w:r>
          </w:p>
        </w:tc>
        <w:tc>
          <w:tcPr>
            <w:tcW w:w="995" w:type="dxa"/>
            <w:tcBorders>
              <w:top w:val="nil"/>
              <w:left w:val="nil"/>
              <w:bottom w:val="single" w:sz="4" w:space="0" w:color="auto"/>
              <w:right w:val="single" w:sz="4" w:space="0" w:color="auto"/>
            </w:tcBorders>
            <w:shd w:val="clear" w:color="auto" w:fill="auto"/>
            <w:noWrap/>
            <w:vAlign w:val="bottom"/>
            <w:hideMark/>
          </w:tcPr>
          <w:p w14:paraId="371D93D9" w14:textId="77777777" w:rsidR="00C601A1" w:rsidRPr="001C2870" w:rsidRDefault="00C601A1" w:rsidP="00D60AA5">
            <w:pPr>
              <w:spacing w:after="0"/>
              <w:jc w:val="center"/>
              <w:rPr>
                <w:rFonts w:ascii="Calibri" w:hAnsi="Calibri"/>
                <w:color w:val="000000"/>
                <w:szCs w:val="22"/>
                <w:lang w:val="en-US"/>
              </w:rPr>
            </w:pPr>
            <w:r w:rsidRPr="001C2870">
              <w:rPr>
                <w:rFonts w:ascii="Calibri" w:hAnsi="Calibri"/>
                <w:color w:val="000000"/>
                <w:szCs w:val="22"/>
                <w:lang w:val="en-US"/>
              </w:rPr>
              <w:t>2.34</w:t>
            </w:r>
          </w:p>
        </w:tc>
        <w:tc>
          <w:tcPr>
            <w:tcW w:w="1134" w:type="dxa"/>
            <w:tcBorders>
              <w:top w:val="nil"/>
              <w:left w:val="nil"/>
              <w:bottom w:val="single" w:sz="4" w:space="0" w:color="auto"/>
              <w:right w:val="single" w:sz="4" w:space="0" w:color="auto"/>
            </w:tcBorders>
            <w:shd w:val="clear" w:color="auto" w:fill="auto"/>
            <w:noWrap/>
            <w:vAlign w:val="bottom"/>
            <w:hideMark/>
          </w:tcPr>
          <w:p w14:paraId="04BDBC9C" w14:textId="77777777" w:rsidR="00C601A1" w:rsidRPr="001C2870" w:rsidRDefault="00C601A1" w:rsidP="00D60AA5">
            <w:pPr>
              <w:spacing w:after="0"/>
              <w:jc w:val="center"/>
              <w:rPr>
                <w:rFonts w:ascii="Calibri" w:hAnsi="Calibri"/>
                <w:color w:val="000000"/>
                <w:szCs w:val="22"/>
                <w:lang w:val="en-US"/>
              </w:rPr>
            </w:pPr>
            <w:r w:rsidRPr="001C2870">
              <w:rPr>
                <w:rFonts w:ascii="Calibri" w:hAnsi="Calibri"/>
                <w:color w:val="000000"/>
                <w:szCs w:val="22"/>
                <w:lang w:val="en-US"/>
              </w:rPr>
              <w:t>1.17</w:t>
            </w:r>
          </w:p>
        </w:tc>
        <w:tc>
          <w:tcPr>
            <w:tcW w:w="1134" w:type="dxa"/>
            <w:tcBorders>
              <w:top w:val="nil"/>
              <w:left w:val="nil"/>
              <w:bottom w:val="single" w:sz="4" w:space="0" w:color="auto"/>
              <w:right w:val="single" w:sz="4" w:space="0" w:color="auto"/>
            </w:tcBorders>
            <w:shd w:val="clear" w:color="auto" w:fill="auto"/>
            <w:noWrap/>
            <w:vAlign w:val="bottom"/>
            <w:hideMark/>
          </w:tcPr>
          <w:p w14:paraId="7DF958CD" w14:textId="77777777" w:rsidR="00C601A1" w:rsidRPr="001C2870" w:rsidRDefault="00C601A1" w:rsidP="00D60AA5">
            <w:pPr>
              <w:spacing w:after="0"/>
              <w:jc w:val="center"/>
              <w:rPr>
                <w:rFonts w:ascii="Calibri" w:hAnsi="Calibri"/>
                <w:color w:val="000000"/>
                <w:szCs w:val="22"/>
                <w:lang w:val="en-US"/>
              </w:rPr>
            </w:pPr>
            <w:r w:rsidRPr="001C2870">
              <w:rPr>
                <w:rFonts w:ascii="Calibri" w:hAnsi="Calibri"/>
                <w:color w:val="000000"/>
                <w:szCs w:val="22"/>
                <w:lang w:val="en-US"/>
              </w:rPr>
              <w:t>0.59</w:t>
            </w:r>
          </w:p>
        </w:tc>
        <w:tc>
          <w:tcPr>
            <w:tcW w:w="986" w:type="dxa"/>
            <w:tcBorders>
              <w:top w:val="nil"/>
              <w:left w:val="nil"/>
              <w:bottom w:val="single" w:sz="4" w:space="0" w:color="auto"/>
              <w:right w:val="single" w:sz="4" w:space="0" w:color="auto"/>
            </w:tcBorders>
          </w:tcPr>
          <w:p w14:paraId="2CAC235A" w14:textId="4D8D3DAE" w:rsidR="00C601A1" w:rsidRPr="001C2870" w:rsidRDefault="006F52D7" w:rsidP="00D60AA5">
            <w:pPr>
              <w:spacing w:after="0"/>
              <w:jc w:val="center"/>
              <w:rPr>
                <w:rFonts w:ascii="Calibri" w:hAnsi="Calibri"/>
                <w:color w:val="000000"/>
                <w:szCs w:val="22"/>
                <w:lang w:val="en-US"/>
              </w:rPr>
            </w:pPr>
            <w:r>
              <w:rPr>
                <w:rFonts w:ascii="Calibri" w:hAnsi="Calibri"/>
                <w:color w:val="000000"/>
                <w:szCs w:val="22"/>
                <w:lang w:val="en-US"/>
              </w:rPr>
              <w:t>0.29</w:t>
            </w:r>
          </w:p>
        </w:tc>
      </w:tr>
      <w:tr w:rsidR="00C601A1" w:rsidRPr="001C2870" w14:paraId="11109810" w14:textId="62D4F34F" w:rsidTr="006F52D7">
        <w:trPr>
          <w:trHeight w:val="300"/>
        </w:trPr>
        <w:tc>
          <w:tcPr>
            <w:tcW w:w="3957" w:type="dxa"/>
            <w:tcBorders>
              <w:top w:val="nil"/>
              <w:left w:val="single" w:sz="4" w:space="0" w:color="auto"/>
              <w:bottom w:val="single" w:sz="4" w:space="0" w:color="auto"/>
              <w:right w:val="single" w:sz="4" w:space="0" w:color="auto"/>
            </w:tcBorders>
            <w:shd w:val="clear" w:color="auto" w:fill="auto"/>
            <w:noWrap/>
            <w:vAlign w:val="bottom"/>
            <w:hideMark/>
          </w:tcPr>
          <w:p w14:paraId="1E028F6D" w14:textId="77777777" w:rsidR="00C601A1" w:rsidRPr="001C2870" w:rsidRDefault="00C601A1" w:rsidP="00D60AA5">
            <w:pPr>
              <w:spacing w:after="0"/>
              <w:rPr>
                <w:rFonts w:ascii="Calibri" w:hAnsi="Calibri"/>
                <w:color w:val="000000"/>
                <w:szCs w:val="22"/>
                <w:lang w:val="en-US"/>
              </w:rPr>
            </w:pPr>
            <w:r w:rsidRPr="001C2870">
              <w:rPr>
                <w:rFonts w:ascii="Calibri" w:hAnsi="Calibri"/>
                <w:color w:val="000000"/>
                <w:szCs w:val="22"/>
                <w:lang w:val="en-US"/>
              </w:rPr>
              <w:t>OFDM symbol including cyclic prefix (µs)</w:t>
            </w:r>
          </w:p>
        </w:tc>
        <w:tc>
          <w:tcPr>
            <w:tcW w:w="1139" w:type="dxa"/>
            <w:tcBorders>
              <w:top w:val="nil"/>
              <w:left w:val="nil"/>
              <w:bottom w:val="single" w:sz="4" w:space="0" w:color="auto"/>
              <w:right w:val="single" w:sz="4" w:space="0" w:color="auto"/>
            </w:tcBorders>
            <w:shd w:val="clear" w:color="auto" w:fill="auto"/>
            <w:noWrap/>
            <w:vAlign w:val="bottom"/>
            <w:hideMark/>
          </w:tcPr>
          <w:p w14:paraId="63451878" w14:textId="77777777" w:rsidR="00C601A1" w:rsidRPr="001C2870" w:rsidRDefault="00C601A1" w:rsidP="00D60AA5">
            <w:pPr>
              <w:spacing w:after="0"/>
              <w:jc w:val="center"/>
              <w:rPr>
                <w:rFonts w:ascii="Calibri" w:hAnsi="Calibri"/>
                <w:color w:val="000000"/>
                <w:szCs w:val="22"/>
                <w:lang w:val="en-US"/>
              </w:rPr>
            </w:pPr>
            <w:r w:rsidRPr="001C2870">
              <w:rPr>
                <w:rFonts w:ascii="Calibri" w:hAnsi="Calibri"/>
                <w:color w:val="000000"/>
                <w:szCs w:val="22"/>
                <w:lang w:val="en-US"/>
              </w:rPr>
              <w:t>71.35</w:t>
            </w:r>
          </w:p>
        </w:tc>
        <w:tc>
          <w:tcPr>
            <w:tcW w:w="995" w:type="dxa"/>
            <w:tcBorders>
              <w:top w:val="nil"/>
              <w:left w:val="nil"/>
              <w:bottom w:val="single" w:sz="4" w:space="0" w:color="auto"/>
              <w:right w:val="single" w:sz="4" w:space="0" w:color="auto"/>
            </w:tcBorders>
            <w:shd w:val="clear" w:color="auto" w:fill="auto"/>
            <w:noWrap/>
            <w:vAlign w:val="bottom"/>
            <w:hideMark/>
          </w:tcPr>
          <w:p w14:paraId="6CC8A58F" w14:textId="77777777" w:rsidR="00C601A1" w:rsidRPr="001C2870" w:rsidRDefault="00C601A1" w:rsidP="00D60AA5">
            <w:pPr>
              <w:spacing w:after="0"/>
              <w:jc w:val="center"/>
              <w:rPr>
                <w:rFonts w:ascii="Calibri" w:hAnsi="Calibri"/>
                <w:color w:val="000000"/>
                <w:szCs w:val="22"/>
                <w:lang w:val="en-US"/>
              </w:rPr>
            </w:pPr>
            <w:r w:rsidRPr="001C2870">
              <w:rPr>
                <w:rFonts w:ascii="Calibri" w:hAnsi="Calibri"/>
                <w:color w:val="000000"/>
                <w:szCs w:val="22"/>
                <w:lang w:val="en-US"/>
              </w:rPr>
              <w:t>35.68</w:t>
            </w:r>
          </w:p>
        </w:tc>
        <w:tc>
          <w:tcPr>
            <w:tcW w:w="1134" w:type="dxa"/>
            <w:tcBorders>
              <w:top w:val="nil"/>
              <w:left w:val="nil"/>
              <w:bottom w:val="single" w:sz="4" w:space="0" w:color="auto"/>
              <w:right w:val="single" w:sz="4" w:space="0" w:color="auto"/>
            </w:tcBorders>
            <w:shd w:val="clear" w:color="auto" w:fill="auto"/>
            <w:noWrap/>
            <w:vAlign w:val="bottom"/>
            <w:hideMark/>
          </w:tcPr>
          <w:p w14:paraId="6884435A" w14:textId="77777777" w:rsidR="00C601A1" w:rsidRPr="001C2870" w:rsidRDefault="00C601A1" w:rsidP="00D60AA5">
            <w:pPr>
              <w:spacing w:after="0"/>
              <w:jc w:val="center"/>
              <w:rPr>
                <w:rFonts w:ascii="Calibri" w:hAnsi="Calibri"/>
                <w:color w:val="000000"/>
                <w:szCs w:val="22"/>
                <w:lang w:val="en-US"/>
              </w:rPr>
            </w:pPr>
            <w:r w:rsidRPr="001C2870">
              <w:rPr>
                <w:rFonts w:ascii="Calibri" w:hAnsi="Calibri"/>
                <w:color w:val="000000"/>
                <w:szCs w:val="22"/>
                <w:lang w:val="en-US"/>
              </w:rPr>
              <w:t>17.84</w:t>
            </w:r>
          </w:p>
        </w:tc>
        <w:tc>
          <w:tcPr>
            <w:tcW w:w="1134" w:type="dxa"/>
            <w:tcBorders>
              <w:top w:val="nil"/>
              <w:left w:val="nil"/>
              <w:bottom w:val="single" w:sz="4" w:space="0" w:color="auto"/>
              <w:right w:val="single" w:sz="4" w:space="0" w:color="auto"/>
            </w:tcBorders>
            <w:shd w:val="clear" w:color="auto" w:fill="auto"/>
            <w:noWrap/>
            <w:vAlign w:val="bottom"/>
            <w:hideMark/>
          </w:tcPr>
          <w:p w14:paraId="3518BCD2" w14:textId="77777777" w:rsidR="00C601A1" w:rsidRPr="001C2870" w:rsidRDefault="00C601A1" w:rsidP="00D60AA5">
            <w:pPr>
              <w:spacing w:after="0"/>
              <w:jc w:val="center"/>
              <w:rPr>
                <w:rFonts w:ascii="Calibri" w:hAnsi="Calibri"/>
                <w:color w:val="000000"/>
                <w:szCs w:val="22"/>
                <w:lang w:val="en-US"/>
              </w:rPr>
            </w:pPr>
            <w:r w:rsidRPr="001C2870">
              <w:rPr>
                <w:rFonts w:ascii="Calibri" w:hAnsi="Calibri"/>
                <w:color w:val="000000"/>
                <w:szCs w:val="22"/>
                <w:lang w:val="en-US"/>
              </w:rPr>
              <w:t>8.92</w:t>
            </w:r>
          </w:p>
        </w:tc>
        <w:tc>
          <w:tcPr>
            <w:tcW w:w="986" w:type="dxa"/>
            <w:tcBorders>
              <w:top w:val="nil"/>
              <w:left w:val="nil"/>
              <w:bottom w:val="single" w:sz="4" w:space="0" w:color="auto"/>
              <w:right w:val="single" w:sz="4" w:space="0" w:color="auto"/>
            </w:tcBorders>
          </w:tcPr>
          <w:p w14:paraId="1E86FFB5" w14:textId="72AE135B" w:rsidR="006F52D7" w:rsidRPr="001C2870" w:rsidRDefault="006F52D7" w:rsidP="006F52D7">
            <w:pPr>
              <w:spacing w:after="0"/>
              <w:jc w:val="center"/>
              <w:rPr>
                <w:rFonts w:ascii="Calibri" w:hAnsi="Calibri"/>
                <w:color w:val="000000"/>
                <w:szCs w:val="22"/>
                <w:lang w:val="en-US"/>
              </w:rPr>
            </w:pPr>
            <w:r>
              <w:rPr>
                <w:rFonts w:ascii="Calibri" w:hAnsi="Calibri"/>
                <w:color w:val="000000"/>
                <w:szCs w:val="22"/>
                <w:lang w:val="en-US"/>
              </w:rPr>
              <w:t>4.46</w:t>
            </w:r>
          </w:p>
        </w:tc>
      </w:tr>
    </w:tbl>
    <w:p w14:paraId="44A65423" w14:textId="77777777" w:rsidR="005C360E" w:rsidRPr="00362891" w:rsidRDefault="005C360E" w:rsidP="005C360E">
      <w:pPr>
        <w:ind w:left="360"/>
        <w:jc w:val="both"/>
        <w:rPr>
          <w:b/>
        </w:rPr>
      </w:pPr>
      <w:r>
        <w:br/>
      </w:r>
      <w:r>
        <w:rPr>
          <w:b/>
        </w:rPr>
        <w:t>Table 2: CP lengths</w:t>
      </w:r>
      <w:r w:rsidR="003409AB">
        <w:rPr>
          <w:b/>
        </w:rPr>
        <w:t xml:space="preserve"> for normal CP.</w:t>
      </w:r>
    </w:p>
    <w:p w14:paraId="3D973CC7" w14:textId="77777777" w:rsidR="008E064E" w:rsidRDefault="008E064E" w:rsidP="005C360E">
      <w:pPr>
        <w:jc w:val="both"/>
      </w:pPr>
    </w:p>
    <w:p w14:paraId="23642FFC" w14:textId="77777777" w:rsidR="005C6CC8" w:rsidRDefault="005C6CC8" w:rsidP="005C360E">
      <w:pPr>
        <w:jc w:val="both"/>
      </w:pPr>
    </w:p>
    <w:p w14:paraId="4C462FE5" w14:textId="77777777" w:rsidR="005C6CC8" w:rsidRDefault="005C6CC8" w:rsidP="005C360E">
      <w:pPr>
        <w:jc w:val="both"/>
      </w:pPr>
    </w:p>
    <w:p w14:paraId="3EBFBD55" w14:textId="77777777" w:rsidR="005C6CC8" w:rsidRDefault="005C6CC8" w:rsidP="005C360E">
      <w:pPr>
        <w:jc w:val="both"/>
      </w:pPr>
    </w:p>
    <w:p w14:paraId="3BF690A4" w14:textId="3BA8332B" w:rsidR="005C360E" w:rsidRDefault="005C360E" w:rsidP="005C360E">
      <w:pPr>
        <w:jc w:val="both"/>
      </w:pPr>
      <w:r>
        <w:t>If we assume that TA uncertainty is allocated</w:t>
      </w:r>
      <w:r w:rsidR="008E064E">
        <w:t xml:space="preserve"> the same fraction of the CP, 2</w:t>
      </w:r>
      <w:r w:rsidR="003409AB">
        <w:t>0</w:t>
      </w:r>
      <w:r>
        <w:t xml:space="preserve">%, as current LTE at 15 kHz subcarrier spacing, then we get the total TA uncertainty, for the higher subcarrier </w:t>
      </w:r>
      <w:r w:rsidR="00601813">
        <w:t>spacing</w:t>
      </w:r>
      <w:r>
        <w:t xml:space="preserve"> of NR, 30, 60, 230 and 240 kHz, listed in table 3:</w:t>
      </w:r>
    </w:p>
    <w:tbl>
      <w:tblPr>
        <w:tblW w:w="8926" w:type="dxa"/>
        <w:tblLook w:val="04A0" w:firstRow="1" w:lastRow="0" w:firstColumn="1" w:lastColumn="0" w:noHBand="0" w:noVBand="1"/>
      </w:tblPr>
      <w:tblGrid>
        <w:gridCol w:w="3901"/>
        <w:gridCol w:w="912"/>
        <w:gridCol w:w="994"/>
        <w:gridCol w:w="992"/>
        <w:gridCol w:w="1134"/>
        <w:gridCol w:w="993"/>
      </w:tblGrid>
      <w:tr w:rsidR="006F52D7" w:rsidRPr="00BF51B7" w14:paraId="7896F9F5" w14:textId="1DA68053" w:rsidTr="006F52D7">
        <w:trPr>
          <w:trHeight w:val="300"/>
        </w:trPr>
        <w:tc>
          <w:tcPr>
            <w:tcW w:w="39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17B9D1" w14:textId="77777777" w:rsidR="006F52D7" w:rsidRPr="00BF51B7" w:rsidRDefault="006F52D7" w:rsidP="00D60AA5">
            <w:pPr>
              <w:spacing w:after="0"/>
              <w:rPr>
                <w:rFonts w:ascii="Calibri" w:hAnsi="Calibri"/>
                <w:color w:val="000000"/>
                <w:szCs w:val="22"/>
                <w:lang w:val="en-US"/>
              </w:rPr>
            </w:pPr>
            <w:r w:rsidRPr="00BF51B7">
              <w:rPr>
                <w:rFonts w:ascii="Calibri" w:hAnsi="Calibri"/>
                <w:color w:val="000000"/>
                <w:szCs w:val="22"/>
                <w:lang w:val="en-US"/>
              </w:rPr>
              <w:t>Subcarrier spacing (kHz)</w:t>
            </w:r>
          </w:p>
        </w:tc>
        <w:tc>
          <w:tcPr>
            <w:tcW w:w="912" w:type="dxa"/>
            <w:tcBorders>
              <w:top w:val="single" w:sz="4" w:space="0" w:color="auto"/>
              <w:left w:val="nil"/>
              <w:bottom w:val="single" w:sz="4" w:space="0" w:color="auto"/>
              <w:right w:val="single" w:sz="4" w:space="0" w:color="auto"/>
            </w:tcBorders>
            <w:shd w:val="clear" w:color="auto" w:fill="auto"/>
            <w:noWrap/>
            <w:vAlign w:val="bottom"/>
            <w:hideMark/>
          </w:tcPr>
          <w:p w14:paraId="124089C1" w14:textId="77777777" w:rsidR="006F52D7" w:rsidRPr="00BF51B7" w:rsidRDefault="006F52D7" w:rsidP="00D60AA5">
            <w:pPr>
              <w:spacing w:after="0"/>
              <w:jc w:val="center"/>
              <w:rPr>
                <w:rFonts w:ascii="Calibri" w:hAnsi="Calibri"/>
                <w:color w:val="000000"/>
                <w:szCs w:val="22"/>
                <w:lang w:val="en-US"/>
              </w:rPr>
            </w:pPr>
            <w:r w:rsidRPr="00BF51B7">
              <w:rPr>
                <w:rFonts w:ascii="Calibri" w:hAnsi="Calibri"/>
                <w:color w:val="000000"/>
                <w:szCs w:val="22"/>
                <w:lang w:val="en-US"/>
              </w:rPr>
              <w:t>15</w:t>
            </w:r>
          </w:p>
        </w:tc>
        <w:tc>
          <w:tcPr>
            <w:tcW w:w="994" w:type="dxa"/>
            <w:tcBorders>
              <w:top w:val="single" w:sz="4" w:space="0" w:color="auto"/>
              <w:left w:val="nil"/>
              <w:bottom w:val="single" w:sz="4" w:space="0" w:color="auto"/>
              <w:right w:val="single" w:sz="4" w:space="0" w:color="auto"/>
            </w:tcBorders>
            <w:shd w:val="clear" w:color="auto" w:fill="auto"/>
            <w:noWrap/>
            <w:vAlign w:val="bottom"/>
            <w:hideMark/>
          </w:tcPr>
          <w:p w14:paraId="50F16A48" w14:textId="77777777" w:rsidR="006F52D7" w:rsidRPr="00BF51B7" w:rsidRDefault="006F52D7" w:rsidP="00D60AA5">
            <w:pPr>
              <w:spacing w:after="0"/>
              <w:jc w:val="center"/>
              <w:rPr>
                <w:rFonts w:ascii="Calibri" w:hAnsi="Calibri"/>
                <w:color w:val="000000"/>
                <w:szCs w:val="22"/>
                <w:lang w:val="en-US"/>
              </w:rPr>
            </w:pPr>
            <w:r w:rsidRPr="00BF51B7">
              <w:rPr>
                <w:rFonts w:ascii="Calibri" w:hAnsi="Calibri"/>
                <w:color w:val="000000"/>
                <w:szCs w:val="22"/>
                <w:lang w:val="en-US"/>
              </w:rPr>
              <w:t>30</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14:paraId="58873CB3" w14:textId="77777777" w:rsidR="006F52D7" w:rsidRPr="00BF51B7" w:rsidRDefault="006F52D7" w:rsidP="00D60AA5">
            <w:pPr>
              <w:spacing w:after="0"/>
              <w:jc w:val="center"/>
              <w:rPr>
                <w:rFonts w:ascii="Calibri" w:hAnsi="Calibri"/>
                <w:color w:val="000000"/>
                <w:szCs w:val="22"/>
                <w:lang w:val="en-US"/>
              </w:rPr>
            </w:pPr>
            <w:r w:rsidRPr="00BF51B7">
              <w:rPr>
                <w:rFonts w:ascii="Calibri" w:hAnsi="Calibri"/>
                <w:color w:val="000000"/>
                <w:szCs w:val="22"/>
                <w:lang w:val="en-US"/>
              </w:rPr>
              <w:t>60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14:paraId="5730721F" w14:textId="77777777" w:rsidR="006F52D7" w:rsidRPr="00BF51B7" w:rsidRDefault="006F52D7" w:rsidP="00D60AA5">
            <w:pPr>
              <w:spacing w:after="0"/>
              <w:jc w:val="center"/>
              <w:rPr>
                <w:rFonts w:ascii="Calibri" w:hAnsi="Calibri"/>
                <w:color w:val="000000"/>
                <w:szCs w:val="22"/>
                <w:lang w:val="en-US"/>
              </w:rPr>
            </w:pPr>
            <w:r w:rsidRPr="00BF51B7">
              <w:rPr>
                <w:rFonts w:ascii="Calibri" w:hAnsi="Calibri"/>
                <w:color w:val="000000"/>
                <w:szCs w:val="22"/>
                <w:lang w:val="en-US"/>
              </w:rPr>
              <w:t>120</w:t>
            </w:r>
          </w:p>
        </w:tc>
        <w:tc>
          <w:tcPr>
            <w:tcW w:w="993" w:type="dxa"/>
            <w:tcBorders>
              <w:top w:val="single" w:sz="4" w:space="0" w:color="auto"/>
              <w:left w:val="nil"/>
              <w:bottom w:val="single" w:sz="4" w:space="0" w:color="auto"/>
              <w:right w:val="single" w:sz="4" w:space="0" w:color="auto"/>
            </w:tcBorders>
          </w:tcPr>
          <w:p w14:paraId="1795A3A2" w14:textId="103B085C" w:rsidR="006F52D7" w:rsidRPr="00BF51B7" w:rsidRDefault="006F52D7" w:rsidP="00D60AA5">
            <w:pPr>
              <w:spacing w:after="0"/>
              <w:jc w:val="center"/>
              <w:rPr>
                <w:rFonts w:ascii="Calibri" w:hAnsi="Calibri"/>
                <w:color w:val="000000"/>
                <w:szCs w:val="22"/>
                <w:lang w:val="en-US"/>
              </w:rPr>
            </w:pPr>
            <w:r>
              <w:rPr>
                <w:rFonts w:ascii="Calibri" w:hAnsi="Calibri"/>
                <w:color w:val="000000"/>
                <w:szCs w:val="22"/>
                <w:lang w:val="en-US"/>
              </w:rPr>
              <w:t>240</w:t>
            </w:r>
          </w:p>
        </w:tc>
      </w:tr>
      <w:tr w:rsidR="006F52D7" w:rsidRPr="00BF51B7" w14:paraId="1654A5E9" w14:textId="62B32929" w:rsidTr="006F52D7">
        <w:trPr>
          <w:trHeight w:val="300"/>
        </w:trPr>
        <w:tc>
          <w:tcPr>
            <w:tcW w:w="3901" w:type="dxa"/>
            <w:tcBorders>
              <w:top w:val="nil"/>
              <w:left w:val="single" w:sz="4" w:space="0" w:color="auto"/>
              <w:bottom w:val="single" w:sz="4" w:space="0" w:color="auto"/>
              <w:right w:val="single" w:sz="4" w:space="0" w:color="auto"/>
            </w:tcBorders>
            <w:shd w:val="clear" w:color="auto" w:fill="auto"/>
            <w:noWrap/>
            <w:vAlign w:val="bottom"/>
            <w:hideMark/>
          </w:tcPr>
          <w:p w14:paraId="53001F05" w14:textId="77777777" w:rsidR="006F52D7" w:rsidRPr="00BF51B7" w:rsidRDefault="006F52D7" w:rsidP="00D60AA5">
            <w:pPr>
              <w:spacing w:after="0"/>
              <w:rPr>
                <w:rFonts w:ascii="Calibri" w:hAnsi="Calibri"/>
                <w:color w:val="000000"/>
                <w:szCs w:val="22"/>
                <w:lang w:val="en-US"/>
              </w:rPr>
            </w:pPr>
            <w:r w:rsidRPr="00BF51B7">
              <w:rPr>
                <w:rFonts w:ascii="Calibri" w:hAnsi="Calibri"/>
                <w:color w:val="000000"/>
                <w:szCs w:val="22"/>
                <w:lang w:val="en-US"/>
              </w:rPr>
              <w:t>Cyclic prefix, duration (Ts)</w:t>
            </w:r>
          </w:p>
        </w:tc>
        <w:tc>
          <w:tcPr>
            <w:tcW w:w="912" w:type="dxa"/>
            <w:tcBorders>
              <w:top w:val="nil"/>
              <w:left w:val="nil"/>
              <w:bottom w:val="single" w:sz="4" w:space="0" w:color="auto"/>
              <w:right w:val="single" w:sz="4" w:space="0" w:color="auto"/>
            </w:tcBorders>
            <w:shd w:val="clear" w:color="auto" w:fill="auto"/>
            <w:noWrap/>
            <w:vAlign w:val="bottom"/>
            <w:hideMark/>
          </w:tcPr>
          <w:p w14:paraId="46B2D5C3" w14:textId="77777777" w:rsidR="006F52D7" w:rsidRPr="00BF51B7" w:rsidRDefault="006F52D7" w:rsidP="00D60AA5">
            <w:pPr>
              <w:spacing w:after="0"/>
              <w:jc w:val="center"/>
              <w:rPr>
                <w:rFonts w:ascii="Calibri" w:hAnsi="Calibri"/>
                <w:color w:val="000000"/>
                <w:szCs w:val="22"/>
                <w:lang w:val="en-US"/>
              </w:rPr>
            </w:pPr>
            <w:r w:rsidRPr="00BF51B7">
              <w:rPr>
                <w:rFonts w:ascii="Calibri" w:hAnsi="Calibri"/>
                <w:color w:val="000000"/>
                <w:szCs w:val="22"/>
                <w:lang w:val="en-US"/>
              </w:rPr>
              <w:t>144</w:t>
            </w:r>
          </w:p>
        </w:tc>
        <w:tc>
          <w:tcPr>
            <w:tcW w:w="994" w:type="dxa"/>
            <w:tcBorders>
              <w:top w:val="nil"/>
              <w:left w:val="nil"/>
              <w:bottom w:val="single" w:sz="4" w:space="0" w:color="auto"/>
              <w:right w:val="single" w:sz="4" w:space="0" w:color="auto"/>
            </w:tcBorders>
            <w:shd w:val="clear" w:color="auto" w:fill="auto"/>
            <w:noWrap/>
            <w:vAlign w:val="bottom"/>
            <w:hideMark/>
          </w:tcPr>
          <w:p w14:paraId="55BF769A" w14:textId="77777777" w:rsidR="006F52D7" w:rsidRPr="00BF51B7" w:rsidRDefault="006F52D7" w:rsidP="00D60AA5">
            <w:pPr>
              <w:spacing w:after="0"/>
              <w:jc w:val="center"/>
              <w:rPr>
                <w:rFonts w:ascii="Calibri" w:hAnsi="Calibri"/>
                <w:color w:val="000000"/>
                <w:szCs w:val="22"/>
                <w:lang w:val="en-US"/>
              </w:rPr>
            </w:pPr>
            <w:r w:rsidRPr="00BF51B7">
              <w:rPr>
                <w:rFonts w:ascii="Calibri" w:hAnsi="Calibri"/>
                <w:color w:val="000000"/>
                <w:szCs w:val="22"/>
                <w:lang w:val="en-US"/>
              </w:rPr>
              <w:t>72</w:t>
            </w:r>
          </w:p>
        </w:tc>
        <w:tc>
          <w:tcPr>
            <w:tcW w:w="992" w:type="dxa"/>
            <w:tcBorders>
              <w:top w:val="nil"/>
              <w:left w:val="nil"/>
              <w:bottom w:val="single" w:sz="4" w:space="0" w:color="auto"/>
              <w:right w:val="single" w:sz="4" w:space="0" w:color="auto"/>
            </w:tcBorders>
            <w:shd w:val="clear" w:color="auto" w:fill="auto"/>
            <w:noWrap/>
            <w:vAlign w:val="bottom"/>
            <w:hideMark/>
          </w:tcPr>
          <w:p w14:paraId="2D35C6D7" w14:textId="77777777" w:rsidR="006F52D7" w:rsidRPr="00BF51B7" w:rsidRDefault="006F52D7" w:rsidP="00D60AA5">
            <w:pPr>
              <w:spacing w:after="0"/>
              <w:jc w:val="center"/>
              <w:rPr>
                <w:rFonts w:ascii="Calibri" w:hAnsi="Calibri"/>
                <w:color w:val="000000"/>
                <w:szCs w:val="22"/>
                <w:lang w:val="en-US"/>
              </w:rPr>
            </w:pPr>
            <w:r w:rsidRPr="00BF51B7">
              <w:rPr>
                <w:rFonts w:ascii="Calibri" w:hAnsi="Calibri"/>
                <w:color w:val="000000"/>
                <w:szCs w:val="22"/>
                <w:lang w:val="en-US"/>
              </w:rPr>
              <w:t>36</w:t>
            </w:r>
          </w:p>
        </w:tc>
        <w:tc>
          <w:tcPr>
            <w:tcW w:w="1134" w:type="dxa"/>
            <w:tcBorders>
              <w:top w:val="nil"/>
              <w:left w:val="nil"/>
              <w:bottom w:val="single" w:sz="4" w:space="0" w:color="auto"/>
              <w:right w:val="single" w:sz="4" w:space="0" w:color="auto"/>
            </w:tcBorders>
            <w:shd w:val="clear" w:color="auto" w:fill="auto"/>
            <w:noWrap/>
            <w:vAlign w:val="bottom"/>
            <w:hideMark/>
          </w:tcPr>
          <w:p w14:paraId="0319F83B" w14:textId="77777777" w:rsidR="006F52D7" w:rsidRPr="00BF51B7" w:rsidRDefault="006F52D7" w:rsidP="00D60AA5">
            <w:pPr>
              <w:spacing w:after="0"/>
              <w:jc w:val="center"/>
              <w:rPr>
                <w:rFonts w:ascii="Calibri" w:hAnsi="Calibri"/>
                <w:color w:val="000000"/>
                <w:szCs w:val="22"/>
                <w:lang w:val="en-US"/>
              </w:rPr>
            </w:pPr>
            <w:r w:rsidRPr="00BF51B7">
              <w:rPr>
                <w:rFonts w:ascii="Calibri" w:hAnsi="Calibri"/>
                <w:color w:val="000000"/>
                <w:szCs w:val="22"/>
                <w:lang w:val="en-US"/>
              </w:rPr>
              <w:t>18</w:t>
            </w:r>
          </w:p>
        </w:tc>
        <w:tc>
          <w:tcPr>
            <w:tcW w:w="993" w:type="dxa"/>
            <w:tcBorders>
              <w:top w:val="nil"/>
              <w:left w:val="nil"/>
              <w:bottom w:val="single" w:sz="4" w:space="0" w:color="auto"/>
              <w:right w:val="single" w:sz="4" w:space="0" w:color="auto"/>
            </w:tcBorders>
          </w:tcPr>
          <w:p w14:paraId="0E3EE34A" w14:textId="2AB1EADC" w:rsidR="006F52D7" w:rsidRPr="00BF51B7" w:rsidRDefault="006F52D7" w:rsidP="006F52D7">
            <w:pPr>
              <w:spacing w:after="0"/>
              <w:jc w:val="center"/>
              <w:rPr>
                <w:rFonts w:ascii="Calibri" w:hAnsi="Calibri"/>
                <w:color w:val="000000"/>
                <w:szCs w:val="22"/>
                <w:lang w:val="en-US"/>
              </w:rPr>
            </w:pPr>
            <w:r>
              <w:rPr>
                <w:rFonts w:ascii="Calibri" w:hAnsi="Calibri"/>
                <w:color w:val="000000"/>
                <w:szCs w:val="22"/>
                <w:lang w:val="en-US"/>
              </w:rPr>
              <w:t>9</w:t>
            </w:r>
          </w:p>
        </w:tc>
      </w:tr>
      <w:tr w:rsidR="006F52D7" w:rsidRPr="00BF51B7" w14:paraId="1BA18D76" w14:textId="1DA235BF" w:rsidTr="006F52D7">
        <w:trPr>
          <w:trHeight w:val="300"/>
        </w:trPr>
        <w:tc>
          <w:tcPr>
            <w:tcW w:w="3901" w:type="dxa"/>
            <w:tcBorders>
              <w:top w:val="nil"/>
              <w:left w:val="single" w:sz="4" w:space="0" w:color="auto"/>
              <w:bottom w:val="single" w:sz="4" w:space="0" w:color="auto"/>
              <w:right w:val="single" w:sz="4" w:space="0" w:color="auto"/>
            </w:tcBorders>
            <w:shd w:val="clear" w:color="auto" w:fill="auto"/>
            <w:noWrap/>
            <w:vAlign w:val="bottom"/>
            <w:hideMark/>
          </w:tcPr>
          <w:p w14:paraId="486D9125" w14:textId="6E79A9DB" w:rsidR="006F52D7" w:rsidRPr="00BF51B7" w:rsidRDefault="006F52D7" w:rsidP="00D60AA5">
            <w:pPr>
              <w:spacing w:after="0"/>
              <w:rPr>
                <w:rFonts w:ascii="Calibri" w:hAnsi="Calibri"/>
                <w:color w:val="000000"/>
                <w:szCs w:val="22"/>
                <w:lang w:val="en-US"/>
              </w:rPr>
            </w:pPr>
            <w:r>
              <w:rPr>
                <w:rFonts w:ascii="Calibri" w:hAnsi="Calibri"/>
                <w:color w:val="000000"/>
                <w:szCs w:val="22"/>
                <w:lang w:val="en-US"/>
              </w:rPr>
              <w:t xml:space="preserve">TA uncertainty (Ts), </w:t>
            </w:r>
            <w:r>
              <w:rPr>
                <w:rFonts w:ascii="Calibri" w:hAnsi="Calibri"/>
                <w:color w:val="000000"/>
                <w:szCs w:val="22"/>
                <w:lang w:val="en-US"/>
              </w:rPr>
              <w:br/>
              <w:t>for 20% of normal CP</w:t>
            </w:r>
          </w:p>
        </w:tc>
        <w:tc>
          <w:tcPr>
            <w:tcW w:w="912" w:type="dxa"/>
            <w:tcBorders>
              <w:top w:val="nil"/>
              <w:left w:val="nil"/>
              <w:bottom w:val="single" w:sz="4" w:space="0" w:color="auto"/>
              <w:right w:val="single" w:sz="4" w:space="0" w:color="auto"/>
            </w:tcBorders>
            <w:shd w:val="clear" w:color="auto" w:fill="auto"/>
            <w:noWrap/>
            <w:vAlign w:val="bottom"/>
            <w:hideMark/>
          </w:tcPr>
          <w:p w14:paraId="2E661D72" w14:textId="4EF4E751" w:rsidR="006F52D7" w:rsidRPr="00BF51B7" w:rsidRDefault="006F52D7" w:rsidP="00D60AA5">
            <w:pPr>
              <w:spacing w:after="0"/>
              <w:jc w:val="center"/>
              <w:rPr>
                <w:rFonts w:ascii="Calibri" w:hAnsi="Calibri"/>
                <w:color w:val="000000"/>
                <w:szCs w:val="22"/>
                <w:lang w:val="en-US"/>
              </w:rPr>
            </w:pPr>
            <w:r>
              <w:rPr>
                <w:rFonts w:ascii="Calibri" w:hAnsi="Calibri"/>
                <w:color w:val="000000"/>
                <w:szCs w:val="22"/>
                <w:lang w:val="en-US"/>
              </w:rPr>
              <w:t>±13</w:t>
            </w:r>
          </w:p>
        </w:tc>
        <w:tc>
          <w:tcPr>
            <w:tcW w:w="994" w:type="dxa"/>
            <w:tcBorders>
              <w:top w:val="nil"/>
              <w:left w:val="nil"/>
              <w:bottom w:val="single" w:sz="4" w:space="0" w:color="auto"/>
              <w:right w:val="single" w:sz="4" w:space="0" w:color="auto"/>
            </w:tcBorders>
            <w:shd w:val="clear" w:color="auto" w:fill="auto"/>
            <w:noWrap/>
            <w:vAlign w:val="bottom"/>
            <w:hideMark/>
          </w:tcPr>
          <w:p w14:paraId="1E847290" w14:textId="08DC5D0C" w:rsidR="006F52D7" w:rsidRPr="00BF51B7" w:rsidRDefault="006F52D7" w:rsidP="00D60AA5">
            <w:pPr>
              <w:spacing w:after="0"/>
              <w:jc w:val="center"/>
              <w:rPr>
                <w:rFonts w:ascii="Calibri" w:hAnsi="Calibri"/>
                <w:color w:val="000000"/>
                <w:szCs w:val="22"/>
                <w:lang w:val="en-US"/>
              </w:rPr>
            </w:pPr>
            <w:r>
              <w:rPr>
                <w:rFonts w:ascii="Calibri" w:hAnsi="Calibri"/>
                <w:color w:val="000000"/>
                <w:szCs w:val="22"/>
                <w:lang w:val="en-US"/>
              </w:rPr>
              <w:t>±6.5</w:t>
            </w:r>
          </w:p>
        </w:tc>
        <w:tc>
          <w:tcPr>
            <w:tcW w:w="992" w:type="dxa"/>
            <w:tcBorders>
              <w:top w:val="nil"/>
              <w:left w:val="nil"/>
              <w:bottom w:val="single" w:sz="4" w:space="0" w:color="auto"/>
              <w:right w:val="single" w:sz="4" w:space="0" w:color="auto"/>
            </w:tcBorders>
            <w:shd w:val="clear" w:color="auto" w:fill="auto"/>
            <w:noWrap/>
            <w:vAlign w:val="bottom"/>
            <w:hideMark/>
          </w:tcPr>
          <w:p w14:paraId="5A2BB11D" w14:textId="2BD579CD" w:rsidR="006F52D7" w:rsidRPr="00BF51B7" w:rsidRDefault="006F52D7" w:rsidP="00D60AA5">
            <w:pPr>
              <w:spacing w:after="0"/>
              <w:jc w:val="center"/>
              <w:rPr>
                <w:rFonts w:ascii="Calibri" w:hAnsi="Calibri"/>
                <w:color w:val="000000"/>
                <w:szCs w:val="22"/>
                <w:lang w:val="en-US"/>
              </w:rPr>
            </w:pPr>
            <w:r>
              <w:rPr>
                <w:rFonts w:ascii="Calibri" w:hAnsi="Calibri"/>
                <w:color w:val="000000"/>
                <w:szCs w:val="22"/>
                <w:lang w:val="en-US"/>
              </w:rPr>
              <w:t>±3.25</w:t>
            </w:r>
          </w:p>
        </w:tc>
        <w:tc>
          <w:tcPr>
            <w:tcW w:w="1134" w:type="dxa"/>
            <w:tcBorders>
              <w:top w:val="nil"/>
              <w:left w:val="nil"/>
              <w:bottom w:val="single" w:sz="4" w:space="0" w:color="auto"/>
              <w:right w:val="single" w:sz="4" w:space="0" w:color="auto"/>
            </w:tcBorders>
            <w:shd w:val="clear" w:color="auto" w:fill="auto"/>
            <w:noWrap/>
            <w:vAlign w:val="bottom"/>
            <w:hideMark/>
          </w:tcPr>
          <w:p w14:paraId="59368538" w14:textId="78AF5116" w:rsidR="006F52D7" w:rsidRPr="00BF51B7" w:rsidRDefault="006F52D7" w:rsidP="00D60AA5">
            <w:pPr>
              <w:spacing w:after="0"/>
              <w:jc w:val="center"/>
              <w:rPr>
                <w:rFonts w:ascii="Calibri" w:hAnsi="Calibri"/>
                <w:color w:val="000000"/>
                <w:szCs w:val="22"/>
                <w:lang w:val="en-US"/>
              </w:rPr>
            </w:pPr>
            <w:r>
              <w:rPr>
                <w:rFonts w:ascii="Calibri" w:hAnsi="Calibri"/>
                <w:color w:val="000000"/>
                <w:szCs w:val="22"/>
                <w:lang w:val="en-US"/>
              </w:rPr>
              <w:t>±1.6</w:t>
            </w:r>
          </w:p>
        </w:tc>
        <w:tc>
          <w:tcPr>
            <w:tcW w:w="993" w:type="dxa"/>
            <w:tcBorders>
              <w:top w:val="nil"/>
              <w:left w:val="nil"/>
              <w:bottom w:val="single" w:sz="4" w:space="0" w:color="auto"/>
              <w:right w:val="single" w:sz="4" w:space="0" w:color="auto"/>
            </w:tcBorders>
          </w:tcPr>
          <w:p w14:paraId="385A5984" w14:textId="77777777" w:rsidR="006F52D7" w:rsidRDefault="006F52D7" w:rsidP="00D60AA5">
            <w:pPr>
              <w:spacing w:after="0"/>
              <w:jc w:val="center"/>
              <w:rPr>
                <w:rFonts w:ascii="Calibri" w:hAnsi="Calibri"/>
                <w:color w:val="000000"/>
                <w:szCs w:val="22"/>
                <w:lang w:val="en-US"/>
              </w:rPr>
            </w:pPr>
          </w:p>
          <w:p w14:paraId="72F4AC23" w14:textId="36B0F53B" w:rsidR="006F52D7" w:rsidRDefault="006F52D7" w:rsidP="00D60AA5">
            <w:pPr>
              <w:spacing w:after="0"/>
              <w:jc w:val="center"/>
              <w:rPr>
                <w:rFonts w:ascii="Calibri" w:hAnsi="Calibri"/>
                <w:color w:val="000000"/>
                <w:szCs w:val="22"/>
                <w:lang w:val="en-US"/>
              </w:rPr>
            </w:pPr>
            <w:r>
              <w:rPr>
                <w:rFonts w:ascii="Calibri" w:hAnsi="Calibri"/>
                <w:color w:val="000000"/>
                <w:szCs w:val="22"/>
                <w:lang w:val="en-US"/>
              </w:rPr>
              <w:t>±0.81</w:t>
            </w:r>
          </w:p>
        </w:tc>
      </w:tr>
    </w:tbl>
    <w:p w14:paraId="1FBCB2B9" w14:textId="77777777" w:rsidR="005C360E" w:rsidRPr="00362891" w:rsidRDefault="005C360E" w:rsidP="005C360E">
      <w:pPr>
        <w:ind w:left="360"/>
        <w:jc w:val="both"/>
        <w:rPr>
          <w:b/>
        </w:rPr>
      </w:pPr>
      <w:r>
        <w:br/>
      </w:r>
      <w:r>
        <w:rPr>
          <w:b/>
        </w:rPr>
        <w:t>Table 3: TA uncertainty</w:t>
      </w:r>
    </w:p>
    <w:p w14:paraId="355A529E" w14:textId="60F6A1C5" w:rsidR="00E21E3F" w:rsidRPr="00E21E3F" w:rsidRDefault="00E21E3F" w:rsidP="00E21E3F">
      <w:pPr>
        <w:jc w:val="both"/>
      </w:pPr>
      <w:r>
        <w:t xml:space="preserve">In RAN4#83 there was a discussion with regards to the DigRF specification (from MIPI) between RF and baseband will </w:t>
      </w:r>
      <w:r w:rsidR="00305374">
        <w:t>give</w:t>
      </w:r>
      <w:r>
        <w:t xml:space="preserve"> an uncertainty that does not scale with subcarrier spacing. However, historically, MIMI specification has been updated every time a new technology has been introduced (GSM, WCDMA,LTE). What we do here is to specify the new 3GPP starting point as input to other specification groups like MIPI.  </w:t>
      </w:r>
    </w:p>
    <w:p w14:paraId="2521284B" w14:textId="78E00AF3" w:rsidR="005C360E" w:rsidRDefault="00EA4A8A" w:rsidP="005C360E">
      <w:pPr>
        <w:jc w:val="both"/>
        <w:rPr>
          <w:b/>
        </w:rPr>
      </w:pPr>
      <w:r>
        <w:rPr>
          <w:b/>
        </w:rPr>
        <w:t>Observation</w:t>
      </w:r>
      <w:r w:rsidR="00013E7A">
        <w:rPr>
          <w:b/>
        </w:rPr>
        <w:t xml:space="preserve"> 1</w:t>
      </w:r>
      <w:r w:rsidR="005C360E">
        <w:rPr>
          <w:b/>
        </w:rPr>
        <w:t xml:space="preserve">: </w:t>
      </w:r>
      <w:r w:rsidR="005C360E" w:rsidRPr="00B36DF2">
        <w:rPr>
          <w:b/>
        </w:rPr>
        <w:t>The TA error must scale with numerology</w:t>
      </w:r>
      <w:r w:rsidR="00013E7A">
        <w:rPr>
          <w:b/>
        </w:rPr>
        <w:t xml:space="preserve"> to keep the TA error fraction of CP constant.</w:t>
      </w:r>
    </w:p>
    <w:p w14:paraId="04138ADC" w14:textId="77777777" w:rsidR="005C360E" w:rsidRPr="00B74E1F" w:rsidRDefault="005C360E" w:rsidP="005C360E">
      <w:pPr>
        <w:jc w:val="both"/>
      </w:pPr>
      <w:r w:rsidRPr="00B74E1F">
        <w:t>If we continue to scale the budget</w:t>
      </w:r>
      <w:r>
        <w:t xml:space="preserve"> from table 1 we get table 4.</w:t>
      </w:r>
    </w:p>
    <w:tbl>
      <w:tblPr>
        <w:tblW w:w="8931"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1568"/>
        <w:gridCol w:w="982"/>
        <w:gridCol w:w="1002"/>
        <w:gridCol w:w="992"/>
        <w:gridCol w:w="1134"/>
        <w:gridCol w:w="993"/>
      </w:tblGrid>
      <w:tr w:rsidR="00547C3E" w:rsidRPr="00B74E1F" w14:paraId="07494E20" w14:textId="37C544E8" w:rsidTr="009B2EC7">
        <w:trPr>
          <w:trHeight w:val="315"/>
        </w:trPr>
        <w:tc>
          <w:tcPr>
            <w:tcW w:w="2260" w:type="dxa"/>
            <w:shd w:val="clear" w:color="auto" w:fill="auto"/>
            <w:vAlign w:val="center"/>
            <w:hideMark/>
          </w:tcPr>
          <w:p w14:paraId="7CC2C394" w14:textId="77777777" w:rsidR="00547C3E" w:rsidRPr="00B74E1F" w:rsidRDefault="00547C3E" w:rsidP="00547C3E">
            <w:pPr>
              <w:spacing w:after="0"/>
              <w:jc w:val="both"/>
              <w:rPr>
                <w:b/>
                <w:bCs/>
                <w:color w:val="000000"/>
                <w:lang w:val="en-US"/>
              </w:rPr>
            </w:pPr>
            <w:r w:rsidRPr="00B74E1F">
              <w:rPr>
                <w:b/>
                <w:bCs/>
                <w:color w:val="000000"/>
              </w:rPr>
              <w:t>Source of uncertainty</w:t>
            </w:r>
          </w:p>
        </w:tc>
        <w:tc>
          <w:tcPr>
            <w:tcW w:w="1568" w:type="dxa"/>
            <w:shd w:val="clear" w:color="auto" w:fill="auto"/>
            <w:vAlign w:val="center"/>
            <w:hideMark/>
          </w:tcPr>
          <w:p w14:paraId="56D604AB" w14:textId="77777777" w:rsidR="00547C3E" w:rsidRPr="00B74E1F" w:rsidRDefault="00547C3E" w:rsidP="00547C3E">
            <w:pPr>
              <w:spacing w:after="0"/>
              <w:jc w:val="both"/>
              <w:rPr>
                <w:b/>
                <w:bCs/>
                <w:color w:val="000000"/>
                <w:lang w:val="en-US"/>
              </w:rPr>
            </w:pPr>
            <w:r w:rsidRPr="00B74E1F">
              <w:rPr>
                <w:b/>
                <w:bCs/>
                <w:color w:val="000000"/>
              </w:rPr>
              <w:t>Reference</w:t>
            </w:r>
          </w:p>
        </w:tc>
        <w:tc>
          <w:tcPr>
            <w:tcW w:w="982" w:type="dxa"/>
            <w:shd w:val="clear" w:color="auto" w:fill="auto"/>
            <w:vAlign w:val="center"/>
            <w:hideMark/>
          </w:tcPr>
          <w:p w14:paraId="6B7DF05B" w14:textId="77777777" w:rsidR="00547C3E" w:rsidRPr="00B74E1F" w:rsidRDefault="00547C3E" w:rsidP="00547C3E">
            <w:pPr>
              <w:spacing w:after="0"/>
              <w:jc w:val="center"/>
              <w:rPr>
                <w:b/>
                <w:bCs/>
                <w:color w:val="000000"/>
                <w:lang w:val="en-US"/>
              </w:rPr>
            </w:pPr>
            <w:r w:rsidRPr="00B74E1F">
              <w:rPr>
                <w:b/>
                <w:bCs/>
                <w:color w:val="000000"/>
              </w:rPr>
              <w:t>15</w:t>
            </w:r>
          </w:p>
        </w:tc>
        <w:tc>
          <w:tcPr>
            <w:tcW w:w="1002" w:type="dxa"/>
            <w:shd w:val="clear" w:color="auto" w:fill="auto"/>
            <w:vAlign w:val="center"/>
            <w:hideMark/>
          </w:tcPr>
          <w:p w14:paraId="597AC3E6" w14:textId="77777777" w:rsidR="00547C3E" w:rsidRPr="00B74E1F" w:rsidRDefault="00547C3E" w:rsidP="00547C3E">
            <w:pPr>
              <w:spacing w:after="0"/>
              <w:jc w:val="center"/>
              <w:rPr>
                <w:b/>
                <w:bCs/>
                <w:color w:val="000000"/>
                <w:lang w:val="en-US"/>
              </w:rPr>
            </w:pPr>
            <w:r w:rsidRPr="00B74E1F">
              <w:rPr>
                <w:b/>
                <w:bCs/>
                <w:color w:val="000000"/>
              </w:rPr>
              <w:t>30</w:t>
            </w:r>
          </w:p>
        </w:tc>
        <w:tc>
          <w:tcPr>
            <w:tcW w:w="992" w:type="dxa"/>
            <w:shd w:val="clear" w:color="auto" w:fill="auto"/>
            <w:vAlign w:val="center"/>
            <w:hideMark/>
          </w:tcPr>
          <w:p w14:paraId="55BA3DAC" w14:textId="77777777" w:rsidR="00547C3E" w:rsidRPr="00B74E1F" w:rsidRDefault="00547C3E" w:rsidP="00547C3E">
            <w:pPr>
              <w:spacing w:after="0"/>
              <w:jc w:val="center"/>
              <w:rPr>
                <w:b/>
                <w:bCs/>
                <w:color w:val="000000"/>
                <w:lang w:val="en-US"/>
              </w:rPr>
            </w:pPr>
            <w:r w:rsidRPr="00B74E1F">
              <w:rPr>
                <w:b/>
                <w:bCs/>
                <w:color w:val="000000"/>
              </w:rPr>
              <w:t>60</w:t>
            </w:r>
          </w:p>
        </w:tc>
        <w:tc>
          <w:tcPr>
            <w:tcW w:w="1134" w:type="dxa"/>
            <w:shd w:val="clear" w:color="auto" w:fill="auto"/>
            <w:vAlign w:val="center"/>
            <w:hideMark/>
          </w:tcPr>
          <w:p w14:paraId="64DCD7A2" w14:textId="77777777" w:rsidR="00547C3E" w:rsidRPr="00B74E1F" w:rsidRDefault="00547C3E" w:rsidP="00547C3E">
            <w:pPr>
              <w:spacing w:after="0"/>
              <w:jc w:val="center"/>
              <w:rPr>
                <w:b/>
                <w:bCs/>
                <w:color w:val="000000"/>
                <w:lang w:val="en-US"/>
              </w:rPr>
            </w:pPr>
            <w:r w:rsidRPr="00B74E1F">
              <w:rPr>
                <w:b/>
                <w:bCs/>
                <w:color w:val="000000"/>
              </w:rPr>
              <w:t>120</w:t>
            </w:r>
          </w:p>
        </w:tc>
        <w:tc>
          <w:tcPr>
            <w:tcW w:w="993" w:type="dxa"/>
            <w:vAlign w:val="center"/>
          </w:tcPr>
          <w:p w14:paraId="291EE4E6" w14:textId="3E1CCBE5" w:rsidR="00547C3E" w:rsidRDefault="000F2C82" w:rsidP="00547C3E">
            <w:pPr>
              <w:spacing w:after="0"/>
              <w:jc w:val="center"/>
              <w:rPr>
                <w:b/>
                <w:bCs/>
                <w:color w:val="000000"/>
              </w:rPr>
            </w:pPr>
            <w:r>
              <w:rPr>
                <w:b/>
                <w:bCs/>
                <w:color w:val="000000"/>
              </w:rPr>
              <w:t>24</w:t>
            </w:r>
            <w:r w:rsidR="00547C3E" w:rsidRPr="00B74E1F">
              <w:rPr>
                <w:b/>
                <w:bCs/>
                <w:color w:val="000000"/>
              </w:rPr>
              <w:t>0</w:t>
            </w:r>
          </w:p>
        </w:tc>
      </w:tr>
      <w:tr w:rsidR="003338BB" w:rsidRPr="00B74E1F" w14:paraId="5EEDDD15" w14:textId="345B92C8" w:rsidTr="009B2EC7">
        <w:trPr>
          <w:trHeight w:val="810"/>
        </w:trPr>
        <w:tc>
          <w:tcPr>
            <w:tcW w:w="2260" w:type="dxa"/>
            <w:shd w:val="clear" w:color="auto" w:fill="auto"/>
            <w:vAlign w:val="center"/>
            <w:hideMark/>
          </w:tcPr>
          <w:p w14:paraId="2246E729" w14:textId="38E1AAAD" w:rsidR="003338BB" w:rsidRPr="00B74E1F" w:rsidRDefault="003338BB" w:rsidP="00547C3E">
            <w:pPr>
              <w:spacing w:after="0"/>
              <w:rPr>
                <w:color w:val="000000"/>
                <w:lang w:val="en-US"/>
              </w:rPr>
            </w:pPr>
            <w:r>
              <w:rPr>
                <w:color w:val="000000"/>
              </w:rPr>
              <w:lastRenderedPageBreak/>
              <w:t>1</w:t>
            </w:r>
            <w:r w:rsidRPr="00B74E1F">
              <w:rPr>
                <w:color w:val="000000"/>
              </w:rPr>
              <w:t>. gNB determines a TA command to apply</w:t>
            </w:r>
          </w:p>
        </w:tc>
        <w:tc>
          <w:tcPr>
            <w:tcW w:w="1568" w:type="dxa"/>
            <w:shd w:val="clear" w:color="auto" w:fill="auto"/>
            <w:vAlign w:val="center"/>
            <w:hideMark/>
          </w:tcPr>
          <w:p w14:paraId="151ED8F4" w14:textId="4E6BFDA5" w:rsidR="003338BB" w:rsidRPr="00B74E1F" w:rsidRDefault="003338BB" w:rsidP="00547C3E">
            <w:pPr>
              <w:spacing w:after="0"/>
              <w:jc w:val="both"/>
              <w:rPr>
                <w:color w:val="000000"/>
                <w:lang w:val="en-US"/>
              </w:rPr>
            </w:pPr>
            <w:r w:rsidRPr="00B74E1F">
              <w:rPr>
                <w:color w:val="000000"/>
              </w:rPr>
              <w:t xml:space="preserve">36.133 section 7.3 </w:t>
            </w:r>
          </w:p>
        </w:tc>
        <w:tc>
          <w:tcPr>
            <w:tcW w:w="982" w:type="dxa"/>
            <w:shd w:val="clear" w:color="auto" w:fill="auto"/>
            <w:vAlign w:val="center"/>
            <w:hideMark/>
          </w:tcPr>
          <w:p w14:paraId="5B75BFF0" w14:textId="1E6071DC" w:rsidR="003338BB" w:rsidRPr="00B74E1F" w:rsidRDefault="003338BB" w:rsidP="00547C3E">
            <w:pPr>
              <w:spacing w:after="0"/>
              <w:jc w:val="center"/>
              <w:rPr>
                <w:color w:val="000000"/>
                <w:lang w:val="en-US"/>
              </w:rPr>
            </w:pPr>
            <w:r w:rsidRPr="00B74E1F">
              <w:rPr>
                <w:color w:val="000000"/>
              </w:rPr>
              <w:t>8</w:t>
            </w:r>
          </w:p>
        </w:tc>
        <w:tc>
          <w:tcPr>
            <w:tcW w:w="1002" w:type="dxa"/>
            <w:shd w:val="clear" w:color="auto" w:fill="auto"/>
            <w:vAlign w:val="center"/>
            <w:hideMark/>
          </w:tcPr>
          <w:p w14:paraId="4F5135F9" w14:textId="223A44B0" w:rsidR="003338BB" w:rsidRPr="00B74E1F" w:rsidRDefault="003338BB" w:rsidP="00547C3E">
            <w:pPr>
              <w:spacing w:after="0"/>
              <w:jc w:val="center"/>
              <w:rPr>
                <w:color w:val="000000"/>
                <w:lang w:val="en-US"/>
              </w:rPr>
            </w:pPr>
            <w:r w:rsidRPr="00B74E1F">
              <w:rPr>
                <w:color w:val="000000"/>
              </w:rPr>
              <w:t>4</w:t>
            </w:r>
          </w:p>
        </w:tc>
        <w:tc>
          <w:tcPr>
            <w:tcW w:w="992" w:type="dxa"/>
            <w:shd w:val="clear" w:color="auto" w:fill="auto"/>
            <w:vAlign w:val="center"/>
            <w:hideMark/>
          </w:tcPr>
          <w:p w14:paraId="79907ED9" w14:textId="6963CD84" w:rsidR="003338BB" w:rsidRPr="00B74E1F" w:rsidRDefault="003338BB" w:rsidP="00547C3E">
            <w:pPr>
              <w:spacing w:after="0"/>
              <w:jc w:val="center"/>
              <w:rPr>
                <w:color w:val="000000"/>
                <w:lang w:val="en-US"/>
              </w:rPr>
            </w:pPr>
            <w:r w:rsidRPr="00B74E1F">
              <w:rPr>
                <w:color w:val="000000"/>
              </w:rPr>
              <w:t>2</w:t>
            </w:r>
          </w:p>
        </w:tc>
        <w:tc>
          <w:tcPr>
            <w:tcW w:w="1134" w:type="dxa"/>
            <w:shd w:val="clear" w:color="auto" w:fill="auto"/>
            <w:vAlign w:val="center"/>
            <w:hideMark/>
          </w:tcPr>
          <w:p w14:paraId="375F5287" w14:textId="32DF3E89" w:rsidR="003338BB" w:rsidRPr="00B74E1F" w:rsidRDefault="003338BB" w:rsidP="00547C3E">
            <w:pPr>
              <w:spacing w:after="0"/>
              <w:jc w:val="center"/>
              <w:rPr>
                <w:color w:val="000000"/>
                <w:lang w:val="en-US"/>
              </w:rPr>
            </w:pPr>
            <w:r w:rsidRPr="00B74E1F">
              <w:rPr>
                <w:color w:val="000000"/>
              </w:rPr>
              <w:t>1</w:t>
            </w:r>
          </w:p>
        </w:tc>
        <w:tc>
          <w:tcPr>
            <w:tcW w:w="993" w:type="dxa"/>
            <w:vAlign w:val="center"/>
          </w:tcPr>
          <w:p w14:paraId="31EDA7A3" w14:textId="6B2BC635" w:rsidR="003338BB" w:rsidRDefault="003338BB" w:rsidP="00547C3E">
            <w:pPr>
              <w:spacing w:after="0"/>
              <w:jc w:val="center"/>
              <w:rPr>
                <w:color w:val="000000"/>
              </w:rPr>
            </w:pPr>
            <w:r>
              <w:rPr>
                <w:color w:val="000000"/>
              </w:rPr>
              <w:t>0.5</w:t>
            </w:r>
          </w:p>
        </w:tc>
      </w:tr>
      <w:tr w:rsidR="003338BB" w:rsidRPr="00B74E1F" w14:paraId="24C2FDCB" w14:textId="7875D239" w:rsidTr="009B2EC7">
        <w:trPr>
          <w:trHeight w:val="525"/>
        </w:trPr>
        <w:tc>
          <w:tcPr>
            <w:tcW w:w="2260" w:type="dxa"/>
            <w:shd w:val="clear" w:color="auto" w:fill="auto"/>
            <w:vAlign w:val="center"/>
            <w:hideMark/>
          </w:tcPr>
          <w:p w14:paraId="664758E0" w14:textId="25A6A779" w:rsidR="003338BB" w:rsidRPr="00B74E1F" w:rsidRDefault="003338BB" w:rsidP="00547C3E">
            <w:pPr>
              <w:spacing w:after="0"/>
              <w:rPr>
                <w:color w:val="000000"/>
                <w:lang w:val="en-US"/>
              </w:rPr>
            </w:pPr>
            <w:r>
              <w:rPr>
                <w:color w:val="000000"/>
              </w:rPr>
              <w:t>2</w:t>
            </w:r>
            <w:r w:rsidRPr="00B74E1F">
              <w:rPr>
                <w:color w:val="000000"/>
              </w:rPr>
              <w:t>. UE applies TA command</w:t>
            </w:r>
          </w:p>
        </w:tc>
        <w:tc>
          <w:tcPr>
            <w:tcW w:w="1568" w:type="dxa"/>
            <w:shd w:val="clear" w:color="auto" w:fill="auto"/>
            <w:vAlign w:val="center"/>
            <w:hideMark/>
          </w:tcPr>
          <w:p w14:paraId="5A2978F1" w14:textId="1332C3E3" w:rsidR="003338BB" w:rsidRPr="00B74E1F" w:rsidRDefault="003338BB" w:rsidP="00547C3E">
            <w:pPr>
              <w:spacing w:after="0"/>
              <w:jc w:val="both"/>
              <w:rPr>
                <w:color w:val="000000"/>
                <w:lang w:val="en-US"/>
              </w:rPr>
            </w:pPr>
            <w:r w:rsidRPr="00B74E1F">
              <w:rPr>
                <w:color w:val="000000"/>
              </w:rPr>
              <w:t xml:space="preserve">36.133 section 7.3 </w:t>
            </w:r>
          </w:p>
        </w:tc>
        <w:tc>
          <w:tcPr>
            <w:tcW w:w="982" w:type="dxa"/>
            <w:shd w:val="clear" w:color="auto" w:fill="auto"/>
            <w:vAlign w:val="center"/>
            <w:hideMark/>
          </w:tcPr>
          <w:p w14:paraId="0411A127" w14:textId="72C9B4DE" w:rsidR="003338BB" w:rsidRPr="00B74E1F" w:rsidRDefault="003338BB" w:rsidP="00547C3E">
            <w:pPr>
              <w:spacing w:after="0"/>
              <w:jc w:val="center"/>
              <w:rPr>
                <w:color w:val="000000"/>
                <w:lang w:val="en-US"/>
              </w:rPr>
            </w:pPr>
            <w:r w:rsidRPr="00B74E1F">
              <w:rPr>
                <w:color w:val="000000"/>
              </w:rPr>
              <w:t>4</w:t>
            </w:r>
          </w:p>
        </w:tc>
        <w:tc>
          <w:tcPr>
            <w:tcW w:w="1002" w:type="dxa"/>
            <w:shd w:val="clear" w:color="auto" w:fill="auto"/>
            <w:vAlign w:val="center"/>
            <w:hideMark/>
          </w:tcPr>
          <w:p w14:paraId="3360025A" w14:textId="2F4265C6" w:rsidR="003338BB" w:rsidRPr="00B74E1F" w:rsidRDefault="003338BB" w:rsidP="00547C3E">
            <w:pPr>
              <w:spacing w:after="0"/>
              <w:jc w:val="center"/>
              <w:rPr>
                <w:color w:val="000000"/>
                <w:lang w:val="en-US"/>
              </w:rPr>
            </w:pPr>
            <w:r w:rsidRPr="00B74E1F">
              <w:rPr>
                <w:color w:val="000000"/>
              </w:rPr>
              <w:t>2</w:t>
            </w:r>
          </w:p>
        </w:tc>
        <w:tc>
          <w:tcPr>
            <w:tcW w:w="992" w:type="dxa"/>
            <w:shd w:val="clear" w:color="auto" w:fill="auto"/>
            <w:vAlign w:val="center"/>
            <w:hideMark/>
          </w:tcPr>
          <w:p w14:paraId="0546FE7B" w14:textId="428EA670" w:rsidR="003338BB" w:rsidRPr="00B74E1F" w:rsidRDefault="003338BB" w:rsidP="00547C3E">
            <w:pPr>
              <w:spacing w:after="0"/>
              <w:jc w:val="center"/>
              <w:rPr>
                <w:color w:val="000000"/>
                <w:lang w:val="en-US"/>
              </w:rPr>
            </w:pPr>
            <w:r w:rsidRPr="00B74E1F">
              <w:rPr>
                <w:color w:val="000000"/>
              </w:rPr>
              <w:t>1</w:t>
            </w:r>
          </w:p>
        </w:tc>
        <w:tc>
          <w:tcPr>
            <w:tcW w:w="1134" w:type="dxa"/>
            <w:shd w:val="clear" w:color="auto" w:fill="auto"/>
            <w:vAlign w:val="center"/>
            <w:hideMark/>
          </w:tcPr>
          <w:p w14:paraId="0F9D689D" w14:textId="49148A7B" w:rsidR="003338BB" w:rsidRPr="00B74E1F" w:rsidRDefault="003338BB" w:rsidP="00547C3E">
            <w:pPr>
              <w:spacing w:after="0"/>
              <w:jc w:val="center"/>
              <w:rPr>
                <w:color w:val="000000"/>
                <w:lang w:val="en-US"/>
              </w:rPr>
            </w:pPr>
            <w:r w:rsidRPr="00B74E1F">
              <w:rPr>
                <w:color w:val="000000"/>
              </w:rPr>
              <w:t>0.5</w:t>
            </w:r>
          </w:p>
        </w:tc>
        <w:tc>
          <w:tcPr>
            <w:tcW w:w="993" w:type="dxa"/>
            <w:vAlign w:val="center"/>
          </w:tcPr>
          <w:p w14:paraId="3DE4D8D7" w14:textId="1A4A72B3" w:rsidR="003338BB" w:rsidRDefault="003338BB" w:rsidP="00547C3E">
            <w:pPr>
              <w:spacing w:after="0"/>
              <w:jc w:val="center"/>
              <w:rPr>
                <w:color w:val="000000"/>
              </w:rPr>
            </w:pPr>
            <w:r w:rsidRPr="00B74E1F">
              <w:rPr>
                <w:color w:val="000000"/>
              </w:rPr>
              <w:t>0.</w:t>
            </w:r>
            <w:r>
              <w:rPr>
                <w:color w:val="000000"/>
              </w:rPr>
              <w:t>25</w:t>
            </w:r>
          </w:p>
        </w:tc>
      </w:tr>
      <w:tr w:rsidR="003338BB" w:rsidRPr="00B74E1F" w14:paraId="52A69133" w14:textId="5F05AEB0" w:rsidTr="009B2EC7">
        <w:trPr>
          <w:trHeight w:val="525"/>
        </w:trPr>
        <w:tc>
          <w:tcPr>
            <w:tcW w:w="2260" w:type="dxa"/>
            <w:shd w:val="clear" w:color="auto" w:fill="auto"/>
            <w:vAlign w:val="center"/>
            <w:hideMark/>
          </w:tcPr>
          <w:p w14:paraId="678F1568" w14:textId="0255F000" w:rsidR="003338BB" w:rsidRPr="00B74E1F" w:rsidRDefault="003338BB" w:rsidP="00547C3E">
            <w:pPr>
              <w:spacing w:after="0"/>
              <w:rPr>
                <w:color w:val="000000"/>
                <w:lang w:val="en-US"/>
              </w:rPr>
            </w:pPr>
            <w:r w:rsidRPr="00B74E1F">
              <w:rPr>
                <w:color w:val="000000"/>
                <w:lang w:val="en-US"/>
              </w:rPr>
              <w:t>Total</w:t>
            </w:r>
          </w:p>
        </w:tc>
        <w:tc>
          <w:tcPr>
            <w:tcW w:w="1568" w:type="dxa"/>
            <w:shd w:val="clear" w:color="auto" w:fill="auto"/>
            <w:vAlign w:val="bottom"/>
            <w:hideMark/>
          </w:tcPr>
          <w:p w14:paraId="77352D9D" w14:textId="28D5128C" w:rsidR="003338BB" w:rsidRPr="00B74E1F" w:rsidRDefault="003338BB" w:rsidP="00547C3E">
            <w:pPr>
              <w:spacing w:after="0"/>
              <w:jc w:val="both"/>
              <w:rPr>
                <w:color w:val="000000"/>
                <w:lang w:val="en-US"/>
              </w:rPr>
            </w:pPr>
            <w:r w:rsidRPr="00B74E1F">
              <w:rPr>
                <w:rFonts w:ascii="Calibri" w:hAnsi="Calibri"/>
                <w:color w:val="000000"/>
                <w:szCs w:val="22"/>
                <w:lang w:val="en-US"/>
              </w:rPr>
              <w:t> </w:t>
            </w:r>
          </w:p>
        </w:tc>
        <w:tc>
          <w:tcPr>
            <w:tcW w:w="982" w:type="dxa"/>
            <w:shd w:val="clear" w:color="auto" w:fill="auto"/>
            <w:vAlign w:val="bottom"/>
            <w:hideMark/>
          </w:tcPr>
          <w:p w14:paraId="4E23E362" w14:textId="050FC95C" w:rsidR="003338BB" w:rsidRPr="00B74E1F" w:rsidRDefault="003338BB" w:rsidP="00547C3E">
            <w:pPr>
              <w:spacing w:after="0"/>
              <w:jc w:val="center"/>
              <w:rPr>
                <w:color w:val="000000"/>
                <w:lang w:val="en-US"/>
              </w:rPr>
            </w:pPr>
            <w:r>
              <w:rPr>
                <w:rFonts w:ascii="Calibri" w:hAnsi="Calibri"/>
                <w:color w:val="000000"/>
                <w:szCs w:val="22"/>
                <w:lang w:val="en-US"/>
              </w:rPr>
              <w:t>±12</w:t>
            </w:r>
          </w:p>
        </w:tc>
        <w:tc>
          <w:tcPr>
            <w:tcW w:w="1002" w:type="dxa"/>
            <w:shd w:val="clear" w:color="auto" w:fill="auto"/>
            <w:vAlign w:val="bottom"/>
            <w:hideMark/>
          </w:tcPr>
          <w:p w14:paraId="51D71079" w14:textId="089C69E8" w:rsidR="003338BB" w:rsidRPr="00B74E1F" w:rsidRDefault="003338BB" w:rsidP="00547C3E">
            <w:pPr>
              <w:spacing w:after="0"/>
              <w:jc w:val="center"/>
              <w:rPr>
                <w:color w:val="000000"/>
                <w:lang w:val="en-US"/>
              </w:rPr>
            </w:pPr>
            <w:r>
              <w:rPr>
                <w:rFonts w:ascii="Calibri" w:hAnsi="Calibri"/>
                <w:color w:val="000000"/>
                <w:szCs w:val="22"/>
                <w:lang w:val="en-US"/>
              </w:rPr>
              <w:t>±6.0</w:t>
            </w:r>
          </w:p>
        </w:tc>
        <w:tc>
          <w:tcPr>
            <w:tcW w:w="992" w:type="dxa"/>
            <w:shd w:val="clear" w:color="auto" w:fill="auto"/>
            <w:vAlign w:val="bottom"/>
            <w:hideMark/>
          </w:tcPr>
          <w:p w14:paraId="429FE50C" w14:textId="1BF23E4E" w:rsidR="003338BB" w:rsidRPr="00B74E1F" w:rsidRDefault="003338BB" w:rsidP="00547C3E">
            <w:pPr>
              <w:spacing w:after="0"/>
              <w:jc w:val="center"/>
              <w:rPr>
                <w:color w:val="000000"/>
                <w:lang w:val="en-US"/>
              </w:rPr>
            </w:pPr>
            <w:r>
              <w:rPr>
                <w:rFonts w:ascii="Calibri" w:hAnsi="Calibri"/>
                <w:color w:val="000000"/>
                <w:szCs w:val="22"/>
                <w:lang w:val="en-US"/>
              </w:rPr>
              <w:t>±3.0</w:t>
            </w:r>
          </w:p>
        </w:tc>
        <w:tc>
          <w:tcPr>
            <w:tcW w:w="1134" w:type="dxa"/>
            <w:shd w:val="clear" w:color="auto" w:fill="auto"/>
            <w:vAlign w:val="bottom"/>
            <w:hideMark/>
          </w:tcPr>
          <w:p w14:paraId="0B22D734" w14:textId="3B217001" w:rsidR="003338BB" w:rsidRPr="00B74E1F" w:rsidRDefault="003338BB" w:rsidP="00547C3E">
            <w:pPr>
              <w:spacing w:after="0"/>
              <w:jc w:val="center"/>
              <w:rPr>
                <w:color w:val="000000"/>
                <w:lang w:val="en-US"/>
              </w:rPr>
            </w:pPr>
            <w:r>
              <w:rPr>
                <w:rFonts w:ascii="Calibri" w:hAnsi="Calibri"/>
                <w:color w:val="000000"/>
                <w:szCs w:val="22"/>
                <w:lang w:val="en-US"/>
              </w:rPr>
              <w:t>±1.5</w:t>
            </w:r>
          </w:p>
        </w:tc>
        <w:tc>
          <w:tcPr>
            <w:tcW w:w="993" w:type="dxa"/>
            <w:vAlign w:val="bottom"/>
          </w:tcPr>
          <w:p w14:paraId="5EFF7D4D" w14:textId="127CB742" w:rsidR="003338BB" w:rsidRDefault="003338BB" w:rsidP="00547C3E">
            <w:pPr>
              <w:spacing w:after="0"/>
              <w:jc w:val="center"/>
              <w:rPr>
                <w:color w:val="000000"/>
              </w:rPr>
            </w:pPr>
            <w:r>
              <w:rPr>
                <w:rFonts w:ascii="Calibri" w:hAnsi="Calibri"/>
                <w:color w:val="000000"/>
                <w:szCs w:val="22"/>
                <w:lang w:val="en-US"/>
              </w:rPr>
              <w:t>±0.75</w:t>
            </w:r>
          </w:p>
        </w:tc>
      </w:tr>
    </w:tbl>
    <w:p w14:paraId="295BD290" w14:textId="77777777" w:rsidR="005C360E" w:rsidRDefault="005C360E" w:rsidP="005C360E">
      <w:pPr>
        <w:ind w:left="360"/>
        <w:jc w:val="both"/>
        <w:rPr>
          <w:b/>
        </w:rPr>
      </w:pPr>
      <w:r>
        <w:br/>
      </w:r>
      <w:r>
        <w:rPr>
          <w:b/>
        </w:rPr>
        <w:t>Table 4: TA uncertainty budget examples</w:t>
      </w:r>
    </w:p>
    <w:p w14:paraId="6036A9F8" w14:textId="02B05B0C" w:rsidR="0089552E" w:rsidRPr="00B36DF2" w:rsidRDefault="005C360E" w:rsidP="005C360E">
      <w:pPr>
        <w:jc w:val="both"/>
      </w:pPr>
      <w:r>
        <w:t>If we start to analyse table 4, based on the biggest contributors to the uncertainty we notice that t</w:t>
      </w:r>
      <w:r w:rsidRPr="00B36DF2">
        <w:t>he reporting granularity should improve</w:t>
      </w:r>
      <w:r>
        <w:t>. It is ±8</w:t>
      </w:r>
      <w:r w:rsidR="00B24ADA">
        <w:t xml:space="preserve"> </w:t>
      </w:r>
      <w:r>
        <w:t xml:space="preserve">Ts </w:t>
      </w:r>
      <w:r w:rsidR="00013E7A">
        <w:t>today in LTE</w:t>
      </w:r>
      <w:r w:rsidR="002F79DA">
        <w:t xml:space="preserve">. The </w:t>
      </w:r>
      <w:r w:rsidR="001C4A86">
        <w:t>quantization</w:t>
      </w:r>
      <w:r w:rsidR="002F79DA">
        <w:t xml:space="preserve"> uncertainty i</w:t>
      </w:r>
      <w:r w:rsidR="001C4A86">
        <w:t>s scaled in table 4 above, but i</w:t>
      </w:r>
      <w:r w:rsidR="002F79DA">
        <w:t xml:space="preserve">n an actual </w:t>
      </w:r>
      <w:r w:rsidR="001C4A86">
        <w:t>standard</w:t>
      </w:r>
      <w:r w:rsidR="002F79DA">
        <w:t xml:space="preserve"> this would be defined by protocol and the strictest requirement would be used all over, i.e. ±1 Ts </w:t>
      </w:r>
      <w:r w:rsidR="001C4A86">
        <w:t>quantization</w:t>
      </w:r>
      <w:r w:rsidR="002F79DA">
        <w:t xml:space="preserve"> granularity.</w:t>
      </w:r>
      <w:r w:rsidR="005E7A1D">
        <w:t xml:space="preserve"> Scaling requirements beyond 1 Ts in BS measurement and UE allocation of TA command leads to very strict requirements and might not be feasible.</w:t>
      </w:r>
    </w:p>
    <w:p w14:paraId="453CA56D" w14:textId="7249F071" w:rsidR="00EA4A8A" w:rsidRDefault="004D1644" w:rsidP="005C360E">
      <w:pPr>
        <w:jc w:val="both"/>
        <w:rPr>
          <w:b/>
        </w:rPr>
      </w:pPr>
      <w:r>
        <w:rPr>
          <w:b/>
        </w:rPr>
        <w:t>Proposal</w:t>
      </w:r>
      <w:r w:rsidR="00EA4A8A">
        <w:rPr>
          <w:b/>
        </w:rPr>
        <w:t xml:space="preserve"> 1</w:t>
      </w:r>
      <w:r w:rsidR="005C360E">
        <w:rPr>
          <w:b/>
        </w:rPr>
        <w:t xml:space="preserve">: </w:t>
      </w:r>
      <w:r w:rsidR="00EA4A8A">
        <w:rPr>
          <w:b/>
        </w:rPr>
        <w:t>Scale TA command resoluti</w:t>
      </w:r>
      <w:r w:rsidR="00305374">
        <w:rPr>
          <w:b/>
        </w:rPr>
        <w:t>on with SCS, from 16 Ts for 15 k</w:t>
      </w:r>
      <w:r w:rsidR="00EA4A8A">
        <w:rPr>
          <w:b/>
        </w:rPr>
        <w:t>Hz SCS.</w:t>
      </w:r>
    </w:p>
    <w:p w14:paraId="7F5BD7C4" w14:textId="02F2EC22" w:rsidR="005C360E" w:rsidRDefault="00EA4A8A" w:rsidP="005C360E">
      <w:pPr>
        <w:jc w:val="both"/>
        <w:rPr>
          <w:b/>
        </w:rPr>
      </w:pPr>
      <w:r>
        <w:rPr>
          <w:b/>
        </w:rPr>
        <w:t>Proposal 2: Scale UE relative error relativ</w:t>
      </w:r>
      <w:r w:rsidR="00305374">
        <w:rPr>
          <w:b/>
        </w:rPr>
        <w:t>e to ordered TA value, from 4 Ts</w:t>
      </w:r>
      <w:r>
        <w:rPr>
          <w:b/>
        </w:rPr>
        <w:t xml:space="preserve"> for 15 kHz SCS.</w:t>
      </w:r>
    </w:p>
    <w:p w14:paraId="17043005" w14:textId="3D29BDB1" w:rsidR="003D2D67" w:rsidRDefault="003D2D67" w:rsidP="005C360E">
      <w:pPr>
        <w:jc w:val="both"/>
        <w:rPr>
          <w:b/>
        </w:rPr>
      </w:pPr>
      <w:r>
        <w:t xml:space="preserve">There will be some added uncertainty from the UE </w:t>
      </w:r>
      <w:r w:rsidR="001C4A86">
        <w:t>extracting</w:t>
      </w:r>
      <w:r>
        <w:t xml:space="preserve"> DL timing reference, especially in poor SNR. </w:t>
      </w:r>
      <w:r w:rsidRPr="003D2D67">
        <w:t>Time stamping normally depends on 1) SNR and 2) B</w:t>
      </w:r>
      <w:r>
        <w:t xml:space="preserve">W.  NR have higher minimum BW, so we can expect </w:t>
      </w:r>
      <w:r w:rsidRPr="003D2D67">
        <w:t xml:space="preserve">better time stamp accuracy. </w:t>
      </w:r>
    </w:p>
    <w:p w14:paraId="79774CAF" w14:textId="3FC53C7A" w:rsidR="00B24ADA" w:rsidRPr="00B24ADA" w:rsidRDefault="007224E7" w:rsidP="00905730">
      <w:pPr>
        <w:pStyle w:val="Heading2"/>
      </w:pPr>
      <w:r>
        <w:t>2.2</w:t>
      </w:r>
      <w:r w:rsidR="00905730">
        <w:t xml:space="preserve"> Mobility</w:t>
      </w:r>
      <w:r w:rsidR="00B24ADA" w:rsidRPr="00297AA2">
        <w:t xml:space="preserve"> </w:t>
      </w:r>
    </w:p>
    <w:p w14:paraId="70C5D28D" w14:textId="78CF2ED0" w:rsidR="005C360E" w:rsidRPr="005C576C" w:rsidRDefault="0060127C" w:rsidP="005C360E">
      <w:pPr>
        <w:jc w:val="both"/>
        <w:rPr>
          <w:color w:val="000000" w:themeColor="text1"/>
        </w:rPr>
      </w:pPr>
      <w:r>
        <w:rPr>
          <w:color w:val="000000" w:themeColor="text1"/>
        </w:rPr>
        <w:t>The g</w:t>
      </w:r>
      <w:r w:rsidR="005C360E" w:rsidRPr="005C576C">
        <w:rPr>
          <w:color w:val="000000" w:themeColor="text1"/>
        </w:rPr>
        <w:t>NodeB provides the UE with a configurable timer called timeAlignmentTimer. TimeAlignmentTimer is used to control how long the UE is considered uplink time aligned</w:t>
      </w:r>
    </w:p>
    <w:p w14:paraId="702B6A86" w14:textId="28A941DA" w:rsidR="005C360E" w:rsidRDefault="005C360E" w:rsidP="005C360E">
      <w:pPr>
        <w:jc w:val="both"/>
        <w:rPr>
          <w:color w:val="000000" w:themeColor="text1"/>
        </w:rPr>
      </w:pPr>
      <w:r w:rsidRPr="005C576C">
        <w:rPr>
          <w:color w:val="000000" w:themeColor="text1"/>
        </w:rPr>
        <w:t>The value of the timer is either UE specific (timeAlignmentTimerDedicated) and managed through dedicated sig</w:t>
      </w:r>
      <w:r w:rsidR="0060127C">
        <w:rPr>
          <w:color w:val="000000" w:themeColor="text1"/>
        </w:rPr>
        <w:t>nalling between the UE and the g</w:t>
      </w:r>
      <w:r w:rsidRPr="005C576C">
        <w:rPr>
          <w:color w:val="000000" w:themeColor="text1"/>
        </w:rPr>
        <w:t xml:space="preserve">NodeB, or cell specific (timeAlignmentTimerCommon) which is indicated in SIB2. In both cases, the timer is normally restarted whenever a new Timing </w:t>
      </w:r>
      <w:r w:rsidR="0060127C">
        <w:rPr>
          <w:color w:val="000000" w:themeColor="text1"/>
        </w:rPr>
        <w:t>Advance is given by the g</w:t>
      </w:r>
      <w:r w:rsidRPr="005C576C">
        <w:rPr>
          <w:color w:val="000000" w:themeColor="text1"/>
        </w:rPr>
        <w:t>NodeB. At the time of restart, the timer is restarted to a UE specific value if configured; otherwise it is restarted to a cell specific value</w:t>
      </w:r>
    </w:p>
    <w:p w14:paraId="4CA287E5" w14:textId="32B236AA" w:rsidR="005C360E" w:rsidRDefault="0060127C" w:rsidP="005C360E">
      <w:pPr>
        <w:jc w:val="both"/>
        <w:rPr>
          <w:color w:val="000000" w:themeColor="text1"/>
        </w:rPr>
      </w:pPr>
      <w:r>
        <w:rPr>
          <w:color w:val="000000" w:themeColor="text1"/>
        </w:rPr>
        <w:t>As discussed before, the g</w:t>
      </w:r>
      <w:r w:rsidR="005C360E" w:rsidRPr="005C576C">
        <w:rPr>
          <w:color w:val="000000" w:themeColor="text1"/>
        </w:rPr>
        <w:t>NodeB continuously measures timing of uplink signal from the UE and adjusts the uplink transmission timing by sending the Timing Advance Command to the UE. If the UE has not received a Timing Advance Command until the expiry of timeAlignmentTimer, the UE assumes that it has lost the uplink synchronization.</w:t>
      </w:r>
    </w:p>
    <w:p w14:paraId="124447B7" w14:textId="5F93B286" w:rsidR="005C360E" w:rsidRDefault="00EA4A8A" w:rsidP="005C360E">
      <w:pPr>
        <w:jc w:val="both"/>
        <w:rPr>
          <w:b/>
          <w:color w:val="000000" w:themeColor="text1"/>
        </w:rPr>
      </w:pPr>
      <w:r>
        <w:rPr>
          <w:b/>
          <w:color w:val="000000" w:themeColor="text1"/>
        </w:rPr>
        <w:t>Observation 2</w:t>
      </w:r>
      <w:r w:rsidR="005C360E" w:rsidRPr="00297AA2">
        <w:rPr>
          <w:b/>
          <w:color w:val="000000" w:themeColor="text1"/>
        </w:rPr>
        <w:t xml:space="preserve">: </w:t>
      </w:r>
      <w:r w:rsidR="005C360E" w:rsidRPr="005C576C">
        <w:rPr>
          <w:b/>
          <w:color w:val="000000" w:themeColor="text1"/>
        </w:rPr>
        <w:t>Worst case TA error is set by Initial error just after TA applied (measurement and reporting) + a drift part (mobility and TA periodicity)</w:t>
      </w:r>
    </w:p>
    <w:p w14:paraId="51CD2554" w14:textId="40EC3ABC" w:rsidR="00EA34D8" w:rsidRDefault="00305374" w:rsidP="005C360E">
      <w:pPr>
        <w:jc w:val="both"/>
        <w:rPr>
          <w:b/>
          <w:color w:val="000000" w:themeColor="text1"/>
        </w:rPr>
      </w:pPr>
      <w:r>
        <w:rPr>
          <w:color w:val="000000" w:themeColor="text1"/>
        </w:rPr>
        <w:t>It is up to g</w:t>
      </w:r>
      <w:r w:rsidR="00EA34D8">
        <w:rPr>
          <w:color w:val="000000" w:themeColor="text1"/>
        </w:rPr>
        <w:t>NB implementation to maintain accurate TA tracking and adjust by command to UE, with the shorter symbols of NR due to bigger subcarrier spacing of NR it is expected that this tracking ha</w:t>
      </w:r>
      <w:r w:rsidR="00A538BE">
        <w:rPr>
          <w:color w:val="000000" w:themeColor="text1"/>
        </w:rPr>
        <w:t xml:space="preserve">s to be done in a more </w:t>
      </w:r>
      <w:r w:rsidR="00FD284E">
        <w:rPr>
          <w:color w:val="000000" w:themeColor="text1"/>
        </w:rPr>
        <w:t>accurate</w:t>
      </w:r>
      <w:r w:rsidR="00A538BE">
        <w:rPr>
          <w:color w:val="000000" w:themeColor="text1"/>
        </w:rPr>
        <w:t xml:space="preserve"> </w:t>
      </w:r>
      <w:r w:rsidR="00EA34D8">
        <w:rPr>
          <w:color w:val="000000" w:themeColor="text1"/>
        </w:rPr>
        <w:t>way and with more commands per time unit</w:t>
      </w:r>
      <w:r w:rsidR="00A538BE">
        <w:rPr>
          <w:color w:val="000000" w:themeColor="text1"/>
        </w:rPr>
        <w:t xml:space="preserve"> to mitigate the drift part of the error.</w:t>
      </w:r>
    </w:p>
    <w:p w14:paraId="41A55A98" w14:textId="0CFF4C88" w:rsidR="00EA34D8" w:rsidRPr="00EA34D8" w:rsidRDefault="007224E7" w:rsidP="00EA34D8">
      <w:pPr>
        <w:pStyle w:val="Heading2"/>
        <w:ind w:left="567" w:hanging="567"/>
      </w:pPr>
      <w:r>
        <w:t>2.3</w:t>
      </w:r>
      <w:r w:rsidR="00EA34D8">
        <w:t xml:space="preserve"> TDD GP allocation and </w:t>
      </w:r>
      <w:r w:rsidR="00BC67AB" w:rsidRPr="00BC67AB">
        <w:t>uplink transmission in the short-duration</w:t>
      </w:r>
    </w:p>
    <w:p w14:paraId="3B0B70F5" w14:textId="4FC7771F" w:rsidR="00CC07F7" w:rsidRDefault="00695CF6" w:rsidP="005C360E">
      <w:pPr>
        <w:jc w:val="both"/>
        <w:rPr>
          <w:color w:val="000000" w:themeColor="text1"/>
        </w:rPr>
      </w:pPr>
      <w:r>
        <w:rPr>
          <w:color w:val="000000" w:themeColor="text1"/>
        </w:rPr>
        <w:t>T</w:t>
      </w:r>
      <w:r w:rsidR="005C360E">
        <w:rPr>
          <w:color w:val="000000" w:themeColor="text1"/>
        </w:rPr>
        <w:t xml:space="preserve">he TA accuracy is also a factor when it comes </w:t>
      </w:r>
      <w:r w:rsidR="005C360E" w:rsidRPr="00B20B77">
        <w:rPr>
          <w:color w:val="000000" w:themeColor="text1"/>
        </w:rPr>
        <w:t>related to adjacent in time UE UL transmission with transient disc</w:t>
      </w:r>
      <w:r w:rsidR="00CC07F7">
        <w:rPr>
          <w:color w:val="000000" w:themeColor="text1"/>
        </w:rPr>
        <w:t>ussion based on RAN 1 question in [</w:t>
      </w:r>
      <w:r w:rsidR="00935D50">
        <w:rPr>
          <w:color w:val="000000" w:themeColor="text1"/>
        </w:rPr>
        <w:t>3</w:t>
      </w:r>
      <w:r w:rsidR="00CC07F7">
        <w:rPr>
          <w:color w:val="000000" w:themeColor="text1"/>
        </w:rPr>
        <w:t>]</w:t>
      </w:r>
      <w:r w:rsidR="005C360E" w:rsidRPr="00B20B77">
        <w:rPr>
          <w:color w:val="000000" w:themeColor="text1"/>
        </w:rPr>
        <w:t>,</w:t>
      </w:r>
      <w:r w:rsidR="00935D50">
        <w:rPr>
          <w:color w:val="000000" w:themeColor="text1"/>
        </w:rPr>
        <w:t xml:space="preserve"> </w:t>
      </w:r>
      <w:r w:rsidR="00935D50" w:rsidRPr="00B20B77">
        <w:rPr>
          <w:color w:val="000000" w:themeColor="text1"/>
        </w:rPr>
        <w:t>the T</w:t>
      </w:r>
      <w:r w:rsidR="000F4ABD">
        <w:rPr>
          <w:color w:val="000000" w:themeColor="text1"/>
        </w:rPr>
        <w:t xml:space="preserve">A error would add to the issue </w:t>
      </w:r>
      <w:r w:rsidR="00935D50" w:rsidRPr="00B20B77">
        <w:rPr>
          <w:color w:val="000000" w:themeColor="text1"/>
        </w:rPr>
        <w:t>(and probably be most significant)</w:t>
      </w:r>
      <w:r w:rsidR="000F4ABD">
        <w:rPr>
          <w:color w:val="000000" w:themeColor="text1"/>
        </w:rPr>
        <w:t>, given that, for 15 kHz sub ca</w:t>
      </w:r>
      <w:r w:rsidR="00BC67AB">
        <w:rPr>
          <w:color w:val="000000" w:themeColor="text1"/>
        </w:rPr>
        <w:t>rrier spacing, we would have ±13</w:t>
      </w:r>
      <w:r w:rsidR="00D46253">
        <w:rPr>
          <w:color w:val="000000" w:themeColor="text1"/>
        </w:rPr>
        <w:t xml:space="preserve"> </w:t>
      </w:r>
      <w:r w:rsidR="000F4ABD">
        <w:rPr>
          <w:color w:val="000000" w:themeColor="text1"/>
        </w:rPr>
        <w:t xml:space="preserve">Ts which </w:t>
      </w:r>
      <w:r w:rsidR="00FD284E">
        <w:rPr>
          <w:color w:val="000000" w:themeColor="text1"/>
        </w:rPr>
        <w:t>corresponds</w:t>
      </w:r>
      <w:r w:rsidR="00BC67AB">
        <w:rPr>
          <w:color w:val="000000" w:themeColor="text1"/>
        </w:rPr>
        <w:t xml:space="preserve"> to ±0.4</w:t>
      </w:r>
      <w:r w:rsidR="000F4ABD">
        <w:rPr>
          <w:color w:val="000000" w:themeColor="text1"/>
        </w:rPr>
        <w:t xml:space="preserve"> µs.</w:t>
      </w:r>
    </w:p>
    <w:p w14:paraId="28B90CFE" w14:textId="77777777" w:rsidR="00CC07F7" w:rsidRDefault="00CC07F7" w:rsidP="00CC07F7">
      <w:pPr>
        <w:ind w:firstLine="284"/>
        <w:rPr>
          <w:rFonts w:eastAsia="Times New Roman"/>
          <w:i/>
          <w:iCs/>
          <w:sz w:val="20"/>
        </w:rPr>
      </w:pPr>
      <w:r>
        <w:rPr>
          <w:i/>
          <w:iCs/>
        </w:rPr>
        <w:lastRenderedPageBreak/>
        <w:t xml:space="preserve">LS R1-1703782, where RAN1 asked RAN4 the following questions, </w:t>
      </w:r>
    </w:p>
    <w:p w14:paraId="5E34303B" w14:textId="77777777" w:rsidR="00CC07F7" w:rsidRDefault="00CC07F7" w:rsidP="00CC07F7">
      <w:pPr>
        <w:ind w:left="284"/>
        <w:jc w:val="both"/>
        <w:rPr>
          <w:rFonts w:ascii="Arial" w:hAnsi="Arial" w:cs="Arial"/>
          <w:i/>
          <w:iCs/>
          <w:sz w:val="24"/>
          <w:szCs w:val="24"/>
          <w:lang w:val="en-US" w:eastAsia="ja-JP"/>
        </w:rPr>
      </w:pPr>
      <w:r>
        <w:rPr>
          <w:rFonts w:ascii="Arial" w:hAnsi="Arial" w:cs="Arial"/>
          <w:i/>
          <w:iCs/>
          <w:lang w:eastAsia="ja-JP"/>
        </w:rPr>
        <w:t>RAN1 asks RAN4 to study transient period (including feasible values especially the one(s) smaller than that of LTE) considering uplink transmission in the short-duration.</w:t>
      </w:r>
    </w:p>
    <w:p w14:paraId="5AB637AB" w14:textId="0BE18FA1" w:rsidR="00CC07F7" w:rsidRPr="00CC07F7" w:rsidRDefault="00CC07F7" w:rsidP="00CC07F7">
      <w:pPr>
        <w:ind w:left="284"/>
        <w:jc w:val="both"/>
        <w:rPr>
          <w:rFonts w:ascii="Arial" w:hAnsi="Arial" w:cs="Arial"/>
          <w:i/>
          <w:iCs/>
          <w:lang w:eastAsia="ja-JP"/>
        </w:rPr>
      </w:pPr>
      <w:r>
        <w:rPr>
          <w:rFonts w:ascii="Arial" w:hAnsi="Arial" w:cs="Arial"/>
          <w:i/>
          <w:iCs/>
          <w:lang w:eastAsia="ja-JP"/>
        </w:rPr>
        <w:t>RAN1 also asks RAN4 whether or not the transient period(s) relates to transmission characteristics e.g., bandwidth and frequency location in a bandwidth, PSD, frequency-hopping during the transmission, carrier frequency.</w:t>
      </w:r>
    </w:p>
    <w:p w14:paraId="0E15A700" w14:textId="70673AFC" w:rsidR="00695CF6" w:rsidRPr="00695CF6" w:rsidRDefault="00695CF6" w:rsidP="005C360E">
      <w:pPr>
        <w:jc w:val="both"/>
      </w:pPr>
      <w:r>
        <w:t xml:space="preserve">Finally, </w:t>
      </w:r>
      <w:r w:rsidRPr="00695CF6">
        <w:t xml:space="preserve">In the TDD time budget </w:t>
      </w:r>
      <w:r w:rsidR="00D46253">
        <w:t xml:space="preserve">[3], </w:t>
      </w:r>
      <w:r w:rsidRPr="00695CF6">
        <w:t>we discuss margin for TA errors</w:t>
      </w:r>
      <w:r>
        <w:t>, if significant. In</w:t>
      </w:r>
      <w:r w:rsidR="00626141">
        <w:t xml:space="preserve"> this </w:t>
      </w:r>
      <w:r w:rsidR="0060127C">
        <w:t>contribution,</w:t>
      </w:r>
      <w:r w:rsidR="00626141">
        <w:t xml:space="preserve"> we start at </w:t>
      </w:r>
      <w:r w:rsidR="00DC7D8C">
        <w:rPr>
          <w:color w:val="000000" w:themeColor="text1"/>
        </w:rPr>
        <w:t>±12</w:t>
      </w:r>
      <w:r w:rsidR="00626141">
        <w:rPr>
          <w:color w:val="000000" w:themeColor="text1"/>
        </w:rPr>
        <w:t xml:space="preserve"> Ts which </w:t>
      </w:r>
      <w:r w:rsidR="00FD284E">
        <w:rPr>
          <w:color w:val="000000" w:themeColor="text1"/>
        </w:rPr>
        <w:t>corresponds</w:t>
      </w:r>
      <w:r w:rsidR="00C171D8">
        <w:rPr>
          <w:color w:val="000000" w:themeColor="text1"/>
        </w:rPr>
        <w:t xml:space="preserve"> to ±0.4 µs and then scale. This keeps the impact of TA error to a minimum.</w:t>
      </w:r>
    </w:p>
    <w:p w14:paraId="6EAA799B" w14:textId="1DADBB9A" w:rsidR="00213FC6" w:rsidRPr="005C360E" w:rsidRDefault="00DC7D8C" w:rsidP="005C360E">
      <w:pPr>
        <w:jc w:val="both"/>
        <w:rPr>
          <w:b/>
        </w:rPr>
      </w:pPr>
      <w:r>
        <w:rPr>
          <w:b/>
        </w:rPr>
        <w:t>Observation 3</w:t>
      </w:r>
      <w:r w:rsidR="005C360E">
        <w:rPr>
          <w:b/>
        </w:rPr>
        <w:t xml:space="preserve">: </w:t>
      </w:r>
      <w:r>
        <w:rPr>
          <w:b/>
        </w:rPr>
        <w:t>TA accuracy i</w:t>
      </w:r>
      <w:r w:rsidR="005C360E" w:rsidRPr="00B20B77">
        <w:rPr>
          <w:b/>
        </w:rPr>
        <w:t xml:space="preserve">mpacts budget for TDD GP allocation AND </w:t>
      </w:r>
      <w:r w:rsidR="00C171D8" w:rsidRPr="00C171D8">
        <w:rPr>
          <w:b/>
        </w:rPr>
        <w:t>uplink transmission in the short-duration</w:t>
      </w:r>
      <w:r w:rsidR="005C360E" w:rsidRPr="00B20B77">
        <w:rPr>
          <w:b/>
        </w:rPr>
        <w:t xml:space="preserve"> transient behaviour.</w:t>
      </w:r>
    </w:p>
    <w:p w14:paraId="1D082E51" w14:textId="77777777" w:rsidR="00B8022D" w:rsidRDefault="00B8022D" w:rsidP="00B8022D">
      <w:pPr>
        <w:pStyle w:val="Heading1"/>
        <w:tabs>
          <w:tab w:val="num" w:pos="0"/>
        </w:tabs>
        <w:overflowPunct/>
        <w:autoSpaceDE/>
        <w:autoSpaceDN/>
        <w:adjustRightInd/>
        <w:spacing w:before="360"/>
        <w:ind w:left="2438" w:hanging="2438"/>
        <w:textAlignment w:val="auto"/>
        <w:rPr>
          <w:lang w:val="en-US"/>
        </w:rPr>
      </w:pPr>
      <w:r>
        <w:rPr>
          <w:lang w:val="en-US"/>
        </w:rPr>
        <w:t xml:space="preserve">3 </w:t>
      </w:r>
      <w:r w:rsidRPr="006A67A0">
        <w:rPr>
          <w:lang w:val="en-US"/>
        </w:rPr>
        <w:t>Conclusion</w:t>
      </w:r>
      <w:r w:rsidRPr="006A67A0">
        <w:rPr>
          <w:lang w:val="en-US"/>
        </w:rPr>
        <w:tab/>
      </w:r>
    </w:p>
    <w:p w14:paraId="3CFFB5A9" w14:textId="77777777" w:rsidR="00EA4A8A" w:rsidRDefault="00EA4A8A" w:rsidP="00EA4A8A">
      <w:pPr>
        <w:jc w:val="both"/>
        <w:rPr>
          <w:b/>
        </w:rPr>
      </w:pPr>
      <w:r>
        <w:rPr>
          <w:b/>
        </w:rPr>
        <w:t xml:space="preserve">Observation 1: </w:t>
      </w:r>
      <w:r w:rsidRPr="00B36DF2">
        <w:rPr>
          <w:b/>
        </w:rPr>
        <w:t>The TA error must scale with numerology</w:t>
      </w:r>
      <w:r>
        <w:rPr>
          <w:b/>
        </w:rPr>
        <w:t xml:space="preserve"> to keep the TA error fraction of CP constant.</w:t>
      </w:r>
    </w:p>
    <w:p w14:paraId="77117AEB" w14:textId="44401891" w:rsidR="00EA4A8A" w:rsidRDefault="00EA4A8A" w:rsidP="00EA4A8A">
      <w:pPr>
        <w:jc w:val="both"/>
        <w:rPr>
          <w:b/>
        </w:rPr>
      </w:pPr>
      <w:r>
        <w:rPr>
          <w:b/>
        </w:rPr>
        <w:t>Proposal 1: Scale TA command resoluti</w:t>
      </w:r>
      <w:r w:rsidR="00305374">
        <w:rPr>
          <w:b/>
        </w:rPr>
        <w:t>on with SCS, from 16 Ts for 15 k</w:t>
      </w:r>
      <w:r>
        <w:rPr>
          <w:b/>
        </w:rPr>
        <w:t>Hz SCS.</w:t>
      </w:r>
    </w:p>
    <w:p w14:paraId="74A58872" w14:textId="3C554D8F" w:rsidR="00EA4A8A" w:rsidRDefault="00EA4A8A" w:rsidP="00EA4A8A">
      <w:pPr>
        <w:jc w:val="both"/>
        <w:rPr>
          <w:b/>
        </w:rPr>
      </w:pPr>
      <w:r>
        <w:rPr>
          <w:b/>
        </w:rPr>
        <w:t>Proposal 2: Scale UE relative error relativ</w:t>
      </w:r>
      <w:r w:rsidR="00305374">
        <w:rPr>
          <w:b/>
        </w:rPr>
        <w:t>e to ordered TA value, from 4 Ts</w:t>
      </w:r>
      <w:r>
        <w:rPr>
          <w:b/>
        </w:rPr>
        <w:t xml:space="preserve"> for 15 kHz SCS.</w:t>
      </w:r>
    </w:p>
    <w:p w14:paraId="2FEBE402" w14:textId="77777777" w:rsidR="00EA4A8A" w:rsidRDefault="00EA4A8A" w:rsidP="00EA4A8A">
      <w:pPr>
        <w:jc w:val="both"/>
        <w:rPr>
          <w:b/>
          <w:color w:val="000000" w:themeColor="text1"/>
        </w:rPr>
      </w:pPr>
      <w:r>
        <w:rPr>
          <w:b/>
          <w:color w:val="000000" w:themeColor="text1"/>
        </w:rPr>
        <w:t>Observation 2</w:t>
      </w:r>
      <w:r w:rsidRPr="00297AA2">
        <w:rPr>
          <w:b/>
          <w:color w:val="000000" w:themeColor="text1"/>
        </w:rPr>
        <w:t xml:space="preserve">: </w:t>
      </w:r>
      <w:r w:rsidRPr="005C576C">
        <w:rPr>
          <w:b/>
          <w:color w:val="000000" w:themeColor="text1"/>
        </w:rPr>
        <w:t>Worst case TA error is set by Initial error just after TA applied (measurement and reporting) + a drift part (mobility and TA periodicity)</w:t>
      </w:r>
    </w:p>
    <w:p w14:paraId="4F1ACE26" w14:textId="4D9DFB32" w:rsidR="005C360E" w:rsidRPr="00DC7D8C" w:rsidRDefault="00DC7D8C" w:rsidP="005C360E">
      <w:pPr>
        <w:jc w:val="both"/>
        <w:rPr>
          <w:b/>
        </w:rPr>
      </w:pPr>
      <w:r>
        <w:rPr>
          <w:b/>
        </w:rPr>
        <w:t>Observation 3: TA accuracy i</w:t>
      </w:r>
      <w:r w:rsidRPr="00B20B77">
        <w:rPr>
          <w:b/>
        </w:rPr>
        <w:t xml:space="preserve">mpacts budget for TDD GP allocation AND </w:t>
      </w:r>
      <w:r w:rsidRPr="00C171D8">
        <w:rPr>
          <w:b/>
        </w:rPr>
        <w:t>uplink transmission in the short-duration</w:t>
      </w:r>
      <w:r w:rsidRPr="00B20B77">
        <w:rPr>
          <w:b/>
        </w:rPr>
        <w:t xml:space="preserve"> transient behaviour.</w:t>
      </w:r>
    </w:p>
    <w:p w14:paraId="48DF7189" w14:textId="77777777" w:rsidR="00B8022D" w:rsidRDefault="00B8022D" w:rsidP="00B8022D">
      <w:pPr>
        <w:pStyle w:val="Heading1"/>
        <w:tabs>
          <w:tab w:val="num" w:pos="0"/>
        </w:tabs>
        <w:overflowPunct/>
        <w:autoSpaceDE/>
        <w:autoSpaceDN/>
        <w:adjustRightInd/>
        <w:spacing w:before="360"/>
        <w:ind w:left="2438" w:hanging="2438"/>
        <w:textAlignment w:val="auto"/>
        <w:rPr>
          <w:lang w:val="en-US"/>
        </w:rPr>
      </w:pPr>
      <w:r>
        <w:rPr>
          <w:lang w:val="en-US"/>
        </w:rPr>
        <w:t xml:space="preserve">4 </w:t>
      </w:r>
      <w:r w:rsidRPr="006A67A0">
        <w:rPr>
          <w:lang w:val="en-US"/>
        </w:rPr>
        <w:t>References</w:t>
      </w:r>
      <w:r w:rsidRPr="006A67A0">
        <w:rPr>
          <w:lang w:val="en-US"/>
        </w:rPr>
        <w:tab/>
      </w:r>
    </w:p>
    <w:p w14:paraId="63F31593" w14:textId="71D7E7C7" w:rsidR="00CC07F7" w:rsidRPr="001156F0" w:rsidRDefault="00602BF4" w:rsidP="001156F0">
      <w:pPr>
        <w:numPr>
          <w:ilvl w:val="0"/>
          <w:numId w:val="29"/>
        </w:numPr>
        <w:spacing w:after="180"/>
        <w:rPr>
          <w:sz w:val="20"/>
          <w:lang w:val="en-US" w:eastAsia="en-US"/>
        </w:rPr>
      </w:pPr>
      <w:r w:rsidRPr="00602BF4">
        <w:rPr>
          <w:sz w:val="20"/>
          <w:lang w:val="en-US" w:eastAsia="en-US"/>
        </w:rPr>
        <w:t>R4-167639</w:t>
      </w:r>
      <w:r>
        <w:rPr>
          <w:sz w:val="20"/>
          <w:lang w:val="en-US" w:eastAsia="en-US"/>
        </w:rPr>
        <w:t xml:space="preserve">, </w:t>
      </w:r>
      <w:r w:rsidRPr="00602BF4">
        <w:rPr>
          <w:sz w:val="20"/>
          <w:lang w:val="en-US" w:eastAsia="en-US"/>
        </w:rPr>
        <w:t>Timing advance for TDD NR</w:t>
      </w:r>
      <w:r>
        <w:rPr>
          <w:sz w:val="20"/>
          <w:lang w:val="en-US" w:eastAsia="en-US"/>
        </w:rPr>
        <w:t>. Ericsson</w:t>
      </w:r>
    </w:p>
    <w:p w14:paraId="77048F5A" w14:textId="00078616" w:rsidR="00CC07F7" w:rsidRDefault="00CC07F7" w:rsidP="00602BF4">
      <w:pPr>
        <w:pStyle w:val="ListParagraph"/>
        <w:numPr>
          <w:ilvl w:val="0"/>
          <w:numId w:val="29"/>
        </w:numPr>
        <w:rPr>
          <w:sz w:val="20"/>
          <w:lang w:val="en-US" w:eastAsia="en-US"/>
        </w:rPr>
      </w:pPr>
      <w:r>
        <w:rPr>
          <w:sz w:val="20"/>
          <w:lang w:val="en-US" w:eastAsia="en-US"/>
        </w:rPr>
        <w:t>R1-1703782, LS</w:t>
      </w:r>
    </w:p>
    <w:p w14:paraId="5CF50DE5" w14:textId="77777777" w:rsidR="008B6546" w:rsidRPr="008B6546" w:rsidRDefault="008B6546" w:rsidP="008B6546">
      <w:pPr>
        <w:pStyle w:val="ListParagraph"/>
        <w:rPr>
          <w:sz w:val="20"/>
          <w:lang w:val="en-US" w:eastAsia="en-US"/>
        </w:rPr>
      </w:pPr>
    </w:p>
    <w:p w14:paraId="3BAFA90C" w14:textId="1FC62D72" w:rsidR="008B6546" w:rsidRPr="00602BF4" w:rsidRDefault="00864941" w:rsidP="00864941">
      <w:pPr>
        <w:pStyle w:val="ListParagraph"/>
        <w:numPr>
          <w:ilvl w:val="0"/>
          <w:numId w:val="29"/>
        </w:numPr>
        <w:rPr>
          <w:sz w:val="20"/>
          <w:lang w:val="en-US" w:eastAsia="en-US"/>
        </w:rPr>
      </w:pPr>
      <w:r w:rsidRPr="00864941">
        <w:rPr>
          <w:sz w:val="20"/>
          <w:lang w:val="en-US" w:eastAsia="en-US"/>
        </w:rPr>
        <w:t>R4-1703013</w:t>
      </w:r>
      <w:r>
        <w:rPr>
          <w:sz w:val="20"/>
          <w:lang w:val="en-US" w:eastAsia="en-US"/>
        </w:rPr>
        <w:t xml:space="preserve">, </w:t>
      </w:r>
      <w:r w:rsidR="008B6546">
        <w:rPr>
          <w:sz w:val="20"/>
          <w:lang w:val="en-US" w:eastAsia="en-US"/>
        </w:rPr>
        <w:t>TDD Time budget</w:t>
      </w:r>
    </w:p>
    <w:p w14:paraId="15865CF2" w14:textId="77777777" w:rsidR="00213FC6" w:rsidRDefault="00213FC6" w:rsidP="00602BF4">
      <w:pPr>
        <w:spacing w:after="180"/>
        <w:ind w:left="405"/>
        <w:rPr>
          <w:sz w:val="20"/>
          <w:lang w:val="en-US" w:eastAsia="en-US"/>
        </w:rPr>
      </w:pPr>
    </w:p>
    <w:bookmarkEnd w:id="0"/>
    <w:bookmarkEnd w:id="1"/>
    <w:bookmarkEnd w:id="2"/>
    <w:p w14:paraId="5EA87E36" w14:textId="77777777" w:rsidR="00C60D49" w:rsidRPr="00C60D49" w:rsidRDefault="00C60D49" w:rsidP="00A82AA4">
      <w:pPr>
        <w:spacing w:after="180"/>
        <w:rPr>
          <w:sz w:val="20"/>
          <w:lang w:val="en-US" w:eastAsia="en-US"/>
        </w:rPr>
      </w:pPr>
    </w:p>
    <w:p w14:paraId="00FED6B5" w14:textId="77777777" w:rsidR="00C76FB8" w:rsidRDefault="00C76FB8"/>
    <w:sectPr w:rsidR="00C76FB8" w:rsidSect="00A2434D">
      <w:pgSz w:w="12240" w:h="15840"/>
      <w:pgMar w:top="1440" w:right="1467" w:bottom="1135"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 ??">
    <w:altName w:val="MS Mincho"/>
    <w:panose1 w:val="00000000000000000000"/>
    <w:charset w:val="80"/>
    <w:family w:val="roman"/>
    <w:notTrueType/>
    <w:pitch w:val="fixed"/>
    <w:sig w:usb0="00000001" w:usb1="08070000" w:usb2="00000010" w:usb3="00000000" w:csb0="00020000" w:csb1="00000000"/>
  </w:font>
  <w:font w:name="v4.2.0">
    <w:altName w:val="Times New Roman"/>
    <w:charset w:val="00"/>
    <w:family w:val="auto"/>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10C15FE7"/>
    <w:multiLevelType w:val="hybridMultilevel"/>
    <w:tmpl w:val="1736DD48"/>
    <w:lvl w:ilvl="0" w:tplc="BDB098A8">
      <w:start w:val="1"/>
      <w:numFmt w:val="bullet"/>
      <w:pStyle w:val="B3"/>
      <w:lvlText w:val=""/>
      <w:lvlJc w:val="left"/>
      <w:pPr>
        <w:tabs>
          <w:tab w:val="num" w:pos="1644"/>
        </w:tabs>
        <w:ind w:left="1644" w:hanging="453"/>
      </w:pPr>
      <w:rPr>
        <w:rFonts w:ascii="Wingdings" w:hAnsi="Wingdings" w:hint="default"/>
      </w:rPr>
    </w:lvl>
    <w:lvl w:ilvl="1" w:tplc="F2C058E4" w:tentative="1">
      <w:start w:val="1"/>
      <w:numFmt w:val="bullet"/>
      <w:lvlText w:val="o"/>
      <w:lvlJc w:val="left"/>
      <w:pPr>
        <w:tabs>
          <w:tab w:val="num" w:pos="1440"/>
        </w:tabs>
        <w:ind w:left="1440" w:hanging="360"/>
      </w:pPr>
      <w:rPr>
        <w:rFonts w:ascii="Courier New" w:hAnsi="Courier New" w:hint="default"/>
      </w:rPr>
    </w:lvl>
    <w:lvl w:ilvl="2" w:tplc="74BCE2F4" w:tentative="1">
      <w:start w:val="1"/>
      <w:numFmt w:val="bullet"/>
      <w:lvlText w:val=""/>
      <w:lvlJc w:val="left"/>
      <w:pPr>
        <w:tabs>
          <w:tab w:val="num" w:pos="2160"/>
        </w:tabs>
        <w:ind w:left="2160" w:hanging="360"/>
      </w:pPr>
      <w:rPr>
        <w:rFonts w:ascii="Wingdings" w:hAnsi="Wingdings" w:hint="default"/>
      </w:rPr>
    </w:lvl>
    <w:lvl w:ilvl="3" w:tplc="6430DB52" w:tentative="1">
      <w:start w:val="1"/>
      <w:numFmt w:val="bullet"/>
      <w:lvlText w:val=""/>
      <w:lvlJc w:val="left"/>
      <w:pPr>
        <w:tabs>
          <w:tab w:val="num" w:pos="2880"/>
        </w:tabs>
        <w:ind w:left="2880" w:hanging="360"/>
      </w:pPr>
      <w:rPr>
        <w:rFonts w:ascii="Symbol" w:hAnsi="Symbol" w:hint="default"/>
      </w:rPr>
    </w:lvl>
    <w:lvl w:ilvl="4" w:tplc="97344B08" w:tentative="1">
      <w:start w:val="1"/>
      <w:numFmt w:val="bullet"/>
      <w:lvlText w:val="o"/>
      <w:lvlJc w:val="left"/>
      <w:pPr>
        <w:tabs>
          <w:tab w:val="num" w:pos="3600"/>
        </w:tabs>
        <w:ind w:left="3600" w:hanging="360"/>
      </w:pPr>
      <w:rPr>
        <w:rFonts w:ascii="Courier New" w:hAnsi="Courier New" w:hint="default"/>
      </w:rPr>
    </w:lvl>
    <w:lvl w:ilvl="5" w:tplc="E730CED2" w:tentative="1">
      <w:start w:val="1"/>
      <w:numFmt w:val="bullet"/>
      <w:lvlText w:val=""/>
      <w:lvlJc w:val="left"/>
      <w:pPr>
        <w:tabs>
          <w:tab w:val="num" w:pos="4320"/>
        </w:tabs>
        <w:ind w:left="4320" w:hanging="360"/>
      </w:pPr>
      <w:rPr>
        <w:rFonts w:ascii="Wingdings" w:hAnsi="Wingdings" w:hint="default"/>
      </w:rPr>
    </w:lvl>
    <w:lvl w:ilvl="6" w:tplc="E97E062A" w:tentative="1">
      <w:start w:val="1"/>
      <w:numFmt w:val="bullet"/>
      <w:lvlText w:val=""/>
      <w:lvlJc w:val="left"/>
      <w:pPr>
        <w:tabs>
          <w:tab w:val="num" w:pos="5040"/>
        </w:tabs>
        <w:ind w:left="5040" w:hanging="360"/>
      </w:pPr>
      <w:rPr>
        <w:rFonts w:ascii="Symbol" w:hAnsi="Symbol" w:hint="default"/>
      </w:rPr>
    </w:lvl>
    <w:lvl w:ilvl="7" w:tplc="B7B4E31C" w:tentative="1">
      <w:start w:val="1"/>
      <w:numFmt w:val="bullet"/>
      <w:lvlText w:val="o"/>
      <w:lvlJc w:val="left"/>
      <w:pPr>
        <w:tabs>
          <w:tab w:val="num" w:pos="5760"/>
        </w:tabs>
        <w:ind w:left="5760" w:hanging="360"/>
      </w:pPr>
      <w:rPr>
        <w:rFonts w:ascii="Courier New" w:hAnsi="Courier New" w:hint="default"/>
      </w:rPr>
    </w:lvl>
    <w:lvl w:ilvl="8" w:tplc="2A2ADE96"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8764E"/>
    <w:multiLevelType w:val="hybridMultilevel"/>
    <w:tmpl w:val="7BC2410A"/>
    <w:lvl w:ilvl="0" w:tplc="46A474B4">
      <w:start w:val="8"/>
      <w:numFmt w:val="bullet"/>
      <w:lvlText w:val="-"/>
      <w:lvlJc w:val="left"/>
      <w:pPr>
        <w:tabs>
          <w:tab w:val="num" w:pos="1211"/>
        </w:tabs>
        <w:ind w:left="1211" w:hanging="360"/>
      </w:pPr>
      <w:rPr>
        <w:rFonts w:ascii="Times New Roman" w:eastAsia="Times New Roman" w:hAnsi="Times New Roman" w:cs="Times New Roman" w:hint="default"/>
      </w:rPr>
    </w:lvl>
    <w:lvl w:ilvl="1" w:tplc="08090003">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11"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D237FC8"/>
    <w:multiLevelType w:val="hybridMultilevel"/>
    <w:tmpl w:val="B422F85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29F978E9"/>
    <w:multiLevelType w:val="hybridMultilevel"/>
    <w:tmpl w:val="669A7826"/>
    <w:lvl w:ilvl="0" w:tplc="7444E70A">
      <w:start w:val="1"/>
      <w:numFmt w:val="bullet"/>
      <w:pStyle w:val="B1"/>
      <w:lvlText w:val=""/>
      <w:lvlJc w:val="left"/>
      <w:pPr>
        <w:tabs>
          <w:tab w:val="num" w:pos="737"/>
        </w:tabs>
        <w:ind w:left="737" w:hanging="453"/>
      </w:pPr>
      <w:rPr>
        <w:rFonts w:ascii="Symbol" w:hAnsi="Symbol" w:hint="default"/>
        <w:color w:val="auto"/>
      </w:rPr>
    </w:lvl>
    <w:lvl w:ilvl="1" w:tplc="E8F8FF6C" w:tentative="1">
      <w:start w:val="1"/>
      <w:numFmt w:val="bullet"/>
      <w:lvlText w:val="o"/>
      <w:lvlJc w:val="left"/>
      <w:pPr>
        <w:tabs>
          <w:tab w:val="num" w:pos="1440"/>
        </w:tabs>
        <w:ind w:left="1440" w:hanging="360"/>
      </w:pPr>
      <w:rPr>
        <w:rFonts w:ascii="Courier New" w:hAnsi="Courier New" w:hint="default"/>
      </w:rPr>
    </w:lvl>
    <w:lvl w:ilvl="2" w:tplc="9FAE7D26" w:tentative="1">
      <w:start w:val="1"/>
      <w:numFmt w:val="bullet"/>
      <w:lvlText w:val=""/>
      <w:lvlJc w:val="left"/>
      <w:pPr>
        <w:tabs>
          <w:tab w:val="num" w:pos="2160"/>
        </w:tabs>
        <w:ind w:left="2160" w:hanging="360"/>
      </w:pPr>
      <w:rPr>
        <w:rFonts w:ascii="Wingdings" w:hAnsi="Wingdings" w:hint="default"/>
      </w:rPr>
    </w:lvl>
    <w:lvl w:ilvl="3" w:tplc="7E701470" w:tentative="1">
      <w:start w:val="1"/>
      <w:numFmt w:val="bullet"/>
      <w:lvlText w:val=""/>
      <w:lvlJc w:val="left"/>
      <w:pPr>
        <w:tabs>
          <w:tab w:val="num" w:pos="2880"/>
        </w:tabs>
        <w:ind w:left="2880" w:hanging="360"/>
      </w:pPr>
      <w:rPr>
        <w:rFonts w:ascii="Symbol" w:hAnsi="Symbol" w:hint="default"/>
      </w:rPr>
    </w:lvl>
    <w:lvl w:ilvl="4" w:tplc="5D4828BC" w:tentative="1">
      <w:start w:val="1"/>
      <w:numFmt w:val="bullet"/>
      <w:lvlText w:val="o"/>
      <w:lvlJc w:val="left"/>
      <w:pPr>
        <w:tabs>
          <w:tab w:val="num" w:pos="3600"/>
        </w:tabs>
        <w:ind w:left="3600" w:hanging="360"/>
      </w:pPr>
      <w:rPr>
        <w:rFonts w:ascii="Courier New" w:hAnsi="Courier New" w:hint="default"/>
      </w:rPr>
    </w:lvl>
    <w:lvl w:ilvl="5" w:tplc="36560546" w:tentative="1">
      <w:start w:val="1"/>
      <w:numFmt w:val="bullet"/>
      <w:lvlText w:val=""/>
      <w:lvlJc w:val="left"/>
      <w:pPr>
        <w:tabs>
          <w:tab w:val="num" w:pos="4320"/>
        </w:tabs>
        <w:ind w:left="4320" w:hanging="360"/>
      </w:pPr>
      <w:rPr>
        <w:rFonts w:ascii="Wingdings" w:hAnsi="Wingdings" w:hint="default"/>
      </w:rPr>
    </w:lvl>
    <w:lvl w:ilvl="6" w:tplc="9C54ED8A" w:tentative="1">
      <w:start w:val="1"/>
      <w:numFmt w:val="bullet"/>
      <w:lvlText w:val=""/>
      <w:lvlJc w:val="left"/>
      <w:pPr>
        <w:tabs>
          <w:tab w:val="num" w:pos="5040"/>
        </w:tabs>
        <w:ind w:left="5040" w:hanging="360"/>
      </w:pPr>
      <w:rPr>
        <w:rFonts w:ascii="Symbol" w:hAnsi="Symbol" w:hint="default"/>
      </w:rPr>
    </w:lvl>
    <w:lvl w:ilvl="7" w:tplc="6E74D40A" w:tentative="1">
      <w:start w:val="1"/>
      <w:numFmt w:val="bullet"/>
      <w:lvlText w:val="o"/>
      <w:lvlJc w:val="left"/>
      <w:pPr>
        <w:tabs>
          <w:tab w:val="num" w:pos="5760"/>
        </w:tabs>
        <w:ind w:left="5760" w:hanging="360"/>
      </w:pPr>
      <w:rPr>
        <w:rFonts w:ascii="Courier New" w:hAnsi="Courier New" w:hint="default"/>
      </w:rPr>
    </w:lvl>
    <w:lvl w:ilvl="8" w:tplc="1368CA2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35C80964"/>
    <w:multiLevelType w:val="hybridMultilevel"/>
    <w:tmpl w:val="E9C00184"/>
    <w:lvl w:ilvl="0" w:tplc="C45CB86C">
      <w:start w:val="1"/>
      <w:numFmt w:val="decimal"/>
      <w:pStyle w:val="BN"/>
      <w:lvlText w:val="%1)"/>
      <w:lvlJc w:val="left"/>
      <w:pPr>
        <w:tabs>
          <w:tab w:val="num" w:pos="737"/>
        </w:tabs>
        <w:ind w:left="737" w:hanging="453"/>
      </w:pPr>
      <w:rPr>
        <w:rFonts w:hint="default"/>
      </w:rPr>
    </w:lvl>
    <w:lvl w:ilvl="1" w:tplc="76C62C8A" w:tentative="1">
      <w:start w:val="1"/>
      <w:numFmt w:val="lowerLetter"/>
      <w:lvlText w:val="%2."/>
      <w:lvlJc w:val="left"/>
      <w:pPr>
        <w:tabs>
          <w:tab w:val="num" w:pos="1440"/>
        </w:tabs>
        <w:ind w:left="1440" w:hanging="360"/>
      </w:pPr>
    </w:lvl>
    <w:lvl w:ilvl="2" w:tplc="F5A8D9A6" w:tentative="1">
      <w:start w:val="1"/>
      <w:numFmt w:val="lowerRoman"/>
      <w:lvlText w:val="%3."/>
      <w:lvlJc w:val="right"/>
      <w:pPr>
        <w:tabs>
          <w:tab w:val="num" w:pos="2160"/>
        </w:tabs>
        <w:ind w:left="2160" w:hanging="180"/>
      </w:pPr>
    </w:lvl>
    <w:lvl w:ilvl="3" w:tplc="6B24B8F0" w:tentative="1">
      <w:start w:val="1"/>
      <w:numFmt w:val="decimal"/>
      <w:lvlText w:val="%4."/>
      <w:lvlJc w:val="left"/>
      <w:pPr>
        <w:tabs>
          <w:tab w:val="num" w:pos="2880"/>
        </w:tabs>
        <w:ind w:left="2880" w:hanging="360"/>
      </w:pPr>
    </w:lvl>
    <w:lvl w:ilvl="4" w:tplc="5FA6F25E" w:tentative="1">
      <w:start w:val="1"/>
      <w:numFmt w:val="lowerLetter"/>
      <w:lvlText w:val="%5."/>
      <w:lvlJc w:val="left"/>
      <w:pPr>
        <w:tabs>
          <w:tab w:val="num" w:pos="3600"/>
        </w:tabs>
        <w:ind w:left="3600" w:hanging="360"/>
      </w:pPr>
    </w:lvl>
    <w:lvl w:ilvl="5" w:tplc="C6100DCA" w:tentative="1">
      <w:start w:val="1"/>
      <w:numFmt w:val="lowerRoman"/>
      <w:lvlText w:val="%6."/>
      <w:lvlJc w:val="right"/>
      <w:pPr>
        <w:tabs>
          <w:tab w:val="num" w:pos="4320"/>
        </w:tabs>
        <w:ind w:left="4320" w:hanging="180"/>
      </w:pPr>
    </w:lvl>
    <w:lvl w:ilvl="6" w:tplc="53207ED8" w:tentative="1">
      <w:start w:val="1"/>
      <w:numFmt w:val="decimal"/>
      <w:lvlText w:val="%7."/>
      <w:lvlJc w:val="left"/>
      <w:pPr>
        <w:tabs>
          <w:tab w:val="num" w:pos="5040"/>
        </w:tabs>
        <w:ind w:left="5040" w:hanging="360"/>
      </w:pPr>
    </w:lvl>
    <w:lvl w:ilvl="7" w:tplc="A336D7BE" w:tentative="1">
      <w:start w:val="1"/>
      <w:numFmt w:val="lowerLetter"/>
      <w:lvlText w:val="%8."/>
      <w:lvlJc w:val="left"/>
      <w:pPr>
        <w:tabs>
          <w:tab w:val="num" w:pos="5760"/>
        </w:tabs>
        <w:ind w:left="5760" w:hanging="360"/>
      </w:pPr>
    </w:lvl>
    <w:lvl w:ilvl="8" w:tplc="556A3912" w:tentative="1">
      <w:start w:val="1"/>
      <w:numFmt w:val="lowerRoman"/>
      <w:lvlText w:val="%9."/>
      <w:lvlJc w:val="right"/>
      <w:pPr>
        <w:tabs>
          <w:tab w:val="num" w:pos="6480"/>
        </w:tabs>
        <w:ind w:left="6480" w:hanging="180"/>
      </w:pPr>
    </w:lvl>
  </w:abstractNum>
  <w:abstractNum w:abstractNumId="19"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45884133"/>
    <w:multiLevelType w:val="hybridMultilevel"/>
    <w:tmpl w:val="61FC562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F2D3CBA"/>
    <w:multiLevelType w:val="hybridMultilevel"/>
    <w:tmpl w:val="E770663C"/>
    <w:lvl w:ilvl="0" w:tplc="0FC69A7C">
      <w:start w:val="1"/>
      <w:numFmt w:val="lowerLetter"/>
      <w:pStyle w:val="BL"/>
      <w:lvlText w:val="%1)"/>
      <w:lvlJc w:val="left"/>
      <w:pPr>
        <w:tabs>
          <w:tab w:val="num" w:pos="737"/>
        </w:tabs>
        <w:ind w:left="737" w:hanging="453"/>
      </w:pPr>
      <w:rPr>
        <w:rFonts w:hint="default"/>
      </w:rPr>
    </w:lvl>
    <w:lvl w:ilvl="1" w:tplc="0F267B1C" w:tentative="1">
      <w:start w:val="1"/>
      <w:numFmt w:val="lowerLetter"/>
      <w:lvlText w:val="%2."/>
      <w:lvlJc w:val="left"/>
      <w:pPr>
        <w:tabs>
          <w:tab w:val="num" w:pos="1440"/>
        </w:tabs>
        <w:ind w:left="1440" w:hanging="360"/>
      </w:pPr>
    </w:lvl>
    <w:lvl w:ilvl="2" w:tplc="749A9162" w:tentative="1">
      <w:start w:val="1"/>
      <w:numFmt w:val="lowerRoman"/>
      <w:lvlText w:val="%3."/>
      <w:lvlJc w:val="right"/>
      <w:pPr>
        <w:tabs>
          <w:tab w:val="num" w:pos="2160"/>
        </w:tabs>
        <w:ind w:left="2160" w:hanging="180"/>
      </w:pPr>
    </w:lvl>
    <w:lvl w:ilvl="3" w:tplc="EEFA7818" w:tentative="1">
      <w:start w:val="1"/>
      <w:numFmt w:val="decimal"/>
      <w:lvlText w:val="%4."/>
      <w:lvlJc w:val="left"/>
      <w:pPr>
        <w:tabs>
          <w:tab w:val="num" w:pos="2880"/>
        </w:tabs>
        <w:ind w:left="2880" w:hanging="360"/>
      </w:pPr>
    </w:lvl>
    <w:lvl w:ilvl="4" w:tplc="A7587974" w:tentative="1">
      <w:start w:val="1"/>
      <w:numFmt w:val="lowerLetter"/>
      <w:lvlText w:val="%5."/>
      <w:lvlJc w:val="left"/>
      <w:pPr>
        <w:tabs>
          <w:tab w:val="num" w:pos="3600"/>
        </w:tabs>
        <w:ind w:left="3600" w:hanging="360"/>
      </w:pPr>
    </w:lvl>
    <w:lvl w:ilvl="5" w:tplc="C8422C78" w:tentative="1">
      <w:start w:val="1"/>
      <w:numFmt w:val="lowerRoman"/>
      <w:lvlText w:val="%6."/>
      <w:lvlJc w:val="right"/>
      <w:pPr>
        <w:tabs>
          <w:tab w:val="num" w:pos="4320"/>
        </w:tabs>
        <w:ind w:left="4320" w:hanging="180"/>
      </w:pPr>
    </w:lvl>
    <w:lvl w:ilvl="6" w:tplc="44C8FEB2" w:tentative="1">
      <w:start w:val="1"/>
      <w:numFmt w:val="decimal"/>
      <w:lvlText w:val="%7."/>
      <w:lvlJc w:val="left"/>
      <w:pPr>
        <w:tabs>
          <w:tab w:val="num" w:pos="5040"/>
        </w:tabs>
        <w:ind w:left="5040" w:hanging="360"/>
      </w:pPr>
    </w:lvl>
    <w:lvl w:ilvl="7" w:tplc="A8BCC670" w:tentative="1">
      <w:start w:val="1"/>
      <w:numFmt w:val="lowerLetter"/>
      <w:lvlText w:val="%8."/>
      <w:lvlJc w:val="left"/>
      <w:pPr>
        <w:tabs>
          <w:tab w:val="num" w:pos="5760"/>
        </w:tabs>
        <w:ind w:left="5760" w:hanging="360"/>
      </w:pPr>
    </w:lvl>
    <w:lvl w:ilvl="8" w:tplc="5F0A9FAC" w:tentative="1">
      <w:start w:val="1"/>
      <w:numFmt w:val="lowerRoman"/>
      <w:lvlText w:val="%9."/>
      <w:lvlJc w:val="right"/>
      <w:pPr>
        <w:tabs>
          <w:tab w:val="num" w:pos="6480"/>
        </w:tabs>
        <w:ind w:left="6480" w:hanging="180"/>
      </w:pPr>
    </w:lvl>
  </w:abstractNum>
  <w:abstractNum w:abstractNumId="25"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5C2C4891"/>
    <w:multiLevelType w:val="hybridMultilevel"/>
    <w:tmpl w:val="7026EA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79156C54"/>
    <w:multiLevelType w:val="hybridMultilevel"/>
    <w:tmpl w:val="EAFC6A0C"/>
    <w:lvl w:ilvl="0" w:tplc="5AC6C348">
      <w:start w:val="1"/>
      <w:numFmt w:val="bullet"/>
      <w:pStyle w:val="B2"/>
      <w:lvlText w:val="-"/>
      <w:lvlJc w:val="left"/>
      <w:pPr>
        <w:tabs>
          <w:tab w:val="num" w:pos="1191"/>
        </w:tabs>
        <w:ind w:left="1191" w:hanging="454"/>
      </w:pPr>
      <w:rPr>
        <w:rFonts w:hint="default"/>
      </w:rPr>
    </w:lvl>
    <w:lvl w:ilvl="1" w:tplc="33E8A496" w:tentative="1">
      <w:start w:val="1"/>
      <w:numFmt w:val="bullet"/>
      <w:lvlText w:val="o"/>
      <w:lvlJc w:val="left"/>
      <w:pPr>
        <w:tabs>
          <w:tab w:val="num" w:pos="1440"/>
        </w:tabs>
        <w:ind w:left="1440" w:hanging="360"/>
      </w:pPr>
      <w:rPr>
        <w:rFonts w:ascii="Courier New" w:hAnsi="Courier New" w:hint="default"/>
      </w:rPr>
    </w:lvl>
    <w:lvl w:ilvl="2" w:tplc="C0AC0848" w:tentative="1">
      <w:start w:val="1"/>
      <w:numFmt w:val="bullet"/>
      <w:lvlText w:val=""/>
      <w:lvlJc w:val="left"/>
      <w:pPr>
        <w:tabs>
          <w:tab w:val="num" w:pos="2160"/>
        </w:tabs>
        <w:ind w:left="2160" w:hanging="360"/>
      </w:pPr>
      <w:rPr>
        <w:rFonts w:ascii="Wingdings" w:hAnsi="Wingdings" w:hint="default"/>
      </w:rPr>
    </w:lvl>
    <w:lvl w:ilvl="3" w:tplc="23E67FB4" w:tentative="1">
      <w:start w:val="1"/>
      <w:numFmt w:val="bullet"/>
      <w:lvlText w:val=""/>
      <w:lvlJc w:val="left"/>
      <w:pPr>
        <w:tabs>
          <w:tab w:val="num" w:pos="2880"/>
        </w:tabs>
        <w:ind w:left="2880" w:hanging="360"/>
      </w:pPr>
      <w:rPr>
        <w:rFonts w:ascii="Symbol" w:hAnsi="Symbol" w:hint="default"/>
      </w:rPr>
    </w:lvl>
    <w:lvl w:ilvl="4" w:tplc="82E88AE8" w:tentative="1">
      <w:start w:val="1"/>
      <w:numFmt w:val="bullet"/>
      <w:lvlText w:val="o"/>
      <w:lvlJc w:val="left"/>
      <w:pPr>
        <w:tabs>
          <w:tab w:val="num" w:pos="3600"/>
        </w:tabs>
        <w:ind w:left="3600" w:hanging="360"/>
      </w:pPr>
      <w:rPr>
        <w:rFonts w:ascii="Courier New" w:hAnsi="Courier New" w:hint="default"/>
      </w:rPr>
    </w:lvl>
    <w:lvl w:ilvl="5" w:tplc="7FFEA0E8" w:tentative="1">
      <w:start w:val="1"/>
      <w:numFmt w:val="bullet"/>
      <w:lvlText w:val=""/>
      <w:lvlJc w:val="left"/>
      <w:pPr>
        <w:tabs>
          <w:tab w:val="num" w:pos="4320"/>
        </w:tabs>
        <w:ind w:left="4320" w:hanging="360"/>
      </w:pPr>
      <w:rPr>
        <w:rFonts w:ascii="Wingdings" w:hAnsi="Wingdings" w:hint="default"/>
      </w:rPr>
    </w:lvl>
    <w:lvl w:ilvl="6" w:tplc="7DFC88D0" w:tentative="1">
      <w:start w:val="1"/>
      <w:numFmt w:val="bullet"/>
      <w:lvlText w:val=""/>
      <w:lvlJc w:val="left"/>
      <w:pPr>
        <w:tabs>
          <w:tab w:val="num" w:pos="5040"/>
        </w:tabs>
        <w:ind w:left="5040" w:hanging="360"/>
      </w:pPr>
      <w:rPr>
        <w:rFonts w:ascii="Symbol" w:hAnsi="Symbol" w:hint="default"/>
      </w:rPr>
    </w:lvl>
    <w:lvl w:ilvl="7" w:tplc="230A88BE" w:tentative="1">
      <w:start w:val="1"/>
      <w:numFmt w:val="bullet"/>
      <w:lvlText w:val="o"/>
      <w:lvlJc w:val="left"/>
      <w:pPr>
        <w:tabs>
          <w:tab w:val="num" w:pos="5760"/>
        </w:tabs>
        <w:ind w:left="5760" w:hanging="360"/>
      </w:pPr>
      <w:rPr>
        <w:rFonts w:ascii="Courier New" w:hAnsi="Courier New" w:hint="default"/>
      </w:rPr>
    </w:lvl>
    <w:lvl w:ilvl="8" w:tplc="87FEBB48"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num w:numId="1">
    <w:abstractNumId w:val="16"/>
  </w:num>
  <w:num w:numId="2">
    <w:abstractNumId w:val="31"/>
  </w:num>
  <w:num w:numId="3">
    <w:abstractNumId w:val="9"/>
  </w:num>
  <w:num w:numId="4">
    <w:abstractNumId w:val="24"/>
  </w:num>
  <w:num w:numId="5">
    <w:abstractNumId w:val="18"/>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 w:numId="13">
    <w:abstractNumId w:val="15"/>
  </w:num>
  <w:num w:numId="14">
    <w:abstractNumId w:val="27"/>
  </w:num>
  <w:num w:numId="15">
    <w:abstractNumId w:val="21"/>
  </w:num>
  <w:num w:numId="16">
    <w:abstractNumId w:val="25"/>
  </w:num>
  <w:num w:numId="17">
    <w:abstractNumId w:val="13"/>
  </w:num>
  <w:num w:numId="18">
    <w:abstractNumId w:val="8"/>
  </w:num>
  <w:num w:numId="19">
    <w:abstractNumId w:val="11"/>
  </w:num>
  <w:num w:numId="20">
    <w:abstractNumId w:val="22"/>
  </w:num>
  <w:num w:numId="21">
    <w:abstractNumId w:val="29"/>
  </w:num>
  <w:num w:numId="22">
    <w:abstractNumId w:val="19"/>
  </w:num>
  <w:num w:numId="23">
    <w:abstractNumId w:val="7"/>
  </w:num>
  <w:num w:numId="24">
    <w:abstractNumId w:val="20"/>
  </w:num>
  <w:num w:numId="25">
    <w:abstractNumId w:val="12"/>
  </w:num>
  <w:num w:numId="26">
    <w:abstractNumId w:val="17"/>
  </w:num>
  <w:num w:numId="27">
    <w:abstractNumId w:val="28"/>
  </w:num>
  <w:num w:numId="28">
    <w:abstractNumId w:val="30"/>
  </w:num>
  <w:num w:numId="29">
    <w:abstractNumId w:val="32"/>
  </w:num>
  <w:num w:numId="30">
    <w:abstractNumId w:val="26"/>
  </w:num>
  <w:num w:numId="31">
    <w:abstractNumId w:val="23"/>
  </w:num>
  <w:num w:numId="32">
    <w:abstractNumId w:val="14"/>
  </w:num>
  <w:num w:numId="3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isplayBackgroundShape/>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77FD"/>
    <w:rsid w:val="00003D2C"/>
    <w:rsid w:val="00013E7A"/>
    <w:rsid w:val="00021436"/>
    <w:rsid w:val="00043A54"/>
    <w:rsid w:val="00077357"/>
    <w:rsid w:val="00083A52"/>
    <w:rsid w:val="000B20C5"/>
    <w:rsid w:val="000D567E"/>
    <w:rsid w:val="000F143D"/>
    <w:rsid w:val="000F2C82"/>
    <w:rsid w:val="000F4ABD"/>
    <w:rsid w:val="00104330"/>
    <w:rsid w:val="001156F0"/>
    <w:rsid w:val="001161EE"/>
    <w:rsid w:val="00120A61"/>
    <w:rsid w:val="00120A93"/>
    <w:rsid w:val="0016545B"/>
    <w:rsid w:val="00192D80"/>
    <w:rsid w:val="001977FD"/>
    <w:rsid w:val="001A058B"/>
    <w:rsid w:val="001C4A86"/>
    <w:rsid w:val="001E29AF"/>
    <w:rsid w:val="00202DD6"/>
    <w:rsid w:val="00203ED9"/>
    <w:rsid w:val="00213FC6"/>
    <w:rsid w:val="00277A26"/>
    <w:rsid w:val="002A5A17"/>
    <w:rsid w:val="002F79DA"/>
    <w:rsid w:val="00305374"/>
    <w:rsid w:val="00315A0A"/>
    <w:rsid w:val="00315E8E"/>
    <w:rsid w:val="00322E95"/>
    <w:rsid w:val="003338BB"/>
    <w:rsid w:val="00336D74"/>
    <w:rsid w:val="003409AB"/>
    <w:rsid w:val="00365E22"/>
    <w:rsid w:val="00376185"/>
    <w:rsid w:val="00380D5A"/>
    <w:rsid w:val="0038378E"/>
    <w:rsid w:val="003A0DC5"/>
    <w:rsid w:val="003B052E"/>
    <w:rsid w:val="003D2D67"/>
    <w:rsid w:val="004469CC"/>
    <w:rsid w:val="004553A4"/>
    <w:rsid w:val="00460E28"/>
    <w:rsid w:val="004636A6"/>
    <w:rsid w:val="00467D7D"/>
    <w:rsid w:val="00470495"/>
    <w:rsid w:val="00490C81"/>
    <w:rsid w:val="00493486"/>
    <w:rsid w:val="00496001"/>
    <w:rsid w:val="004971C2"/>
    <w:rsid w:val="004D1644"/>
    <w:rsid w:val="004D506F"/>
    <w:rsid w:val="004E0E98"/>
    <w:rsid w:val="00536090"/>
    <w:rsid w:val="00547C3E"/>
    <w:rsid w:val="005612E5"/>
    <w:rsid w:val="00567459"/>
    <w:rsid w:val="005950F2"/>
    <w:rsid w:val="005A4670"/>
    <w:rsid w:val="005B46D2"/>
    <w:rsid w:val="005C360E"/>
    <w:rsid w:val="005C6CC8"/>
    <w:rsid w:val="005C7E5F"/>
    <w:rsid w:val="005E5745"/>
    <w:rsid w:val="005E7A1D"/>
    <w:rsid w:val="0060127C"/>
    <w:rsid w:val="00601813"/>
    <w:rsid w:val="00602BF4"/>
    <w:rsid w:val="00626141"/>
    <w:rsid w:val="00642EE3"/>
    <w:rsid w:val="0065664F"/>
    <w:rsid w:val="006725C8"/>
    <w:rsid w:val="00695CF6"/>
    <w:rsid w:val="006966FB"/>
    <w:rsid w:val="006A16B7"/>
    <w:rsid w:val="006D4569"/>
    <w:rsid w:val="006E2CA0"/>
    <w:rsid w:val="006E4172"/>
    <w:rsid w:val="006F52D7"/>
    <w:rsid w:val="007224E7"/>
    <w:rsid w:val="0072719C"/>
    <w:rsid w:val="00737E58"/>
    <w:rsid w:val="00744C59"/>
    <w:rsid w:val="0078398B"/>
    <w:rsid w:val="00784442"/>
    <w:rsid w:val="00785B46"/>
    <w:rsid w:val="007A055B"/>
    <w:rsid w:val="007C39FD"/>
    <w:rsid w:val="007D6C00"/>
    <w:rsid w:val="0080272C"/>
    <w:rsid w:val="00810AB4"/>
    <w:rsid w:val="008374D6"/>
    <w:rsid w:val="00864941"/>
    <w:rsid w:val="00875A1D"/>
    <w:rsid w:val="00886B4A"/>
    <w:rsid w:val="00893975"/>
    <w:rsid w:val="0089552E"/>
    <w:rsid w:val="008B6546"/>
    <w:rsid w:val="008D76A4"/>
    <w:rsid w:val="008E064E"/>
    <w:rsid w:val="008F5E02"/>
    <w:rsid w:val="00905730"/>
    <w:rsid w:val="009114EC"/>
    <w:rsid w:val="00912B3D"/>
    <w:rsid w:val="0092133E"/>
    <w:rsid w:val="00925D3B"/>
    <w:rsid w:val="00935D50"/>
    <w:rsid w:val="00944918"/>
    <w:rsid w:val="009960D7"/>
    <w:rsid w:val="009B2EC7"/>
    <w:rsid w:val="009C1B91"/>
    <w:rsid w:val="009C25DD"/>
    <w:rsid w:val="009D0B0A"/>
    <w:rsid w:val="009E06F6"/>
    <w:rsid w:val="009F7F21"/>
    <w:rsid w:val="00A2434D"/>
    <w:rsid w:val="00A4767A"/>
    <w:rsid w:val="00A538BE"/>
    <w:rsid w:val="00A82AA4"/>
    <w:rsid w:val="00A87A19"/>
    <w:rsid w:val="00A961DB"/>
    <w:rsid w:val="00AC2B0B"/>
    <w:rsid w:val="00AE01D8"/>
    <w:rsid w:val="00B009D5"/>
    <w:rsid w:val="00B24ADA"/>
    <w:rsid w:val="00B40EA3"/>
    <w:rsid w:val="00B43031"/>
    <w:rsid w:val="00B4497B"/>
    <w:rsid w:val="00B47E19"/>
    <w:rsid w:val="00B63FB0"/>
    <w:rsid w:val="00B73890"/>
    <w:rsid w:val="00B8022D"/>
    <w:rsid w:val="00BB72E4"/>
    <w:rsid w:val="00BC018F"/>
    <w:rsid w:val="00BC67AB"/>
    <w:rsid w:val="00C007CE"/>
    <w:rsid w:val="00C041C0"/>
    <w:rsid w:val="00C171D8"/>
    <w:rsid w:val="00C34659"/>
    <w:rsid w:val="00C3568C"/>
    <w:rsid w:val="00C601A1"/>
    <w:rsid w:val="00C60D49"/>
    <w:rsid w:val="00C651A2"/>
    <w:rsid w:val="00C760C7"/>
    <w:rsid w:val="00C76FB8"/>
    <w:rsid w:val="00CA4B9B"/>
    <w:rsid w:val="00CC07F7"/>
    <w:rsid w:val="00CC14D9"/>
    <w:rsid w:val="00CD76AF"/>
    <w:rsid w:val="00CE389A"/>
    <w:rsid w:val="00D065A1"/>
    <w:rsid w:val="00D46253"/>
    <w:rsid w:val="00D65894"/>
    <w:rsid w:val="00D7488A"/>
    <w:rsid w:val="00D7753A"/>
    <w:rsid w:val="00D84548"/>
    <w:rsid w:val="00DA10C1"/>
    <w:rsid w:val="00DC7D8C"/>
    <w:rsid w:val="00DE2F23"/>
    <w:rsid w:val="00E21E3F"/>
    <w:rsid w:val="00E2301E"/>
    <w:rsid w:val="00E92C4A"/>
    <w:rsid w:val="00EA3187"/>
    <w:rsid w:val="00EA34D8"/>
    <w:rsid w:val="00EA4A8A"/>
    <w:rsid w:val="00EA5F57"/>
    <w:rsid w:val="00EF4112"/>
    <w:rsid w:val="00EF7D15"/>
    <w:rsid w:val="00F174EB"/>
    <w:rsid w:val="00F264C4"/>
    <w:rsid w:val="00F36E2C"/>
    <w:rsid w:val="00F45F57"/>
    <w:rsid w:val="00F61475"/>
    <w:rsid w:val="00F66832"/>
    <w:rsid w:val="00F864F2"/>
    <w:rsid w:val="00FD284E"/>
    <w:rsid w:val="00FD66AE"/>
    <w:rsid w:val="00FE08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A52924"/>
  <w15:chartTrackingRefBased/>
  <w15:docId w15:val="{A7ED4E4A-02CD-4AF7-8C6A-38002B7DD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875A1D"/>
    <w:pPr>
      <w:overflowPunct w:val="0"/>
      <w:autoSpaceDE w:val="0"/>
      <w:autoSpaceDN w:val="0"/>
      <w:adjustRightInd w:val="0"/>
      <w:spacing w:after="120"/>
      <w:textAlignment w:val="baseline"/>
    </w:pPr>
    <w:rPr>
      <w:rFonts w:eastAsia="SimSun"/>
      <w:sz w:val="22"/>
      <w:lang w:val="en-GB" w:eastAsia="zh-CN"/>
    </w:rPr>
  </w:style>
  <w:style w:type="paragraph" w:styleId="Heading1">
    <w:name w:val="heading 1"/>
    <w:aliases w:val="1. Heading,NMP Heading 1,H1,h11,h12,h13,h14,h15,h16,app heading 1,l1,Memo Heading 1,Heading 1_a,heading 1,h17,h111,h121,h131,h141,h151,h161,h18,h112,h122,h132,h142,h152,h162,h19,h113,h123,h133,h143,h153,h163"/>
    <w:next w:val="Normal"/>
    <w:link w:val="Heading1Char"/>
    <w:qFormat/>
    <w:rsid w:val="00810AB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UNDERRUBRIK 1-2,DO NOT USE_h2,h2,h21,Heading 2 Char,H2 Char,h2 Char"/>
    <w:basedOn w:val="Heading1"/>
    <w:next w:val="Normal"/>
    <w:qFormat/>
    <w:rsid w:val="00810AB4"/>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810AB4"/>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rsid w:val="00810AB4"/>
    <w:pPr>
      <w:ind w:left="1418" w:hanging="1418"/>
      <w:outlineLvl w:val="3"/>
    </w:pPr>
    <w:rPr>
      <w:sz w:val="24"/>
    </w:rPr>
  </w:style>
  <w:style w:type="paragraph" w:styleId="Heading5">
    <w:name w:val="heading 5"/>
    <w:basedOn w:val="Heading4"/>
    <w:next w:val="Normal"/>
    <w:qFormat/>
    <w:rsid w:val="00810AB4"/>
    <w:pPr>
      <w:ind w:left="1701" w:hanging="1701"/>
      <w:outlineLvl w:val="4"/>
    </w:pPr>
    <w:rPr>
      <w:sz w:val="22"/>
    </w:rPr>
  </w:style>
  <w:style w:type="paragraph" w:styleId="Heading6">
    <w:name w:val="heading 6"/>
    <w:basedOn w:val="H6"/>
    <w:next w:val="Normal"/>
    <w:qFormat/>
    <w:rsid w:val="00810AB4"/>
    <w:pPr>
      <w:outlineLvl w:val="5"/>
    </w:pPr>
  </w:style>
  <w:style w:type="paragraph" w:styleId="Heading7">
    <w:name w:val="heading 7"/>
    <w:basedOn w:val="H6"/>
    <w:next w:val="Normal"/>
    <w:qFormat/>
    <w:rsid w:val="00810AB4"/>
    <w:pPr>
      <w:outlineLvl w:val="6"/>
    </w:pPr>
  </w:style>
  <w:style w:type="paragraph" w:styleId="Heading8">
    <w:name w:val="heading 8"/>
    <w:basedOn w:val="Heading1"/>
    <w:next w:val="Normal"/>
    <w:qFormat/>
    <w:rsid w:val="00810AB4"/>
    <w:pPr>
      <w:ind w:left="0" w:firstLine="0"/>
      <w:outlineLvl w:val="7"/>
    </w:pPr>
  </w:style>
  <w:style w:type="paragraph" w:styleId="Heading9">
    <w:name w:val="heading 9"/>
    <w:basedOn w:val="Heading8"/>
    <w:next w:val="Normal"/>
    <w:qFormat/>
    <w:rsid w:val="00810AB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810AB4"/>
    <w:pPr>
      <w:spacing w:after="180"/>
      <w:ind w:left="568" w:hanging="284"/>
    </w:pPr>
    <w:rPr>
      <w:sz w:val="20"/>
    </w:rPr>
  </w:style>
  <w:style w:type="paragraph" w:customStyle="1" w:styleId="B10">
    <w:name w:val="B1"/>
    <w:basedOn w:val="List"/>
    <w:link w:val="B1Char"/>
    <w:rsid w:val="00F36E2C"/>
    <w:pPr>
      <w:ind w:left="738" w:hanging="454"/>
    </w:pPr>
  </w:style>
  <w:style w:type="paragraph" w:customStyle="1" w:styleId="B1">
    <w:name w:val="B1+"/>
    <w:basedOn w:val="B10"/>
    <w:rsid w:val="00F36E2C"/>
    <w:pPr>
      <w:numPr>
        <w:numId w:val="1"/>
      </w:numPr>
    </w:pPr>
  </w:style>
  <w:style w:type="paragraph" w:styleId="List2">
    <w:name w:val="List 2"/>
    <w:basedOn w:val="List"/>
    <w:rsid w:val="00810AB4"/>
    <w:pPr>
      <w:ind w:left="851"/>
    </w:pPr>
  </w:style>
  <w:style w:type="paragraph" w:customStyle="1" w:styleId="B20">
    <w:name w:val="B2"/>
    <w:basedOn w:val="List2"/>
    <w:rsid w:val="00F36E2C"/>
    <w:pPr>
      <w:ind w:left="1191" w:hanging="454"/>
    </w:pPr>
  </w:style>
  <w:style w:type="paragraph" w:customStyle="1" w:styleId="B2">
    <w:name w:val="B2+"/>
    <w:basedOn w:val="B20"/>
    <w:rsid w:val="00470495"/>
    <w:pPr>
      <w:numPr>
        <w:numId w:val="2"/>
      </w:numPr>
    </w:pPr>
  </w:style>
  <w:style w:type="paragraph" w:styleId="List3">
    <w:name w:val="List 3"/>
    <w:basedOn w:val="List2"/>
    <w:rsid w:val="00810AB4"/>
    <w:pPr>
      <w:ind w:left="1135"/>
    </w:pPr>
  </w:style>
  <w:style w:type="paragraph" w:customStyle="1" w:styleId="B30">
    <w:name w:val="B3"/>
    <w:basedOn w:val="List3"/>
    <w:rsid w:val="00F36E2C"/>
    <w:pPr>
      <w:ind w:left="1645" w:hanging="454"/>
    </w:pPr>
  </w:style>
  <w:style w:type="paragraph" w:customStyle="1" w:styleId="B3">
    <w:name w:val="B3+"/>
    <w:basedOn w:val="B30"/>
    <w:rsid w:val="005E5745"/>
    <w:pPr>
      <w:numPr>
        <w:numId w:val="3"/>
      </w:numPr>
      <w:tabs>
        <w:tab w:val="left" w:pos="1134"/>
      </w:tabs>
    </w:pPr>
  </w:style>
  <w:style w:type="paragraph" w:styleId="List4">
    <w:name w:val="List 4"/>
    <w:basedOn w:val="List3"/>
    <w:rsid w:val="00810AB4"/>
    <w:pPr>
      <w:ind w:left="1418"/>
    </w:pPr>
  </w:style>
  <w:style w:type="paragraph" w:customStyle="1" w:styleId="B4">
    <w:name w:val="B4"/>
    <w:basedOn w:val="List4"/>
    <w:rsid w:val="005E5745"/>
    <w:pPr>
      <w:ind w:left="2098" w:hanging="454"/>
    </w:pPr>
  </w:style>
  <w:style w:type="paragraph" w:styleId="List5">
    <w:name w:val="List 5"/>
    <w:basedOn w:val="List4"/>
    <w:rsid w:val="00810AB4"/>
    <w:pPr>
      <w:ind w:left="1702"/>
    </w:pPr>
  </w:style>
  <w:style w:type="paragraph" w:customStyle="1" w:styleId="B5">
    <w:name w:val="B5"/>
    <w:basedOn w:val="List5"/>
    <w:rsid w:val="005E5745"/>
    <w:pPr>
      <w:ind w:left="2552" w:hanging="454"/>
    </w:pPr>
  </w:style>
  <w:style w:type="paragraph" w:customStyle="1" w:styleId="BL">
    <w:name w:val="BL"/>
    <w:basedOn w:val="Normal"/>
    <w:rsid w:val="005E5745"/>
    <w:pPr>
      <w:numPr>
        <w:numId w:val="4"/>
      </w:numPr>
      <w:tabs>
        <w:tab w:val="left" w:pos="851"/>
      </w:tabs>
    </w:pPr>
    <w:rPr>
      <w:sz w:val="20"/>
    </w:rPr>
  </w:style>
  <w:style w:type="paragraph" w:customStyle="1" w:styleId="BN">
    <w:name w:val="BN"/>
    <w:basedOn w:val="Normal"/>
    <w:rsid w:val="005E5745"/>
    <w:pPr>
      <w:numPr>
        <w:numId w:val="5"/>
      </w:numPr>
    </w:pPr>
    <w:rPr>
      <w:sz w:val="20"/>
    </w:rPr>
  </w:style>
  <w:style w:type="paragraph" w:customStyle="1" w:styleId="NO">
    <w:name w:val="NO"/>
    <w:basedOn w:val="Normal"/>
    <w:link w:val="NOChar"/>
    <w:rsid w:val="00810AB4"/>
    <w:pPr>
      <w:keepLines/>
      <w:spacing w:after="180"/>
      <w:ind w:left="1135" w:hanging="851"/>
    </w:pPr>
    <w:rPr>
      <w:sz w:val="20"/>
    </w:rPr>
  </w:style>
  <w:style w:type="paragraph" w:customStyle="1" w:styleId="EditorsNote">
    <w:name w:val="Editor's Note"/>
    <w:basedOn w:val="NO"/>
    <w:rsid w:val="00810AB4"/>
    <w:rPr>
      <w:color w:val="FF0000"/>
    </w:rPr>
  </w:style>
  <w:style w:type="paragraph" w:customStyle="1" w:styleId="EQ">
    <w:name w:val="EQ"/>
    <w:basedOn w:val="Normal"/>
    <w:next w:val="Normal"/>
    <w:rsid w:val="00810AB4"/>
    <w:pPr>
      <w:keepLines/>
      <w:tabs>
        <w:tab w:val="center" w:pos="4536"/>
        <w:tab w:val="right" w:pos="9072"/>
      </w:tabs>
      <w:spacing w:after="180"/>
    </w:pPr>
    <w:rPr>
      <w:noProof/>
      <w:sz w:val="20"/>
    </w:rPr>
  </w:style>
  <w:style w:type="paragraph" w:customStyle="1" w:styleId="EX">
    <w:name w:val="EX"/>
    <w:basedOn w:val="Normal"/>
    <w:rsid w:val="00810AB4"/>
    <w:pPr>
      <w:keepLines/>
      <w:spacing w:after="180"/>
      <w:ind w:left="1702" w:hanging="1418"/>
    </w:pPr>
    <w:rPr>
      <w:sz w:val="20"/>
    </w:rPr>
  </w:style>
  <w:style w:type="paragraph" w:customStyle="1" w:styleId="EW">
    <w:name w:val="EW"/>
    <w:basedOn w:val="EX"/>
    <w:rsid w:val="00810AB4"/>
    <w:pPr>
      <w:spacing w:after="0"/>
    </w:pPr>
  </w:style>
  <w:style w:type="paragraph" w:styleId="Header">
    <w:name w:val="header"/>
    <w:rsid w:val="00810AB4"/>
    <w:pPr>
      <w:widowControl w:val="0"/>
      <w:overflowPunct w:val="0"/>
      <w:autoSpaceDE w:val="0"/>
      <w:autoSpaceDN w:val="0"/>
      <w:adjustRightInd w:val="0"/>
      <w:textAlignment w:val="baseline"/>
    </w:pPr>
    <w:rPr>
      <w:rFonts w:ascii="Arial" w:hAnsi="Arial"/>
      <w:b/>
      <w:noProof/>
      <w:sz w:val="18"/>
      <w:lang w:val="en-GB"/>
    </w:rPr>
  </w:style>
  <w:style w:type="paragraph" w:styleId="Footer">
    <w:name w:val="footer"/>
    <w:basedOn w:val="Header"/>
    <w:rsid w:val="00810AB4"/>
    <w:pPr>
      <w:jc w:val="center"/>
    </w:pPr>
    <w:rPr>
      <w:i/>
    </w:rPr>
  </w:style>
  <w:style w:type="character" w:styleId="FootnoteReference">
    <w:name w:val="footnote reference"/>
    <w:semiHidden/>
    <w:rsid w:val="00810AB4"/>
    <w:rPr>
      <w:b/>
      <w:position w:val="6"/>
      <w:sz w:val="16"/>
    </w:rPr>
  </w:style>
  <w:style w:type="paragraph" w:styleId="FootnoteText">
    <w:name w:val="footnote text"/>
    <w:basedOn w:val="Normal"/>
    <w:semiHidden/>
    <w:rsid w:val="00810AB4"/>
    <w:pPr>
      <w:keepLines/>
      <w:ind w:left="454" w:hanging="454"/>
    </w:pPr>
    <w:rPr>
      <w:sz w:val="16"/>
    </w:rPr>
  </w:style>
  <w:style w:type="paragraph" w:customStyle="1" w:styleId="FP">
    <w:name w:val="FP"/>
    <w:basedOn w:val="Normal"/>
    <w:rsid w:val="00944918"/>
    <w:pPr>
      <w:spacing w:after="0"/>
    </w:pPr>
    <w:rPr>
      <w:sz w:val="20"/>
    </w:rPr>
  </w:style>
  <w:style w:type="paragraph" w:customStyle="1" w:styleId="H6">
    <w:name w:val="H6"/>
    <w:basedOn w:val="Heading5"/>
    <w:next w:val="Normal"/>
    <w:rsid w:val="00810AB4"/>
    <w:pPr>
      <w:ind w:left="1985" w:hanging="1985"/>
      <w:outlineLvl w:val="9"/>
    </w:pPr>
    <w:rPr>
      <w:sz w:val="20"/>
    </w:rPr>
  </w:style>
  <w:style w:type="paragraph" w:styleId="Index1">
    <w:name w:val="index 1"/>
    <w:basedOn w:val="Normal"/>
    <w:semiHidden/>
    <w:rsid w:val="00810AB4"/>
    <w:pPr>
      <w:keepLines/>
    </w:pPr>
    <w:rPr>
      <w:sz w:val="20"/>
    </w:rPr>
  </w:style>
  <w:style w:type="paragraph" w:styleId="Index2">
    <w:name w:val="index 2"/>
    <w:basedOn w:val="Index1"/>
    <w:semiHidden/>
    <w:rsid w:val="00810AB4"/>
    <w:pPr>
      <w:ind w:left="284"/>
    </w:pPr>
  </w:style>
  <w:style w:type="paragraph" w:customStyle="1" w:styleId="LD">
    <w:name w:val="LD"/>
    <w:rsid w:val="00810AB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styleId="ListBullet">
    <w:name w:val="List Bullet"/>
    <w:basedOn w:val="List"/>
    <w:rsid w:val="00810AB4"/>
  </w:style>
  <w:style w:type="paragraph" w:styleId="ListBullet2">
    <w:name w:val="List Bullet 2"/>
    <w:basedOn w:val="ListBullet"/>
    <w:rsid w:val="00810AB4"/>
    <w:pPr>
      <w:ind w:left="851"/>
    </w:pPr>
  </w:style>
  <w:style w:type="paragraph" w:styleId="ListBullet3">
    <w:name w:val="List Bullet 3"/>
    <w:basedOn w:val="ListBullet2"/>
    <w:rsid w:val="00810AB4"/>
    <w:pPr>
      <w:ind w:left="1135"/>
    </w:pPr>
  </w:style>
  <w:style w:type="paragraph" w:styleId="ListBullet4">
    <w:name w:val="List Bullet 4"/>
    <w:basedOn w:val="ListBullet3"/>
    <w:rsid w:val="00810AB4"/>
    <w:pPr>
      <w:ind w:left="1418"/>
    </w:pPr>
  </w:style>
  <w:style w:type="paragraph" w:styleId="ListBullet5">
    <w:name w:val="List Bullet 5"/>
    <w:basedOn w:val="ListBullet4"/>
    <w:rsid w:val="00810AB4"/>
    <w:pPr>
      <w:ind w:left="1702"/>
    </w:pPr>
  </w:style>
  <w:style w:type="paragraph" w:styleId="ListNumber">
    <w:name w:val="List Number"/>
    <w:basedOn w:val="List"/>
    <w:rsid w:val="00810AB4"/>
  </w:style>
  <w:style w:type="paragraph" w:styleId="ListNumber2">
    <w:name w:val="List Number 2"/>
    <w:basedOn w:val="ListNumber"/>
    <w:rsid w:val="00810AB4"/>
    <w:pPr>
      <w:ind w:left="851"/>
    </w:pPr>
  </w:style>
  <w:style w:type="paragraph" w:customStyle="1" w:styleId="NF">
    <w:name w:val="NF"/>
    <w:basedOn w:val="NO"/>
    <w:rsid w:val="00810AB4"/>
    <w:pPr>
      <w:keepNext/>
      <w:spacing w:after="0"/>
    </w:pPr>
    <w:rPr>
      <w:rFonts w:ascii="Arial" w:hAnsi="Arial"/>
      <w:sz w:val="18"/>
    </w:rPr>
  </w:style>
  <w:style w:type="paragraph" w:customStyle="1" w:styleId="NW">
    <w:name w:val="NW"/>
    <w:basedOn w:val="NO"/>
    <w:rsid w:val="00810AB4"/>
    <w:pPr>
      <w:spacing w:after="0"/>
    </w:pPr>
  </w:style>
  <w:style w:type="paragraph" w:customStyle="1" w:styleId="PL">
    <w:name w:val="PL"/>
    <w:rsid w:val="00810A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L">
    <w:name w:val="TAL"/>
    <w:basedOn w:val="Normal"/>
    <w:rsid w:val="00944918"/>
    <w:pPr>
      <w:keepNext/>
      <w:keepLines/>
      <w:spacing w:after="0"/>
    </w:pPr>
    <w:rPr>
      <w:rFonts w:ascii="Arial" w:hAnsi="Arial"/>
      <w:sz w:val="18"/>
    </w:rPr>
  </w:style>
  <w:style w:type="paragraph" w:customStyle="1" w:styleId="TAC">
    <w:name w:val="TAC"/>
    <w:basedOn w:val="TAL"/>
    <w:link w:val="TACChar"/>
    <w:rsid w:val="00810AB4"/>
    <w:pPr>
      <w:jc w:val="center"/>
    </w:pPr>
  </w:style>
  <w:style w:type="paragraph" w:customStyle="1" w:styleId="TAH">
    <w:name w:val="TAH"/>
    <w:basedOn w:val="TAC"/>
    <w:link w:val="TAHCar"/>
    <w:rsid w:val="00810AB4"/>
    <w:rPr>
      <w:b/>
    </w:rPr>
  </w:style>
  <w:style w:type="paragraph" w:customStyle="1" w:styleId="TAJ">
    <w:name w:val="TAJ"/>
    <w:basedOn w:val="Normal"/>
    <w:rsid w:val="009960D7"/>
    <w:pPr>
      <w:keepNext/>
      <w:keepLines/>
      <w:spacing w:after="0"/>
      <w:jc w:val="both"/>
    </w:pPr>
    <w:rPr>
      <w:rFonts w:ascii="Arial" w:hAnsi="Arial"/>
      <w:sz w:val="18"/>
    </w:rPr>
  </w:style>
  <w:style w:type="paragraph" w:customStyle="1" w:styleId="TAN">
    <w:name w:val="TAN"/>
    <w:basedOn w:val="TAL"/>
    <w:link w:val="TANChar"/>
    <w:rsid w:val="00810AB4"/>
    <w:pPr>
      <w:ind w:left="851" w:hanging="851"/>
    </w:pPr>
  </w:style>
  <w:style w:type="paragraph" w:customStyle="1" w:styleId="TAR">
    <w:name w:val="TAR"/>
    <w:basedOn w:val="TAL"/>
    <w:rsid w:val="00810AB4"/>
    <w:pPr>
      <w:jc w:val="right"/>
    </w:pPr>
  </w:style>
  <w:style w:type="paragraph" w:customStyle="1" w:styleId="FL">
    <w:name w:val="FL"/>
    <w:basedOn w:val="Normal"/>
    <w:rsid w:val="00810AB4"/>
    <w:pPr>
      <w:keepNext/>
      <w:keepLines/>
      <w:spacing w:before="60" w:after="180"/>
      <w:jc w:val="center"/>
    </w:pPr>
    <w:rPr>
      <w:rFonts w:ascii="Arial" w:hAnsi="Arial"/>
      <w:b/>
      <w:sz w:val="20"/>
    </w:rPr>
  </w:style>
  <w:style w:type="paragraph" w:customStyle="1" w:styleId="TF">
    <w:name w:val="TF"/>
    <w:basedOn w:val="FL"/>
    <w:rsid w:val="00810AB4"/>
    <w:pPr>
      <w:keepNext w:val="0"/>
      <w:spacing w:before="0" w:after="240"/>
    </w:pPr>
  </w:style>
  <w:style w:type="paragraph" w:customStyle="1" w:styleId="TH">
    <w:name w:val="TH"/>
    <w:basedOn w:val="FL"/>
    <w:next w:val="FL"/>
    <w:link w:val="THChar"/>
    <w:rsid w:val="00810AB4"/>
  </w:style>
  <w:style w:type="paragraph" w:styleId="TOC1">
    <w:name w:val="toc 1"/>
    <w:semiHidden/>
    <w:rsid w:val="00810AB4"/>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semiHidden/>
    <w:rsid w:val="00810AB4"/>
    <w:pPr>
      <w:spacing w:before="0"/>
      <w:ind w:left="851" w:hanging="851"/>
    </w:pPr>
    <w:rPr>
      <w:sz w:val="20"/>
    </w:rPr>
  </w:style>
  <w:style w:type="paragraph" w:styleId="TOC3">
    <w:name w:val="toc 3"/>
    <w:basedOn w:val="TOC2"/>
    <w:semiHidden/>
    <w:rsid w:val="00810AB4"/>
    <w:pPr>
      <w:ind w:left="1134" w:hanging="1134"/>
    </w:pPr>
  </w:style>
  <w:style w:type="paragraph" w:styleId="TOC4">
    <w:name w:val="toc 4"/>
    <w:basedOn w:val="TOC3"/>
    <w:semiHidden/>
    <w:rsid w:val="00810AB4"/>
    <w:pPr>
      <w:ind w:left="1418" w:hanging="1418"/>
    </w:pPr>
  </w:style>
  <w:style w:type="paragraph" w:styleId="TOC5">
    <w:name w:val="toc 5"/>
    <w:basedOn w:val="TOC4"/>
    <w:semiHidden/>
    <w:rsid w:val="00810AB4"/>
    <w:pPr>
      <w:ind w:left="1701" w:hanging="1701"/>
    </w:pPr>
  </w:style>
  <w:style w:type="paragraph" w:styleId="TOC6">
    <w:name w:val="toc 6"/>
    <w:basedOn w:val="TOC5"/>
    <w:next w:val="Normal"/>
    <w:semiHidden/>
    <w:rsid w:val="00810AB4"/>
    <w:pPr>
      <w:ind w:left="1985" w:hanging="1985"/>
    </w:pPr>
  </w:style>
  <w:style w:type="paragraph" w:styleId="TOC7">
    <w:name w:val="toc 7"/>
    <w:basedOn w:val="TOC6"/>
    <w:next w:val="Normal"/>
    <w:semiHidden/>
    <w:rsid w:val="00810AB4"/>
    <w:pPr>
      <w:ind w:left="2268" w:hanging="2268"/>
    </w:pPr>
  </w:style>
  <w:style w:type="paragraph" w:styleId="TOC8">
    <w:name w:val="toc 8"/>
    <w:basedOn w:val="TOC1"/>
    <w:semiHidden/>
    <w:rsid w:val="00810AB4"/>
    <w:pPr>
      <w:spacing w:before="180"/>
      <w:ind w:left="2693" w:hanging="2693"/>
    </w:pPr>
    <w:rPr>
      <w:b/>
    </w:rPr>
  </w:style>
  <w:style w:type="paragraph" w:styleId="TOC9">
    <w:name w:val="toc 9"/>
    <w:basedOn w:val="TOC8"/>
    <w:semiHidden/>
    <w:rsid w:val="00810AB4"/>
    <w:pPr>
      <w:ind w:left="1418" w:hanging="1418"/>
    </w:pPr>
  </w:style>
  <w:style w:type="paragraph" w:customStyle="1" w:styleId="TT">
    <w:name w:val="TT"/>
    <w:basedOn w:val="Heading1"/>
    <w:next w:val="Normal"/>
    <w:rsid w:val="00810AB4"/>
    <w:pPr>
      <w:outlineLvl w:val="9"/>
    </w:pPr>
  </w:style>
  <w:style w:type="paragraph" w:customStyle="1" w:styleId="ZA">
    <w:name w:val="ZA"/>
    <w:rsid w:val="00810AB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810AB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810AB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rsid w:val="00810AB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character" w:customStyle="1" w:styleId="ZGSM">
    <w:name w:val="ZGSM"/>
    <w:rsid w:val="00810AB4"/>
  </w:style>
  <w:style w:type="paragraph" w:customStyle="1" w:styleId="ZH">
    <w:name w:val="ZH"/>
    <w:rsid w:val="00810AB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
    <w:name w:val="ZT"/>
    <w:rsid w:val="00810AB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810AB4"/>
    <w:pPr>
      <w:framePr w:hRule="auto" w:wrap="notBeside" w:y="852"/>
    </w:pPr>
    <w:rPr>
      <w:i w:val="0"/>
      <w:sz w:val="40"/>
    </w:rPr>
  </w:style>
  <w:style w:type="paragraph" w:customStyle="1" w:styleId="ZU">
    <w:name w:val="ZU"/>
    <w:rsid w:val="00810AB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810AB4"/>
    <w:pPr>
      <w:framePr w:wrap="notBeside" w:y="16161"/>
    </w:pPr>
  </w:style>
  <w:style w:type="character" w:customStyle="1" w:styleId="Heading1Char">
    <w:name w:val="Heading 1 Char"/>
    <w:aliases w:val="1. Heading Char,NMP Heading 1 Char,H1 Char,h11 Char,h12 Char,h13 Char,h14 Char,h15 Char,h16 Char,app heading 1 Char,l1 Char,Memo Heading 1 Char,Heading 1_a Char,heading 1 Char,h17 Char,h111 Char,h121 Char,h131 Char,h141 Char,h151 Char"/>
    <w:link w:val="Heading1"/>
    <w:rsid w:val="00875A1D"/>
    <w:rPr>
      <w:rFonts w:ascii="Arial" w:hAnsi="Arial"/>
      <w:sz w:val="36"/>
      <w:lang w:val="en-GB" w:eastAsia="en-US" w:bidi="ar-SA"/>
    </w:rPr>
  </w:style>
  <w:style w:type="paragraph" w:styleId="Caption">
    <w:name w:val="caption"/>
    <w:basedOn w:val="Normal"/>
    <w:next w:val="Normal"/>
    <w:qFormat/>
    <w:rsid w:val="00875A1D"/>
    <w:rPr>
      <w:b/>
      <w:bCs/>
      <w:sz w:val="20"/>
    </w:rPr>
  </w:style>
  <w:style w:type="paragraph" w:styleId="BodyText">
    <w:name w:val="Body Text"/>
    <w:aliases w:val="bt"/>
    <w:basedOn w:val="Normal"/>
    <w:link w:val="BodyTextChar"/>
    <w:rsid w:val="00875A1D"/>
    <w:pPr>
      <w:overflowPunct/>
      <w:autoSpaceDE/>
      <w:autoSpaceDN/>
      <w:adjustRightInd/>
      <w:spacing w:after="0"/>
      <w:textAlignment w:val="auto"/>
    </w:pPr>
    <w:rPr>
      <w:rFonts w:eastAsia="Times New Roman"/>
      <w:sz w:val="24"/>
      <w:szCs w:val="24"/>
      <w:lang w:val="en-US" w:eastAsia="en-US"/>
    </w:rPr>
  </w:style>
  <w:style w:type="character" w:customStyle="1" w:styleId="BodyTextChar">
    <w:name w:val="Body Text Char"/>
    <w:aliases w:val="bt Char"/>
    <w:link w:val="BodyText"/>
    <w:rsid w:val="00875A1D"/>
    <w:rPr>
      <w:sz w:val="24"/>
      <w:szCs w:val="24"/>
      <w:lang w:val="en-US" w:eastAsia="en-US" w:bidi="ar-SA"/>
    </w:rPr>
  </w:style>
  <w:style w:type="paragraph" w:customStyle="1" w:styleId="CRCoverPage">
    <w:name w:val="CR Cover Page"/>
    <w:rsid w:val="006E2CA0"/>
    <w:pPr>
      <w:spacing w:after="120"/>
    </w:pPr>
    <w:rPr>
      <w:rFonts w:ascii="Arial" w:hAnsi="Arial"/>
      <w:lang w:val="en-GB"/>
    </w:rPr>
  </w:style>
  <w:style w:type="character" w:customStyle="1" w:styleId="B1Char">
    <w:name w:val="B1 Char"/>
    <w:link w:val="B10"/>
    <w:rsid w:val="00B8022D"/>
    <w:rPr>
      <w:rFonts w:eastAsia="SimSun"/>
      <w:lang w:val="en-GB" w:eastAsia="zh-CN"/>
    </w:rPr>
  </w:style>
  <w:style w:type="character" w:customStyle="1" w:styleId="NOChar">
    <w:name w:val="NO Char"/>
    <w:link w:val="NO"/>
    <w:rsid w:val="00B8022D"/>
    <w:rPr>
      <w:rFonts w:eastAsia="SimSun"/>
      <w:lang w:val="en-GB" w:eastAsia="zh-CN"/>
    </w:rPr>
  </w:style>
  <w:style w:type="paragraph" w:styleId="BalloonText">
    <w:name w:val="Balloon Text"/>
    <w:basedOn w:val="Normal"/>
    <w:link w:val="BalloonTextChar"/>
    <w:rsid w:val="00602BF4"/>
    <w:pPr>
      <w:spacing w:after="0"/>
    </w:pPr>
    <w:rPr>
      <w:rFonts w:ascii="Segoe UI" w:hAnsi="Segoe UI" w:cs="Segoe UI"/>
      <w:sz w:val="18"/>
      <w:szCs w:val="18"/>
    </w:rPr>
  </w:style>
  <w:style w:type="character" w:customStyle="1" w:styleId="BalloonTextChar">
    <w:name w:val="Balloon Text Char"/>
    <w:basedOn w:val="DefaultParagraphFont"/>
    <w:link w:val="BalloonText"/>
    <w:rsid w:val="00602BF4"/>
    <w:rPr>
      <w:rFonts w:ascii="Segoe UI" w:eastAsia="SimSun" w:hAnsi="Segoe UI" w:cs="Segoe UI"/>
      <w:sz w:val="18"/>
      <w:szCs w:val="18"/>
      <w:lang w:val="en-GB" w:eastAsia="zh-CN"/>
    </w:rPr>
  </w:style>
  <w:style w:type="paragraph" w:styleId="ListParagraph">
    <w:name w:val="List Paragraph"/>
    <w:basedOn w:val="Normal"/>
    <w:uiPriority w:val="34"/>
    <w:qFormat/>
    <w:rsid w:val="00602BF4"/>
    <w:pPr>
      <w:ind w:left="720"/>
      <w:contextualSpacing/>
    </w:pPr>
  </w:style>
  <w:style w:type="character" w:styleId="CommentReference">
    <w:name w:val="annotation reference"/>
    <w:basedOn w:val="DefaultParagraphFont"/>
    <w:rsid w:val="00B24ADA"/>
    <w:rPr>
      <w:sz w:val="16"/>
      <w:szCs w:val="16"/>
    </w:rPr>
  </w:style>
  <w:style w:type="paragraph" w:styleId="CommentText">
    <w:name w:val="annotation text"/>
    <w:basedOn w:val="Normal"/>
    <w:link w:val="CommentTextChar"/>
    <w:rsid w:val="00B24ADA"/>
    <w:rPr>
      <w:sz w:val="20"/>
    </w:rPr>
  </w:style>
  <w:style w:type="character" w:customStyle="1" w:styleId="CommentTextChar">
    <w:name w:val="Comment Text Char"/>
    <w:basedOn w:val="DefaultParagraphFont"/>
    <w:link w:val="CommentText"/>
    <w:rsid w:val="00B24ADA"/>
    <w:rPr>
      <w:rFonts w:eastAsia="SimSun"/>
      <w:lang w:val="en-GB" w:eastAsia="zh-CN"/>
    </w:rPr>
  </w:style>
  <w:style w:type="paragraph" w:styleId="CommentSubject">
    <w:name w:val="annotation subject"/>
    <w:basedOn w:val="CommentText"/>
    <w:next w:val="CommentText"/>
    <w:link w:val="CommentSubjectChar"/>
    <w:rsid w:val="00B24ADA"/>
    <w:rPr>
      <w:b/>
      <w:bCs/>
    </w:rPr>
  </w:style>
  <w:style w:type="character" w:customStyle="1" w:styleId="CommentSubjectChar">
    <w:name w:val="Comment Subject Char"/>
    <w:basedOn w:val="CommentTextChar"/>
    <w:link w:val="CommentSubject"/>
    <w:rsid w:val="00B24ADA"/>
    <w:rPr>
      <w:rFonts w:eastAsia="SimSun"/>
      <w:b/>
      <w:bCs/>
      <w:lang w:val="en-GB" w:eastAsia="zh-CN"/>
    </w:rPr>
  </w:style>
  <w:style w:type="character" w:customStyle="1" w:styleId="TACChar">
    <w:name w:val="TAC Char"/>
    <w:link w:val="TAC"/>
    <w:rsid w:val="00B24ADA"/>
    <w:rPr>
      <w:rFonts w:ascii="Arial" w:eastAsia="SimSun" w:hAnsi="Arial"/>
      <w:sz w:val="18"/>
      <w:lang w:val="en-GB" w:eastAsia="zh-CN"/>
    </w:rPr>
  </w:style>
  <w:style w:type="character" w:customStyle="1" w:styleId="THChar">
    <w:name w:val="TH Char"/>
    <w:link w:val="TH"/>
    <w:rsid w:val="00B24ADA"/>
    <w:rPr>
      <w:rFonts w:ascii="Arial" w:eastAsia="SimSun" w:hAnsi="Arial"/>
      <w:b/>
      <w:lang w:val="en-GB" w:eastAsia="zh-CN"/>
    </w:rPr>
  </w:style>
  <w:style w:type="character" w:customStyle="1" w:styleId="TAHCar">
    <w:name w:val="TAH Car"/>
    <w:link w:val="TAH"/>
    <w:rsid w:val="00B24ADA"/>
    <w:rPr>
      <w:rFonts w:ascii="Arial" w:eastAsia="SimSun" w:hAnsi="Arial"/>
      <w:b/>
      <w:sz w:val="18"/>
      <w:lang w:val="en-GB" w:eastAsia="zh-CN"/>
    </w:rPr>
  </w:style>
  <w:style w:type="character" w:customStyle="1" w:styleId="TANChar">
    <w:name w:val="TAN Char"/>
    <w:link w:val="TAN"/>
    <w:rsid w:val="00B24ADA"/>
    <w:rPr>
      <w:rFonts w:ascii="Arial" w:eastAsia="SimSun" w:hAnsi="Arial"/>
      <w:sz w:val="18"/>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4577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Documents\WORK\3GPP\RAN4\ETSI-skeleton\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ETSIW_80</Template>
  <TotalTime>255</TotalTime>
  <Pages>4</Pages>
  <Words>1253</Words>
  <Characters>7143</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8380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Magnus</dc:creator>
  <cp:keywords>XP</cp:keywords>
  <cp:lastModifiedBy>Magnus Larsson K</cp:lastModifiedBy>
  <cp:revision>55</cp:revision>
  <cp:lastPrinted>2017-06-19T13:30:00Z</cp:lastPrinted>
  <dcterms:created xsi:type="dcterms:W3CDTF">2017-05-04T21:39:00Z</dcterms:created>
  <dcterms:modified xsi:type="dcterms:W3CDTF">2017-06-19T14:14:00Z</dcterms:modified>
</cp:coreProperties>
</file>