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999930" w14:textId="333BCC40" w:rsidR="00EB382F" w:rsidRPr="0001112B" w:rsidRDefault="00EB382F" w:rsidP="006A3824">
      <w:pPr>
        <w:tabs>
          <w:tab w:val="right" w:pos="9356"/>
        </w:tabs>
        <w:rPr>
          <w:b/>
        </w:rPr>
      </w:pPr>
      <w:r w:rsidRPr="0001112B">
        <w:rPr>
          <w:b/>
        </w:rPr>
        <w:t>3GPP TSG RAN WG4</w:t>
      </w:r>
      <w:r w:rsidR="005016C4" w:rsidRPr="0001112B">
        <w:rPr>
          <w:b/>
        </w:rPr>
        <w:t xml:space="preserve"> Meeting </w:t>
      </w:r>
      <w:r w:rsidR="003B7E4D" w:rsidRPr="0001112B">
        <w:rPr>
          <w:b/>
        </w:rPr>
        <w:t>NR#2</w:t>
      </w:r>
      <w:r w:rsidRPr="0001112B">
        <w:rPr>
          <w:b/>
        </w:rPr>
        <w:tab/>
      </w:r>
      <w:r w:rsidR="0001112B" w:rsidRPr="0001112B">
        <w:rPr>
          <w:b/>
        </w:rPr>
        <w:t>R4-1706617</w:t>
      </w:r>
      <w:r w:rsidRPr="0001112B">
        <w:rPr>
          <w:b/>
        </w:rPr>
        <w:br/>
      </w:r>
      <w:r w:rsidR="003B7E4D" w:rsidRPr="0001112B">
        <w:rPr>
          <w:b/>
        </w:rPr>
        <w:t>27</w:t>
      </w:r>
      <w:r w:rsidRPr="0001112B">
        <w:rPr>
          <w:b/>
        </w:rPr>
        <w:t xml:space="preserve"> - </w:t>
      </w:r>
      <w:r w:rsidR="003B7E4D" w:rsidRPr="0001112B">
        <w:rPr>
          <w:b/>
        </w:rPr>
        <w:t>2</w:t>
      </w:r>
      <w:r w:rsidRPr="0001112B">
        <w:rPr>
          <w:b/>
        </w:rPr>
        <w:t xml:space="preserve">9 </w:t>
      </w:r>
      <w:r w:rsidR="003B7E4D" w:rsidRPr="0001112B">
        <w:rPr>
          <w:b/>
        </w:rPr>
        <w:t>June</w:t>
      </w:r>
      <w:r w:rsidRPr="0001112B">
        <w:rPr>
          <w:b/>
        </w:rPr>
        <w:t xml:space="preserve"> 2017, </w:t>
      </w:r>
      <w:r w:rsidR="003B7E4D" w:rsidRPr="0001112B">
        <w:rPr>
          <w:b/>
        </w:rPr>
        <w:t>Qingdao</w:t>
      </w:r>
      <w:r w:rsidRPr="0001112B">
        <w:rPr>
          <w:b/>
        </w:rPr>
        <w:t>, China</w:t>
      </w:r>
    </w:p>
    <w:p w14:paraId="6B96976F" w14:textId="01C8084A" w:rsidR="00EB382F" w:rsidRPr="000D1568" w:rsidRDefault="00EB382F" w:rsidP="00D23B1E">
      <w:pPr>
        <w:rPr>
          <w:bCs/>
        </w:rPr>
      </w:pPr>
      <w:r w:rsidRPr="000D1568">
        <w:rPr>
          <w:b/>
        </w:rPr>
        <w:t>Source:</w:t>
      </w:r>
      <w:r w:rsidRPr="000D1568">
        <w:rPr>
          <w:b/>
        </w:rPr>
        <w:tab/>
      </w:r>
      <w:r w:rsidRPr="000D1568">
        <w:rPr>
          <w:b/>
        </w:rPr>
        <w:tab/>
      </w:r>
      <w:r w:rsidR="00980DEA" w:rsidRPr="000D1568">
        <w:t>Fraunhofer-HHI</w:t>
      </w:r>
      <w:r w:rsidR="00C42C56" w:rsidRPr="000D1568">
        <w:t>, Germany</w:t>
      </w:r>
      <w:r w:rsidR="00D53922">
        <w:t>, Keysight Technologies</w:t>
      </w:r>
    </w:p>
    <w:p w14:paraId="0B3C64BB" w14:textId="1F58D291" w:rsidR="00EB382F" w:rsidRPr="000D1568" w:rsidRDefault="00EB382F" w:rsidP="00D23B1E">
      <w:pPr>
        <w:rPr>
          <w:b/>
        </w:rPr>
      </w:pPr>
      <w:r w:rsidRPr="000D1568">
        <w:rPr>
          <w:b/>
        </w:rPr>
        <w:t>Title:</w:t>
      </w:r>
      <w:r w:rsidRPr="000D1568">
        <w:rPr>
          <w:b/>
        </w:rPr>
        <w:tab/>
      </w:r>
      <w:r w:rsidR="006A3824" w:rsidRPr="000D1568">
        <w:rPr>
          <w:b/>
        </w:rPr>
        <w:tab/>
      </w:r>
      <w:r w:rsidR="006A3824" w:rsidRPr="000D1568">
        <w:rPr>
          <w:b/>
        </w:rPr>
        <w:tab/>
      </w:r>
      <w:r w:rsidR="00056882" w:rsidRPr="000D1568">
        <w:t xml:space="preserve">Center of </w:t>
      </w:r>
      <w:r w:rsidR="009A09C8">
        <w:t>Radiation</w:t>
      </w:r>
      <w:r w:rsidR="00056882" w:rsidRPr="000D1568">
        <w:t xml:space="preserve"> </w:t>
      </w:r>
      <w:r w:rsidR="00056882" w:rsidRPr="000D1568">
        <w:rPr>
          <w:bCs/>
          <w:color w:val="000000" w:themeColor="text1"/>
        </w:rPr>
        <w:t xml:space="preserve">Reference </w:t>
      </w:r>
      <w:r w:rsidR="00C93197" w:rsidRPr="000D1568">
        <w:rPr>
          <w:bCs/>
          <w:color w:val="000000" w:themeColor="text1"/>
        </w:rPr>
        <w:t xml:space="preserve">Point – Reference </w:t>
      </w:r>
      <w:r w:rsidR="00056882" w:rsidRPr="000D1568">
        <w:rPr>
          <w:bCs/>
          <w:color w:val="000000" w:themeColor="text1"/>
        </w:rPr>
        <w:t>Definition for OTA Measurements of Phased Array Beamforming Patterns</w:t>
      </w:r>
    </w:p>
    <w:p w14:paraId="26F10086" w14:textId="2D92C7AA" w:rsidR="00EB382F" w:rsidRPr="000D1568" w:rsidRDefault="00EB382F" w:rsidP="00D23B1E">
      <w:pPr>
        <w:rPr>
          <w:bCs/>
          <w:lang w:eastAsia="ja-JP"/>
        </w:rPr>
      </w:pPr>
      <w:r w:rsidRPr="0001112B">
        <w:rPr>
          <w:b/>
        </w:rPr>
        <w:t>Agenda Item:</w:t>
      </w:r>
      <w:r w:rsidRPr="000D1568">
        <w:tab/>
      </w:r>
      <w:r w:rsidRPr="000D1568">
        <w:tab/>
      </w:r>
      <w:r w:rsidR="005016C4" w:rsidRPr="000D1568">
        <w:t>3.6.1</w:t>
      </w:r>
    </w:p>
    <w:p w14:paraId="06ADDD10" w14:textId="5AA72DDB" w:rsidR="00EB382F" w:rsidRPr="000D1568" w:rsidRDefault="00EB382F" w:rsidP="00D23B1E">
      <w:pPr>
        <w:rPr>
          <w:sz w:val="18"/>
          <w:szCs w:val="18"/>
        </w:rPr>
      </w:pPr>
      <w:r w:rsidRPr="0001112B">
        <w:rPr>
          <w:b/>
        </w:rPr>
        <w:t>Document for:</w:t>
      </w:r>
      <w:r w:rsidR="006A3824" w:rsidRPr="000D1568">
        <w:tab/>
      </w:r>
      <w:r w:rsidRPr="000D1568">
        <w:t>Discussion</w:t>
      </w:r>
    </w:p>
    <w:p w14:paraId="5706741F" w14:textId="77247483" w:rsidR="00EB382F" w:rsidRPr="000D1568" w:rsidRDefault="00EB382F" w:rsidP="00EB382F">
      <w:pPr>
        <w:pStyle w:val="Heading1"/>
        <w:rPr>
          <w:rFonts w:cs="Arial"/>
          <w:lang w:val="en-US"/>
        </w:rPr>
      </w:pPr>
      <w:r w:rsidRPr="000D1568">
        <w:rPr>
          <w:rFonts w:cs="Arial"/>
          <w:lang w:val="en-US"/>
        </w:rPr>
        <w:t>Introduction</w:t>
      </w:r>
    </w:p>
    <w:p w14:paraId="779F8E11" w14:textId="73028711" w:rsidR="00947456" w:rsidRPr="000D1568" w:rsidRDefault="00940E5A" w:rsidP="00D23B1E">
      <w:r w:rsidRPr="000D1568">
        <w:t xml:space="preserve">For frequencies above 6 GHz, the baseline for </w:t>
      </w:r>
      <w:r w:rsidR="00ED13F0" w:rsidRPr="000D1568">
        <w:t>New Radio (</w:t>
      </w:r>
      <w:r w:rsidRPr="000D1568">
        <w:t>NR</w:t>
      </w:r>
      <w:r w:rsidR="00ED13F0" w:rsidRPr="000D1568">
        <w:t>)</w:t>
      </w:r>
      <w:r w:rsidRPr="000D1568">
        <w:t xml:space="preserve"> </w:t>
      </w:r>
      <w:r w:rsidR="00ED13F0" w:rsidRPr="000D1568">
        <w:t>user equipment (</w:t>
      </w:r>
      <w:r w:rsidRPr="000D1568">
        <w:t>UE</w:t>
      </w:r>
      <w:r w:rsidR="00ED13F0" w:rsidRPr="000D1568">
        <w:t>)</w:t>
      </w:r>
      <w:r w:rsidRPr="000D1568">
        <w:t xml:space="preserve"> </w:t>
      </w:r>
      <w:r w:rsidR="00ED13F0" w:rsidRPr="000D1568">
        <w:t>radio frequency (</w:t>
      </w:r>
      <w:r w:rsidRPr="000D1568">
        <w:t>RF</w:t>
      </w:r>
      <w:r w:rsidR="00ED13F0" w:rsidRPr="000D1568">
        <w:t>)</w:t>
      </w:r>
      <w:r w:rsidRPr="000D1568">
        <w:t xml:space="preserve"> </w:t>
      </w:r>
      <w:r w:rsidR="00C30CEB" w:rsidRPr="000D1568">
        <w:t xml:space="preserve">testing </w:t>
      </w:r>
      <w:r w:rsidRPr="000D1568">
        <w:t>requirements is</w:t>
      </w:r>
      <w:r w:rsidR="00E17666" w:rsidRPr="000D1568">
        <w:t xml:space="preserve"> </w:t>
      </w:r>
      <w:r w:rsidRPr="000D1568">
        <w:t>over-the-air (OTA)</w:t>
      </w:r>
      <w:r w:rsidR="00E17666" w:rsidRPr="000D1568">
        <w:t xml:space="preserve"> </w:t>
      </w:r>
      <w:r w:rsidR="00AC6A12" w:rsidRPr="000D1568">
        <w:fldChar w:fldCharType="begin"/>
      </w:r>
      <w:r w:rsidR="00AC6A12" w:rsidRPr="000D1568">
        <w:instrText xml:space="preserve"> REF TR_38_803 \r \h </w:instrText>
      </w:r>
      <w:r w:rsidR="00AC6A12" w:rsidRPr="000D1568">
        <w:fldChar w:fldCharType="separate"/>
      </w:r>
      <w:r w:rsidR="00AC6A12" w:rsidRPr="000D1568">
        <w:t>[1]</w:t>
      </w:r>
      <w:r w:rsidR="00AC6A12" w:rsidRPr="000D1568">
        <w:fldChar w:fldCharType="end"/>
      </w:r>
      <w:r w:rsidRPr="000D1568">
        <w:t xml:space="preserve">. </w:t>
      </w:r>
      <w:r w:rsidR="00C30CEB" w:rsidRPr="000D1568">
        <w:t>R</w:t>
      </w:r>
      <w:r w:rsidR="007266D6" w:rsidRPr="000D1568">
        <w:t xml:space="preserve">adio and antenna performance </w:t>
      </w:r>
      <w:r w:rsidR="00C30CEB" w:rsidRPr="000D1568">
        <w:t>measurement</w:t>
      </w:r>
      <w:r w:rsidR="00C375F4" w:rsidRPr="000D1568">
        <w:t>s</w:t>
      </w:r>
      <w:r w:rsidR="00C30CEB" w:rsidRPr="000D1568">
        <w:t xml:space="preserve"> </w:t>
      </w:r>
      <w:r w:rsidR="003757AB" w:rsidRPr="000D1568">
        <w:t>are</w:t>
      </w:r>
      <w:r w:rsidR="00ED13F0" w:rsidRPr="000D1568">
        <w:t xml:space="preserve"> therefore inseparable since</w:t>
      </w:r>
      <w:r w:rsidR="00DD3341" w:rsidRPr="000D1568">
        <w:t>,</w:t>
      </w:r>
      <w:r w:rsidR="00ED13F0" w:rsidRPr="000D1568">
        <w:t xml:space="preserve"> </w:t>
      </w:r>
      <w:r w:rsidR="003B7E4D" w:rsidRPr="000D1568">
        <w:t>in many cases</w:t>
      </w:r>
      <w:r w:rsidR="00DD3341" w:rsidRPr="000D1568">
        <w:t>,</w:t>
      </w:r>
      <w:r w:rsidR="003B7E4D" w:rsidRPr="000D1568">
        <w:t xml:space="preserve"> </w:t>
      </w:r>
      <w:r w:rsidR="00ED13F0" w:rsidRPr="000D1568">
        <w:t xml:space="preserve">the </w:t>
      </w:r>
      <w:r w:rsidR="003B7E4D" w:rsidRPr="000D1568">
        <w:t xml:space="preserve">antenna ports of individual </w:t>
      </w:r>
      <w:r w:rsidR="00ED13F0" w:rsidRPr="000D1568">
        <w:t>antenna elements are either in</w:t>
      </w:r>
      <w:r w:rsidR="003B7E4D" w:rsidRPr="000D1568">
        <w:t xml:space="preserve">accessible for measurement or a measurement of their isolated RF performance </w:t>
      </w:r>
      <w:r w:rsidR="00E17666" w:rsidRPr="000D1568">
        <w:t xml:space="preserve">provides marginal </w:t>
      </w:r>
      <w:r w:rsidR="003B7E4D" w:rsidRPr="000D1568">
        <w:t>value</w:t>
      </w:r>
      <w:r w:rsidR="00ED13F0" w:rsidRPr="000D1568">
        <w:t>.</w:t>
      </w:r>
    </w:p>
    <w:p w14:paraId="59C58D4B" w14:textId="207960D2" w:rsidR="00947456" w:rsidRPr="000D1568" w:rsidRDefault="00E17666" w:rsidP="00D23B1E">
      <w:r w:rsidRPr="000D1568">
        <w:t>In contrast, t</w:t>
      </w:r>
      <w:r w:rsidR="00ED13F0" w:rsidRPr="000D1568">
        <w:t xml:space="preserve">he characterization of </w:t>
      </w:r>
      <w:r w:rsidR="003B7E4D" w:rsidRPr="000D1568">
        <w:t xml:space="preserve">the joint performance of </w:t>
      </w:r>
      <w:r w:rsidR="00ED13F0" w:rsidRPr="000D1568">
        <w:t xml:space="preserve">multiple antenna </w:t>
      </w:r>
      <w:r w:rsidR="003B7E4D" w:rsidRPr="000D1568">
        <w:t>elements</w:t>
      </w:r>
      <w:r w:rsidR="00ED13F0" w:rsidRPr="000D1568">
        <w:t xml:space="preserve"> and</w:t>
      </w:r>
      <w:r w:rsidR="00680C70" w:rsidRPr="000D1568">
        <w:t xml:space="preserve"> their associated</w:t>
      </w:r>
      <w:r w:rsidR="00ED13F0" w:rsidRPr="000D1568">
        <w:t xml:space="preserve"> </w:t>
      </w:r>
      <w:r w:rsidR="00680C70" w:rsidRPr="000D1568">
        <w:t>transceiver</w:t>
      </w:r>
      <w:r w:rsidR="00ED13F0" w:rsidRPr="000D1568">
        <w:t xml:space="preserve"> chains is of much more interest</w:t>
      </w:r>
      <w:r w:rsidR="003B7E4D" w:rsidRPr="000D1568">
        <w:t xml:space="preserve">. </w:t>
      </w:r>
      <w:r w:rsidRPr="000D1568">
        <w:t xml:space="preserve">This is especially true for systems comprised of a large number of antenna elements such as those that form the basis of beam-forming and massive </w:t>
      </w:r>
      <w:r w:rsidR="008F79E1" w:rsidRPr="000D1568">
        <w:t xml:space="preserve">multiple input and multiple output </w:t>
      </w:r>
      <w:r w:rsidR="008F79E1">
        <w:t>(</w:t>
      </w:r>
      <w:r w:rsidRPr="000D1568">
        <w:t>MIMO</w:t>
      </w:r>
      <w:r w:rsidR="008F79E1">
        <w:t>)</w:t>
      </w:r>
      <w:r w:rsidRPr="000D1568">
        <w:t xml:space="preserve"> equipment. </w:t>
      </w:r>
      <w:r w:rsidR="003B7E4D" w:rsidRPr="000D1568">
        <w:t xml:space="preserve">OTA </w:t>
      </w:r>
      <w:r w:rsidRPr="000D1568">
        <w:t>test and measurement (</w:t>
      </w:r>
      <w:r w:rsidR="00ED13F0" w:rsidRPr="000D1568">
        <w:t>T&amp;M</w:t>
      </w:r>
      <w:r w:rsidRPr="000D1568">
        <w:t>)</w:t>
      </w:r>
      <w:r w:rsidR="003B7E4D" w:rsidRPr="000D1568">
        <w:t xml:space="preserve"> </w:t>
      </w:r>
      <w:r w:rsidR="00ED13F0" w:rsidRPr="000D1568">
        <w:t xml:space="preserve">thus </w:t>
      </w:r>
      <w:r w:rsidR="003B7E4D" w:rsidRPr="000D1568">
        <w:t>become</w:t>
      </w:r>
      <w:r w:rsidR="00ED13F0" w:rsidRPr="000D1568">
        <w:t>s</w:t>
      </w:r>
      <w:r w:rsidR="003B7E4D" w:rsidRPr="000D1568">
        <w:t xml:space="preserve"> an important aspect for </w:t>
      </w:r>
      <w:r w:rsidR="00C30CEB" w:rsidRPr="000D1568">
        <w:t xml:space="preserve">the </w:t>
      </w:r>
      <w:r w:rsidR="003B7E4D" w:rsidRPr="000D1568">
        <w:t xml:space="preserve">performance and compliance evaluation of </w:t>
      </w:r>
      <w:r w:rsidRPr="000D1568">
        <w:t xml:space="preserve">such </w:t>
      </w:r>
      <w:r w:rsidR="003B7E4D" w:rsidRPr="000D1568">
        <w:t xml:space="preserve">wireless devices, especially </w:t>
      </w:r>
      <w:r w:rsidR="00C30CEB" w:rsidRPr="000D1568">
        <w:t xml:space="preserve">those used </w:t>
      </w:r>
      <w:r w:rsidR="003B7E4D" w:rsidRPr="000D1568">
        <w:t>for 4G, 5G and other current and future</w:t>
      </w:r>
      <w:r w:rsidR="00B44C17" w:rsidRPr="000D1568">
        <w:t xml:space="preserve"> wireless communication systems. This is true for user equipment </w:t>
      </w:r>
      <w:r w:rsidR="00AC6A12" w:rsidRPr="000D1568">
        <w:fldChar w:fldCharType="begin"/>
      </w:r>
      <w:r w:rsidR="00AC6A12" w:rsidRPr="000D1568">
        <w:instrText xml:space="preserve"> REF TR_38_803 \r \h </w:instrText>
      </w:r>
      <w:r w:rsidR="00AC6A12" w:rsidRPr="000D1568">
        <w:fldChar w:fldCharType="separate"/>
      </w:r>
      <w:r w:rsidR="00AC6A12" w:rsidRPr="000D1568">
        <w:t>[1]</w:t>
      </w:r>
      <w:r w:rsidR="00AC6A12" w:rsidRPr="000D1568">
        <w:fldChar w:fldCharType="end"/>
      </w:r>
      <w:r w:rsidR="00B44C17" w:rsidRPr="000D1568">
        <w:t xml:space="preserve"> and base station </w:t>
      </w:r>
      <w:r w:rsidR="00886661" w:rsidRPr="000D1568">
        <w:t xml:space="preserve">(BS) </w:t>
      </w:r>
      <w:r w:rsidR="00B44C17" w:rsidRPr="000D1568">
        <w:t xml:space="preserve">equipment </w:t>
      </w:r>
      <w:r w:rsidR="00AC6A12" w:rsidRPr="000D1568">
        <w:fldChar w:fldCharType="begin"/>
      </w:r>
      <w:r w:rsidR="00AC6A12" w:rsidRPr="000D1568">
        <w:instrText xml:space="preserve"> REF TR_37_842 \r \h </w:instrText>
      </w:r>
      <w:r w:rsidR="00AC6A12" w:rsidRPr="000D1568">
        <w:fldChar w:fldCharType="separate"/>
      </w:r>
      <w:r w:rsidR="00AC6A12" w:rsidRPr="000D1568">
        <w:t>[2]</w:t>
      </w:r>
      <w:r w:rsidR="00AC6A12" w:rsidRPr="000D1568">
        <w:fldChar w:fldCharType="end"/>
      </w:r>
      <w:r w:rsidR="00AC6A12" w:rsidRPr="000D1568">
        <w:t xml:space="preserve"> </w:t>
      </w:r>
      <w:r w:rsidR="00C30CEB" w:rsidRPr="000D1568">
        <w:t>alike</w:t>
      </w:r>
      <w:r w:rsidR="003757AB" w:rsidRPr="000D1568">
        <w:t>, both of which are considered in this document.</w:t>
      </w:r>
    </w:p>
    <w:p w14:paraId="3108B944" w14:textId="440D0E55" w:rsidR="00D23B1E" w:rsidRPr="000D1568" w:rsidRDefault="00E17666" w:rsidP="00D23B1E">
      <w:r w:rsidRPr="000D1568">
        <w:t>In order to perform test and measurement OTA</w:t>
      </w:r>
      <w:r w:rsidR="00947456" w:rsidRPr="000D1568">
        <w:t xml:space="preserve"> and achieve comparable results when measuring with different methods</w:t>
      </w:r>
      <w:r w:rsidR="00B90796">
        <w:t>,</w:t>
      </w:r>
      <w:r w:rsidR="00947456" w:rsidRPr="000D1568">
        <w:t xml:space="preserve"> </w:t>
      </w:r>
      <w:r w:rsidRPr="000D1568">
        <w:t xml:space="preserve">it is necessary for </w:t>
      </w:r>
      <w:r w:rsidR="00947456" w:rsidRPr="000D1568">
        <w:t xml:space="preserve">to provide sufficient </w:t>
      </w:r>
      <w:r w:rsidR="000C0271" w:rsidRPr="000D1568">
        <w:t>information</w:t>
      </w:r>
      <w:r w:rsidR="00947456" w:rsidRPr="000D1568">
        <w:t xml:space="preserve"> about </w:t>
      </w:r>
      <w:r w:rsidR="000C0271" w:rsidRPr="000D1568">
        <w:t>the origin of electromagnetic waves</w:t>
      </w:r>
      <w:r w:rsidR="00B90796">
        <w:t xml:space="preserve"> radiation</w:t>
      </w:r>
      <w:r w:rsidR="000C0271" w:rsidRPr="000D1568">
        <w:t xml:space="preserve">. This becomes especially important if measurement time have to be reduced to </w:t>
      </w:r>
      <w:r w:rsidR="004F19E3">
        <w:t>its practical</w:t>
      </w:r>
      <w:r w:rsidR="000C0271" w:rsidRPr="000D1568">
        <w:t xml:space="preserve"> minimum during OTA product testing</w:t>
      </w:r>
      <w:r w:rsidR="004F19E3">
        <w:t xml:space="preserve">, </w:t>
      </w:r>
      <w:r w:rsidR="004F19E3" w:rsidRPr="000D1568">
        <w:t>e.g.</w:t>
      </w:r>
      <w:r w:rsidR="000C0271" w:rsidRPr="000D1568">
        <w:t xml:space="preserve"> </w:t>
      </w:r>
      <w:r w:rsidR="004F19E3">
        <w:t>scanning</w:t>
      </w:r>
      <w:r w:rsidR="004F19E3" w:rsidRPr="000D1568">
        <w:t xml:space="preserve"> </w:t>
      </w:r>
      <w:r w:rsidR="004F19E3">
        <w:t xml:space="preserve">the </w:t>
      </w:r>
      <w:r w:rsidR="000C0271" w:rsidRPr="000D1568">
        <w:t xml:space="preserve">beam pattern. </w:t>
      </w:r>
    </w:p>
    <w:p w14:paraId="7DB2303D" w14:textId="36D07D09" w:rsidR="00947456" w:rsidRPr="000D1568" w:rsidRDefault="00947456" w:rsidP="00947456">
      <w:pPr>
        <w:spacing w:line="360" w:lineRule="auto"/>
      </w:pPr>
      <w:r w:rsidRPr="000D1568">
        <w:rPr>
          <w:b/>
        </w:rPr>
        <w:t>A</w:t>
      </w:r>
      <w:r w:rsidR="009A09C8">
        <w:rPr>
          <w:b/>
        </w:rPr>
        <w:t xml:space="preserve"> </w:t>
      </w:r>
      <w:r w:rsidRPr="000D1568">
        <w:rPr>
          <w:b/>
        </w:rPr>
        <w:t>center-</w:t>
      </w:r>
      <w:r w:rsidR="009A09C8">
        <w:rPr>
          <w:b/>
        </w:rPr>
        <w:t>of-</w:t>
      </w:r>
      <w:r w:rsidR="00692FCA">
        <w:rPr>
          <w:b/>
        </w:rPr>
        <w:t>r</w:t>
      </w:r>
      <w:r w:rsidRPr="000D1568">
        <w:rPr>
          <w:b/>
        </w:rPr>
        <w:t>adiation of an antenna or antenna array</w:t>
      </w:r>
      <w:r w:rsidR="000C0271" w:rsidRPr="000D1568">
        <w:t xml:space="preserve"> </w:t>
      </w:r>
      <w:r w:rsidRPr="000D1568">
        <w:t>is defined in IEEE Std 145-2013 “IEEE Standard for Definitions of Terms for Antennas</w:t>
      </w:r>
      <w:r w:rsidR="000C0271" w:rsidRPr="000D1568">
        <w:t xml:space="preserve">” </w:t>
      </w:r>
      <w:r w:rsidR="00830BC6" w:rsidRPr="000D1568">
        <w:t>[2</w:t>
      </w:r>
      <w:r w:rsidRPr="000D1568">
        <w:t>],</w:t>
      </w:r>
      <w:r w:rsidR="000C0271" w:rsidRPr="000D1568">
        <w:t xml:space="preserve"> </w:t>
      </w:r>
    </w:p>
    <w:p w14:paraId="20948B56" w14:textId="3BF09F95" w:rsidR="00947456" w:rsidRPr="000D1568" w:rsidRDefault="001F05BF" w:rsidP="001F05BF">
      <w:pPr>
        <w:spacing w:line="360" w:lineRule="auto"/>
      </w:pPr>
      <w:r w:rsidRPr="000D1568">
        <w:t>For</w:t>
      </w:r>
      <w:r w:rsidR="000C0271" w:rsidRPr="000D1568">
        <w:t xml:space="preserve"> OTA measurements with simplified cuts across symmetr</w:t>
      </w:r>
      <w:r w:rsidR="009A09C8">
        <w:t xml:space="preserve">y cross sections the precise </w:t>
      </w:r>
      <w:r w:rsidR="000C0271" w:rsidRPr="000D1568">
        <w:t>center</w:t>
      </w:r>
      <w:r w:rsidR="009A09C8">
        <w:t>-of</w:t>
      </w:r>
      <w:r w:rsidR="004F19E3">
        <w:t xml:space="preserve"> </w:t>
      </w:r>
      <w:r w:rsidR="000C0271" w:rsidRPr="000D1568">
        <w:t>radiation has to be known and we propose to investigate</w:t>
      </w:r>
      <w:r w:rsidRPr="000D1568">
        <w:t xml:space="preserve"> and define</w:t>
      </w:r>
      <w:r w:rsidR="000C0271" w:rsidRPr="000D1568">
        <w:t xml:space="preserve"> methods for implicit or explicit description of such Center-of-Radiation from features specific to the </w:t>
      </w:r>
      <w:r w:rsidR="004F19E3" w:rsidRPr="000D1568">
        <w:t xml:space="preserve">device under test </w:t>
      </w:r>
      <w:r w:rsidR="004F19E3">
        <w:t>(</w:t>
      </w:r>
      <w:r w:rsidR="00692FCA">
        <w:t>DU</w:t>
      </w:r>
      <w:r w:rsidR="000C0271" w:rsidRPr="000D1568">
        <w:t>T</w:t>
      </w:r>
      <w:r w:rsidR="004F19E3">
        <w:t>).</w:t>
      </w:r>
    </w:p>
    <w:p w14:paraId="1207874F" w14:textId="77777777" w:rsidR="00EB382F" w:rsidRPr="000D1568" w:rsidRDefault="00EB382F" w:rsidP="00EB382F">
      <w:pPr>
        <w:pStyle w:val="Heading1"/>
        <w:rPr>
          <w:rFonts w:cs="Arial"/>
          <w:lang w:val="en-US"/>
        </w:rPr>
      </w:pPr>
      <w:r w:rsidRPr="000D1568">
        <w:rPr>
          <w:rFonts w:cs="Arial"/>
          <w:lang w:val="en-US"/>
        </w:rPr>
        <w:lastRenderedPageBreak/>
        <w:t>Rationale</w:t>
      </w:r>
    </w:p>
    <w:p w14:paraId="2ED3D5A3" w14:textId="3B087EED" w:rsidR="001F05BF" w:rsidRPr="000D1568" w:rsidRDefault="001F05BF" w:rsidP="001F05BF">
      <w:pPr>
        <w:spacing w:line="360" w:lineRule="auto"/>
      </w:pPr>
      <w:r w:rsidRPr="000D1568">
        <w:t xml:space="preserve">In Over-the-Air (OTA) measurements, e.g., for beam (radiated beam pattern) characterization, probes are distributed around the </w:t>
      </w:r>
      <w:r w:rsidR="004F19E3" w:rsidRPr="000D1568">
        <w:t>D</w:t>
      </w:r>
      <w:r w:rsidR="00692FCA">
        <w:t>U</w:t>
      </w:r>
      <w:r w:rsidR="004F19E3" w:rsidRPr="000D1568">
        <w:t>T</w:t>
      </w:r>
      <w:r w:rsidRPr="000D1568">
        <w:t xml:space="preserve">. </w:t>
      </w:r>
      <w:r w:rsidR="004F19E3">
        <w:t>Utilizing</w:t>
      </w:r>
      <w:r w:rsidR="004F19E3" w:rsidRPr="000D1568">
        <w:t xml:space="preserve"> </w:t>
      </w:r>
      <w:r w:rsidRPr="000D1568">
        <w:t xml:space="preserve">knowledge about the position of the emitting </w:t>
      </w:r>
      <w:r w:rsidR="004F19E3" w:rsidRPr="000D1568">
        <w:t>D</w:t>
      </w:r>
      <w:r w:rsidR="00692FCA">
        <w:t>U</w:t>
      </w:r>
      <w:r w:rsidR="004F19E3" w:rsidRPr="000D1568">
        <w:t xml:space="preserve">T </w:t>
      </w:r>
      <w:r w:rsidRPr="000D1568">
        <w:t xml:space="preserve">and the measurement probes around and about all distances </w:t>
      </w:r>
      <w:r w:rsidR="004F19E3">
        <w:t>among</w:t>
      </w:r>
      <w:r w:rsidR="004F19E3" w:rsidRPr="000D1568">
        <w:t xml:space="preserve"> </w:t>
      </w:r>
      <w:r w:rsidRPr="000D1568">
        <w:t xml:space="preserve">them, the emitted beam pattern may be measured, e.g., by rotation of the </w:t>
      </w:r>
      <w:r w:rsidR="004F19E3" w:rsidRPr="000D1568">
        <w:t>D</w:t>
      </w:r>
      <w:r w:rsidR="00692FCA">
        <w:t>U</w:t>
      </w:r>
      <w:r w:rsidR="004F19E3" w:rsidRPr="000D1568">
        <w:t xml:space="preserve">T </w:t>
      </w:r>
      <w:r w:rsidRPr="000D1568">
        <w:t xml:space="preserve">and by measuring many sample points in a coordinated manner. Such a mechanism is known for antenna pattern characterization [3] using antenna measurements, i.e., antenna radiation pattern measurements that are measured OTA. It is expected for future communication systems that the antenna connector (in current 3GPP standards e.g. Release 8-14, so called conducted measurements are standardized for antenna port measurements) as it is known will become a thing of the past. Therefore, it is expected that the OTA measurement of radio performance parameters and antenna performance parameters will become mandatory in future. This means, many of the antenna measurements can only be done in such way, i.e., OTA, since no access to the antenna port is available and/or the antenna array consists of many individual elements which work in a joint manner. Furthermore, such antennas might be embedded inside the housing of devices like, e.g., smartphones, and therefore, their radiation has to be measured although the antennas are inside the device. The exact location of the antenna(s) is(are) </w:t>
      </w:r>
      <w:r w:rsidR="00996EFC">
        <w:t xml:space="preserve">generally </w:t>
      </w:r>
      <w:r w:rsidRPr="000D1568">
        <w:t xml:space="preserve">unknown as they are hidden inside the device </w:t>
      </w:r>
      <w:r w:rsidR="00996EFC">
        <w:t>enclosure</w:t>
      </w:r>
      <w:r w:rsidRPr="000D1568">
        <w:t xml:space="preserve">. Hence, this would make the measurement inaccurate as long as the measured radiation pattern cannot be referenced to the exact location of the antennas [4, 5, 6]. Furthermore, miniature antenna sizes compared to the device </w:t>
      </w:r>
      <w:r w:rsidR="00996EFC">
        <w:t>enclosure</w:t>
      </w:r>
      <w:r w:rsidRPr="000D1568">
        <w:t xml:space="preserve"> may cause even </w:t>
      </w:r>
      <w:r w:rsidR="00692FCA">
        <w:t xml:space="preserve">more </w:t>
      </w:r>
      <w:r w:rsidR="0035288B">
        <w:t>severe</w:t>
      </w:r>
      <w:r w:rsidR="0035288B" w:rsidRPr="000D1568">
        <w:t xml:space="preserve"> </w:t>
      </w:r>
      <w:r w:rsidRPr="000D1568">
        <w:t>inaccuracy.</w:t>
      </w:r>
    </w:p>
    <w:p w14:paraId="118C2BB9" w14:textId="7F048871" w:rsidR="001F05BF" w:rsidRPr="000D1568" w:rsidRDefault="001F05BF" w:rsidP="001F05BF">
      <w:pPr>
        <w:spacing w:line="360" w:lineRule="auto"/>
      </w:pPr>
      <w:r w:rsidRPr="000D1568">
        <w:t xml:space="preserve">In addition, the carrier frequencies used for radio transmission define the distance between the </w:t>
      </w:r>
      <w:r w:rsidR="000C410A">
        <w:t>DU</w:t>
      </w:r>
      <w:r w:rsidRPr="000D1568">
        <w:t xml:space="preserve">T and the </w:t>
      </w:r>
      <w:r w:rsidR="000C410A">
        <w:t>sensor/</w:t>
      </w:r>
      <w:r w:rsidRPr="000D1568">
        <w:t>probe when the radio wave propagation can be assumed far-field</w:t>
      </w:r>
      <w:r w:rsidR="0035288B">
        <w:t>,</w:t>
      </w:r>
      <w:r w:rsidRPr="000D1568">
        <w:t xml:space="preserve"> which is often used for measurements. In order to </w:t>
      </w:r>
      <w:r w:rsidR="0035288B">
        <w:t>shrink</w:t>
      </w:r>
      <w:r w:rsidR="0035288B" w:rsidRPr="000D1568">
        <w:t xml:space="preserve"> </w:t>
      </w:r>
      <w:r w:rsidRPr="000D1568">
        <w:t>the size of the measurement chamber/</w:t>
      </w:r>
      <w:r w:rsidR="000C410A">
        <w:t>system</w:t>
      </w:r>
      <w:r w:rsidRPr="000D1568">
        <w:t>, measurements can also be performed in the so called near</w:t>
      </w:r>
      <w:r w:rsidR="0035288B">
        <w:t>-</w:t>
      </w:r>
      <w:r w:rsidRPr="000D1568">
        <w:t>field and such sample points have to be transformed into a far</w:t>
      </w:r>
      <w:r w:rsidR="0035288B">
        <w:t>-</w:t>
      </w:r>
      <w:r w:rsidRPr="000D1568">
        <w:t>field equivalent. In order to do so, it is of utmost importance that the origin of the emitted beam is known exactly, otherwise the measurement would conclude a misalignment of the beam result in many preventable errors [5]. Furthermore, when measuring in near field, the far</w:t>
      </w:r>
      <w:r w:rsidR="00A052BE">
        <w:t>-</w:t>
      </w:r>
      <w:r w:rsidRPr="000D1568">
        <w:t xml:space="preserve">field pattern is derived by a </w:t>
      </w:r>
      <w:r w:rsidR="00A052BE" w:rsidRPr="000D1568">
        <w:t>near</w:t>
      </w:r>
      <w:r w:rsidR="00A052BE">
        <w:t>-</w:t>
      </w:r>
      <w:r w:rsidRPr="000D1568">
        <w:t xml:space="preserve">field to </w:t>
      </w:r>
      <w:r w:rsidR="00A052BE" w:rsidRPr="000D1568">
        <w:t>far</w:t>
      </w:r>
      <w:r w:rsidR="00A052BE">
        <w:t>-</w:t>
      </w:r>
      <w:r w:rsidRPr="000D1568">
        <w:t>field transformation, in which the exact distance from the radiation origin and the measurement probes is vital for accurate transformation.</w:t>
      </w:r>
    </w:p>
    <w:p w14:paraId="4F0FFCBD" w14:textId="6A4F235E" w:rsidR="001F05BF" w:rsidRPr="000D1568" w:rsidRDefault="001F05BF" w:rsidP="001F05BF">
      <w:pPr>
        <w:spacing w:line="360" w:lineRule="auto"/>
      </w:pPr>
      <w:r w:rsidRPr="000D1568">
        <w:t xml:space="preserve">So far, antennas and antenna arrays are individually </w:t>
      </w:r>
      <w:r w:rsidR="00A052BE">
        <w:t>placed</w:t>
      </w:r>
      <w:r w:rsidR="00A052BE" w:rsidRPr="000D1568">
        <w:t xml:space="preserve"> </w:t>
      </w:r>
      <w:r w:rsidRPr="000D1568">
        <w:t>on a positioner which can move and/or tilt and/or rotate them in a referenced center point of a measurement chamber or a measurement system which is not in a chamber. This requires exact knowledge where the radio wave</w:t>
      </w:r>
      <w:r w:rsidR="008F79E1">
        <w:t>s</w:t>
      </w:r>
      <w:r w:rsidRPr="000D1568">
        <w:t xml:space="preserve"> </w:t>
      </w:r>
      <w:r w:rsidR="008F79E1">
        <w:t>are</w:t>
      </w:r>
      <w:r w:rsidR="008F79E1" w:rsidRPr="000D1568">
        <w:t xml:space="preserve"> </w:t>
      </w:r>
      <w:r w:rsidRPr="000D1568">
        <w:t xml:space="preserve">actually transmitted from. Orientation and rough positioning of the </w:t>
      </w:r>
      <w:r w:rsidR="008F79E1" w:rsidRPr="000D1568">
        <w:t>D</w:t>
      </w:r>
      <w:r w:rsidR="00934FDA">
        <w:t>U</w:t>
      </w:r>
      <w:r w:rsidR="008F79E1" w:rsidRPr="000D1568">
        <w:t xml:space="preserve">T </w:t>
      </w:r>
      <w:r w:rsidRPr="000D1568">
        <w:t>in order to measure broad side or bore side of one or more antenna elements may also be performed. In 3GPP TS 37.145-2 [7]</w:t>
      </w:r>
      <w:r w:rsidR="008F79E1">
        <w:t>,</w:t>
      </w:r>
      <w:r w:rsidRPr="000D1568">
        <w:t xml:space="preserve"> there is defined a manufacture’s declaration (MD) including an origin of coordinate system and an associated coordinate system for correctly positioning an active antenna system (AAS) on the carrier in the chamber for a corr</w:t>
      </w:r>
      <w:r w:rsidR="00D53922">
        <w:t>ect alignment. In 3GPP TR 37.977</w:t>
      </w:r>
      <w:r w:rsidRPr="000D1568">
        <w:t xml:space="preserve"> [8], which addresses the radiated performance measurement of MIMO devices, and 3GPP TR 37.842 [9]</w:t>
      </w:r>
      <w:r w:rsidR="008F79E1">
        <w:t>,</w:t>
      </w:r>
      <w:r w:rsidRPr="000D1568">
        <w:t xml:space="preserve"> which describes OTA testing of AAS, further examples of over-the-testing are given</w:t>
      </w:r>
      <w:r w:rsidR="00136CA1">
        <w:t xml:space="preserve"> in the document</w:t>
      </w:r>
      <w:r w:rsidRPr="000D1568">
        <w:t>.</w:t>
      </w:r>
    </w:p>
    <w:p w14:paraId="4C75322C" w14:textId="7B531546" w:rsidR="001F05BF" w:rsidRPr="000D1568" w:rsidRDefault="001F05BF" w:rsidP="001F05BF">
      <w:pPr>
        <w:spacing w:line="360" w:lineRule="auto"/>
      </w:pPr>
      <w:r w:rsidRPr="000D1568">
        <w:t xml:space="preserve">Thus, there is a need for investigating and defining methods to enable an OTA measurement </w:t>
      </w:r>
      <w:r w:rsidR="00B46A2A" w:rsidRPr="000D1568">
        <w:t>setup with a reference</w:t>
      </w:r>
      <w:r w:rsidR="00136CA1">
        <w:t xml:space="preserve"> about the center-of-r</w:t>
      </w:r>
      <w:r w:rsidR="00B46A2A" w:rsidRPr="000D1568">
        <w:t xml:space="preserve">adiation of the antennas and antenna arrays built in the </w:t>
      </w:r>
      <w:r w:rsidR="00934FDA">
        <w:t>DU</w:t>
      </w:r>
      <w:r w:rsidR="008F79E1" w:rsidRPr="000D1568">
        <w:t>T</w:t>
      </w:r>
      <w:r w:rsidR="00B46A2A" w:rsidRPr="000D1568">
        <w:t xml:space="preserve">. Ideally, such </w:t>
      </w:r>
      <w:r w:rsidR="00B46A2A" w:rsidRPr="000D1568">
        <w:rPr>
          <w:i/>
        </w:rPr>
        <w:t>Center-of-Radiation-Reference-Point</w:t>
      </w:r>
      <w:r w:rsidR="00B46A2A" w:rsidRPr="000D1568">
        <w:t xml:space="preserve"> </w:t>
      </w:r>
      <w:r w:rsidR="00136CA1">
        <w:t xml:space="preserve">(CORRP) </w:t>
      </w:r>
      <w:r w:rsidR="00B46A2A" w:rsidRPr="000D1568">
        <w:t>could be related to external markers defined in the manufacturers declaration [7]</w:t>
      </w:r>
      <w:r w:rsidR="008F79E1">
        <w:t>.</w:t>
      </w:r>
    </w:p>
    <w:p w14:paraId="144DBC0F" w14:textId="613FBD36" w:rsidR="001F05BF" w:rsidRPr="000D1568" w:rsidRDefault="00B46A2A" w:rsidP="00B46A2A">
      <w:pPr>
        <w:spacing w:line="360" w:lineRule="auto"/>
      </w:pPr>
      <w:r w:rsidRPr="000D1568">
        <w:t>We are convinced</w:t>
      </w:r>
      <w:r w:rsidR="001F05BF" w:rsidRPr="000D1568">
        <w:t xml:space="preserve"> that by defining a </w:t>
      </w:r>
      <w:r w:rsidR="001F05BF" w:rsidRPr="000D1568">
        <w:rPr>
          <w:i/>
        </w:rPr>
        <w:t>Center-of-Radiation Reference Point</w:t>
      </w:r>
      <w:r w:rsidR="001F05BF" w:rsidRPr="000D1568">
        <w:t xml:space="preserve"> for a device under test and by determining a location and directivity information with respect to said reference point, the location information indicating an origin (reference point, reference origin or, measurement origin) of a beam and a direction of the beam, the </w:t>
      </w:r>
      <w:r w:rsidR="008F79E1" w:rsidRPr="000D1568">
        <w:t>D</w:t>
      </w:r>
      <w:r w:rsidR="00934FDA">
        <w:t>U</w:t>
      </w:r>
      <w:r w:rsidR="008F79E1" w:rsidRPr="000D1568">
        <w:t xml:space="preserve">T </w:t>
      </w:r>
      <w:r w:rsidR="001F05BF" w:rsidRPr="000D1568">
        <w:t xml:space="preserve">may be evaluated with a high precision as the scope of evaluation may be referenced to the reference point and the beam to be evaluated which may allow for obtaining information about precise location of the one or more antennas within </w:t>
      </w:r>
      <w:r w:rsidR="008F79E1" w:rsidRPr="000D1568">
        <w:t>D</w:t>
      </w:r>
      <w:r w:rsidR="00934FDA">
        <w:t>U</w:t>
      </w:r>
      <w:r w:rsidR="008F79E1" w:rsidRPr="000D1568">
        <w:t xml:space="preserve">T </w:t>
      </w:r>
      <w:r w:rsidR="001F05BF" w:rsidRPr="000D1568">
        <w:t>unknown and to simultaneously obtain precise measurements.</w:t>
      </w:r>
    </w:p>
    <w:p w14:paraId="2FA2E672" w14:textId="40684821" w:rsidR="00886661" w:rsidRPr="000D1568" w:rsidRDefault="00D23B1E" w:rsidP="00D23B1E">
      <w:r w:rsidRPr="000D1568">
        <w:t>Fig</w:t>
      </w:r>
      <w:r w:rsidR="00B46A2A" w:rsidRPr="000D1568">
        <w:t xml:space="preserve">ure 1 illustrates an example of simplified OTA spatial sampling of a radiated beam pattern due to exact knowledge of the </w:t>
      </w:r>
      <w:r w:rsidR="00B46A2A" w:rsidRPr="000D1568">
        <w:rPr>
          <w:i/>
        </w:rPr>
        <w:t>Center-of-Radiation</w:t>
      </w:r>
      <w:r w:rsidR="006360C0" w:rsidRPr="000D1568">
        <w:rPr>
          <w:i/>
        </w:rPr>
        <w:t>-Point</w:t>
      </w:r>
      <w:r w:rsidR="00B46A2A" w:rsidRPr="000D1568">
        <w:t xml:space="preserve"> from the antenna array hidde</w:t>
      </w:r>
      <w:r w:rsidR="000463D5" w:rsidRPr="000D1568">
        <w:t xml:space="preserve">n inside the enclosure of the </w:t>
      </w:r>
      <w:r w:rsidR="008F79E1" w:rsidRPr="000D1568">
        <w:t>D</w:t>
      </w:r>
      <w:r w:rsidR="00934FDA">
        <w:t>U</w:t>
      </w:r>
      <w:r w:rsidR="008F79E1" w:rsidRPr="000D1568">
        <w:t xml:space="preserve">T </w:t>
      </w:r>
      <w:r w:rsidR="00B46A2A" w:rsidRPr="000D1568">
        <w:t>e.g. a UE.</w:t>
      </w:r>
    </w:p>
    <w:p w14:paraId="6526E3B4" w14:textId="7BA400C9" w:rsidR="000463D5" w:rsidRPr="000D1568" w:rsidRDefault="00B46A2A" w:rsidP="00D23B1E">
      <w:r w:rsidRPr="000D1568">
        <w:t xml:space="preserve">Provided such information the </w:t>
      </w:r>
      <w:r w:rsidR="008F79E1" w:rsidRPr="000D1568">
        <w:t>D</w:t>
      </w:r>
      <w:r w:rsidR="00934FDA">
        <w:t>U</w:t>
      </w:r>
      <w:r w:rsidR="008F79E1" w:rsidRPr="000D1568">
        <w:t xml:space="preserve">T </w:t>
      </w:r>
      <w:r w:rsidRPr="000D1568">
        <w:t xml:space="preserve">can be </w:t>
      </w:r>
      <w:r w:rsidR="000463D5" w:rsidRPr="000D1568">
        <w:t>mounted</w:t>
      </w:r>
      <w:r w:rsidRPr="000D1568">
        <w:t xml:space="preserve"> at the </w:t>
      </w:r>
      <w:r w:rsidR="000463D5" w:rsidRPr="000D1568">
        <w:t xml:space="preserve">positioner and shifted such that e.g. the Center-of-Radiation is in the focus of the probes mounted in the measurement system. </w:t>
      </w:r>
    </w:p>
    <w:p w14:paraId="053FE37A" w14:textId="5DBF2750" w:rsidR="00B46A2A" w:rsidRPr="000D1568" w:rsidRDefault="000463D5" w:rsidP="00D23B1E">
      <w:r w:rsidRPr="000D1568">
        <w:t xml:space="preserve">A known cross section through a beam pattern can be measured with minimum number of sampling points while e.g. rotating the </w:t>
      </w:r>
      <w:r w:rsidR="008F79E1" w:rsidRPr="000D1568">
        <w:t>D</w:t>
      </w:r>
      <w:r w:rsidR="00934FDA">
        <w:t>U</w:t>
      </w:r>
      <w:r w:rsidR="008F79E1" w:rsidRPr="000D1568">
        <w:t xml:space="preserve">T </w:t>
      </w:r>
      <w:r w:rsidRPr="000D1568">
        <w:t>around an axis.</w:t>
      </w:r>
    </w:p>
    <w:p w14:paraId="104C8AF6" w14:textId="792FB1B0" w:rsidR="00750218" w:rsidRPr="000D1568" w:rsidRDefault="00750218" w:rsidP="00D23B1E">
      <w:r w:rsidRPr="000D1568">
        <w:t>Figure 2 illustrates an effective misalignment of the Center-of-Radiation-Reference-Point shifted against the focus point of the probes mounted in the measurement system. As a result</w:t>
      </w:r>
      <w:r w:rsidR="00136CA1">
        <w:t>,</w:t>
      </w:r>
      <w:r w:rsidRPr="000D1568">
        <w:t xml:space="preserve"> the measured cross section could be misinterpreted as a misaligned beamforming capability of the device</w:t>
      </w:r>
      <w:r w:rsidR="00D20E74">
        <w:t>,</w:t>
      </w:r>
      <w:r w:rsidRPr="000D1568">
        <w:t xml:space="preserve"> or in order to estimate the center-of-radiation implicitly</w:t>
      </w:r>
      <w:r w:rsidR="00D20E74">
        <w:t>,</w:t>
      </w:r>
      <w:r w:rsidRPr="000D1568">
        <w:t xml:space="preserve"> more extensive measurements have to be made</w:t>
      </w:r>
      <w:r w:rsidR="00D20E74">
        <w:t>,</w:t>
      </w:r>
      <w:r w:rsidRPr="000D1568">
        <w:t xml:space="preserve"> e.g.</w:t>
      </w:r>
      <w:r w:rsidR="00D20E74">
        <w:t>,</w:t>
      </w:r>
      <w:r w:rsidRPr="000D1568">
        <w:t xml:space="preserve"> including purposely strong misalignment of the </w:t>
      </w:r>
      <w:r w:rsidR="00D20E74" w:rsidRPr="000D1568">
        <w:t>D</w:t>
      </w:r>
      <w:r w:rsidR="00934FDA">
        <w:t>U</w:t>
      </w:r>
      <w:r w:rsidR="00D20E74" w:rsidRPr="000D1568">
        <w:t xml:space="preserve">T </w:t>
      </w:r>
      <w:r w:rsidRPr="000D1568">
        <w:t>from the focus of the measurement system like proposed in [10].</w:t>
      </w:r>
    </w:p>
    <w:p w14:paraId="66807618" w14:textId="45BFA9E9" w:rsidR="000453BB" w:rsidRPr="000D1568" w:rsidRDefault="002E3C03" w:rsidP="00B44C17">
      <w:pPr>
        <w:jc w:val="center"/>
      </w:pPr>
      <w:r w:rsidRPr="0001112B">
        <w:rPr>
          <w:noProof/>
          <w:lang w:val="en-GB" w:eastAsia="de-DE"/>
        </w:rPr>
        <w:t xml:space="preserve"> </w:t>
      </w:r>
      <w:r w:rsidRPr="002E3C03">
        <w:rPr>
          <w:noProof/>
          <w:lang w:val="en-GB" w:eastAsia="en-GB"/>
        </w:rPr>
        <w:drawing>
          <wp:inline distT="0" distB="0" distL="0" distR="0" wp14:anchorId="455840BB" wp14:editId="6D9B0C8B">
            <wp:extent cx="2981375" cy="2855558"/>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screen">
                      <a:extLst>
                        <a:ext uri="{28A0092B-C50C-407E-A947-70E740481C1C}">
                          <a14:useLocalDpi xmlns:a14="http://schemas.microsoft.com/office/drawing/2010/main"/>
                        </a:ext>
                      </a:extLst>
                    </a:blip>
                    <a:stretch>
                      <a:fillRect/>
                    </a:stretch>
                  </pic:blipFill>
                  <pic:spPr>
                    <a:xfrm>
                      <a:off x="0" y="0"/>
                      <a:ext cx="3000023" cy="2873419"/>
                    </a:xfrm>
                    <a:prstGeom prst="rect">
                      <a:avLst/>
                    </a:prstGeom>
                  </pic:spPr>
                </pic:pic>
              </a:graphicData>
            </a:graphic>
          </wp:inline>
        </w:drawing>
      </w:r>
    </w:p>
    <w:p w14:paraId="19BC3489" w14:textId="2C1F2D62" w:rsidR="004B6896" w:rsidRPr="000D1568" w:rsidRDefault="000453BB" w:rsidP="004B6896">
      <w:pPr>
        <w:pStyle w:val="Caption"/>
      </w:pPr>
      <w:r w:rsidRPr="000D1568">
        <w:t xml:space="preserve">Figure </w:t>
      </w:r>
      <w:fldSimple w:instr=" SEQ Figure \* ARABIC ">
        <w:r w:rsidR="00AC6A12" w:rsidRPr="000D1568">
          <w:rPr>
            <w:noProof/>
          </w:rPr>
          <w:t>1</w:t>
        </w:r>
      </w:fldSimple>
      <w:r w:rsidR="00D23B1E" w:rsidRPr="000D1568">
        <w:t xml:space="preserve">: </w:t>
      </w:r>
      <w:r w:rsidR="00A67CA1" w:rsidRPr="000D1568">
        <w:t xml:space="preserve">Illustration of </w:t>
      </w:r>
      <w:r w:rsidR="000D1568">
        <w:t xml:space="preserve">an </w:t>
      </w:r>
      <w:r w:rsidR="00A67CA1" w:rsidRPr="000D1568">
        <w:t>effectively cent</w:t>
      </w:r>
      <w:r w:rsidR="000D1568">
        <w:t>e</w:t>
      </w:r>
      <w:r w:rsidR="00A67CA1" w:rsidRPr="000D1568">
        <w:t>red positioning of</w:t>
      </w:r>
      <w:r w:rsidR="006A3824" w:rsidRPr="000D1568">
        <w:t xml:space="preserve"> the </w:t>
      </w:r>
      <w:r w:rsidR="00D20E74" w:rsidRPr="000D1568">
        <w:t>D</w:t>
      </w:r>
      <w:r w:rsidR="00934FDA">
        <w:t>U</w:t>
      </w:r>
      <w:r w:rsidR="00D20E74" w:rsidRPr="000D1568">
        <w:t xml:space="preserve">T </w:t>
      </w:r>
      <w:r w:rsidR="00A67CA1" w:rsidRPr="000D1568">
        <w:t xml:space="preserve">in the focus of the symmetrically adjusted measurement probes in the </w:t>
      </w:r>
      <w:r w:rsidRPr="000D1568">
        <w:t xml:space="preserve">measurement </w:t>
      </w:r>
      <w:r w:rsidR="00A67CA1" w:rsidRPr="000D1568">
        <w:t>system</w:t>
      </w:r>
      <w:r w:rsidR="004B6896" w:rsidRPr="000D1568">
        <w:t>.</w:t>
      </w:r>
    </w:p>
    <w:p w14:paraId="47E62E8B" w14:textId="4319FDE6" w:rsidR="00D23B1E" w:rsidRPr="000D1568" w:rsidRDefault="002E3C03" w:rsidP="00B44C17">
      <w:pPr>
        <w:jc w:val="center"/>
      </w:pPr>
      <w:r w:rsidRPr="0001112B">
        <w:rPr>
          <w:noProof/>
          <w:lang w:val="en-GB" w:eastAsia="de-DE"/>
        </w:rPr>
        <w:t xml:space="preserve"> </w:t>
      </w:r>
      <w:r w:rsidRPr="002E3C03">
        <w:rPr>
          <w:noProof/>
          <w:lang w:val="en-GB" w:eastAsia="en-GB"/>
        </w:rPr>
        <w:drawing>
          <wp:inline distT="0" distB="0" distL="0" distR="0" wp14:anchorId="022D130E" wp14:editId="2B86C788">
            <wp:extent cx="2840355" cy="2745373"/>
            <wp:effectExtent l="0" t="0" r="4445"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2846740" cy="2751545"/>
                    </a:xfrm>
                    <a:prstGeom prst="rect">
                      <a:avLst/>
                    </a:prstGeom>
                  </pic:spPr>
                </pic:pic>
              </a:graphicData>
            </a:graphic>
          </wp:inline>
        </w:drawing>
      </w:r>
    </w:p>
    <w:p w14:paraId="0FEA1747" w14:textId="1C49CB45" w:rsidR="00506957" w:rsidRPr="000D1568" w:rsidRDefault="00D23B1E" w:rsidP="00D23B1E">
      <w:pPr>
        <w:pStyle w:val="Caption"/>
        <w:rPr>
          <w:rFonts w:eastAsia="Times New Roman"/>
        </w:rPr>
      </w:pPr>
      <w:r w:rsidRPr="000D1568">
        <w:t xml:space="preserve">Figure </w:t>
      </w:r>
      <w:fldSimple w:instr=" SEQ Figure \* ARABIC ">
        <w:r w:rsidR="00AC6A12" w:rsidRPr="000D1568">
          <w:rPr>
            <w:noProof/>
          </w:rPr>
          <w:t>2</w:t>
        </w:r>
      </w:fldSimple>
      <w:r w:rsidRPr="000D1568">
        <w:t xml:space="preserve">: </w:t>
      </w:r>
      <w:r w:rsidR="00A67CA1" w:rsidRPr="000D1568">
        <w:t xml:space="preserve">Illustration of effectively </w:t>
      </w:r>
      <w:r w:rsidR="000D1568" w:rsidRPr="000D1568">
        <w:t>off-center</w:t>
      </w:r>
      <w:r w:rsidR="00A67CA1" w:rsidRPr="000D1568">
        <w:t xml:space="preserve"> positioning of the D</w:t>
      </w:r>
      <w:r w:rsidR="00934FDA">
        <w:t>U</w:t>
      </w:r>
      <w:r w:rsidR="00A67CA1" w:rsidRPr="000D1568">
        <w:t>T in the focus of the symmetrically adjusted measurement probes in the measurement system</w:t>
      </w:r>
      <w:r w:rsidR="000D1568">
        <w:t xml:space="preserve"> due to lack of precise knowledge about the Center-of-Radiation-Reference-Point.</w:t>
      </w:r>
      <w:r w:rsidR="002E3C03">
        <w:t xml:space="preserve"> As a </w:t>
      </w:r>
      <w:r w:rsidR="009A09C8">
        <w:t>result,</w:t>
      </w:r>
      <w:r w:rsidR="002E3C03">
        <w:t xml:space="preserve"> either more extensive measurements have to be done for estimation of CORRP and post-compensation or otherwise misleading conclusions about beam pattern could be concluded. </w:t>
      </w:r>
    </w:p>
    <w:p w14:paraId="73B4A2B1" w14:textId="77777777" w:rsidR="006A3824" w:rsidRPr="000D1568" w:rsidRDefault="006A3824" w:rsidP="006A3824">
      <w:pPr>
        <w:rPr>
          <w:lang w:eastAsia="zh-CN"/>
        </w:rPr>
      </w:pPr>
      <w:r w:rsidRPr="000D1568">
        <w:rPr>
          <w:lang w:eastAsia="zh-CN"/>
        </w:rPr>
        <w:t>The proposed solution consists of two main components:</w:t>
      </w:r>
    </w:p>
    <w:p w14:paraId="67741621" w14:textId="7B2D7DB1" w:rsidR="006A3824" w:rsidRPr="000D1568" w:rsidRDefault="000C0271" w:rsidP="001263E4">
      <w:pPr>
        <w:pStyle w:val="Bullet1"/>
        <w:rPr>
          <w:lang w:val="en-US"/>
        </w:rPr>
      </w:pPr>
      <w:r w:rsidRPr="000D1568">
        <w:rPr>
          <w:lang w:val="en-US"/>
        </w:rPr>
        <w:t xml:space="preserve">Definition of a </w:t>
      </w:r>
      <w:r w:rsidR="00D20E74" w:rsidRPr="000D1568">
        <w:rPr>
          <w:lang w:val="en-US"/>
        </w:rPr>
        <w:t>Center</w:t>
      </w:r>
      <w:r w:rsidR="00D20E74">
        <w:rPr>
          <w:lang w:val="en-US"/>
        </w:rPr>
        <w:t>-</w:t>
      </w:r>
      <w:r w:rsidRPr="000D1568">
        <w:rPr>
          <w:lang w:val="en-US"/>
        </w:rPr>
        <w:t>of</w:t>
      </w:r>
      <w:r w:rsidR="00D20E74">
        <w:rPr>
          <w:lang w:val="en-US"/>
        </w:rPr>
        <w:t>-</w:t>
      </w:r>
      <w:r w:rsidRPr="000D1568">
        <w:rPr>
          <w:lang w:val="en-US"/>
        </w:rPr>
        <w:t>Radiation Reference Point</w:t>
      </w:r>
      <w:r w:rsidR="002E3C03">
        <w:rPr>
          <w:lang w:val="en-US"/>
        </w:rPr>
        <w:t xml:space="preserve"> (CO</w:t>
      </w:r>
      <w:r w:rsidRPr="000D1568">
        <w:rPr>
          <w:lang w:val="en-US"/>
        </w:rPr>
        <w:t>RRP)</w:t>
      </w:r>
      <w:r w:rsidR="00D07E5D">
        <w:rPr>
          <w:lang w:val="en-US"/>
        </w:rPr>
        <w:t>.</w:t>
      </w:r>
    </w:p>
    <w:p w14:paraId="6599FE55" w14:textId="1B3BF3DA" w:rsidR="000C0271" w:rsidRPr="000D1568" w:rsidRDefault="000C0271" w:rsidP="001263E4">
      <w:pPr>
        <w:pStyle w:val="Bullet1"/>
        <w:rPr>
          <w:lang w:val="en-US"/>
        </w:rPr>
      </w:pPr>
      <w:r w:rsidRPr="000D1568">
        <w:rPr>
          <w:lang w:val="en-US"/>
        </w:rPr>
        <w:t>Relate</w:t>
      </w:r>
      <w:r w:rsidR="002E3C03">
        <w:rPr>
          <w:lang w:val="en-US"/>
        </w:rPr>
        <w:t xml:space="preserve"> the CO</w:t>
      </w:r>
      <w:r w:rsidRPr="000D1568">
        <w:rPr>
          <w:lang w:val="en-US"/>
        </w:rPr>
        <w:t xml:space="preserve">RRP to external features like markers as defined in </w:t>
      </w:r>
      <w:r w:rsidR="002C6CB7">
        <w:rPr>
          <w:lang w:val="en-US"/>
        </w:rPr>
        <w:t>[7]</w:t>
      </w:r>
      <w:r w:rsidR="00D07E5D">
        <w:rPr>
          <w:lang w:val="en-US"/>
        </w:rPr>
        <w:t>.</w:t>
      </w:r>
    </w:p>
    <w:p w14:paraId="6D84978C" w14:textId="278CC500" w:rsidR="006A3824" w:rsidRPr="000D1568" w:rsidRDefault="00387B48" w:rsidP="00AC0737">
      <w:pPr>
        <w:pStyle w:val="Heading2"/>
        <w:rPr>
          <w:lang w:val="en-US" w:eastAsia="zh-CN"/>
        </w:rPr>
      </w:pPr>
      <w:r>
        <w:rPr>
          <w:lang w:val="en-US" w:eastAsia="zh-CN"/>
        </w:rPr>
        <w:t>Definition of Center-of-Radiation-Reference-Point</w:t>
      </w:r>
    </w:p>
    <w:p w14:paraId="08AF930D" w14:textId="2B0E8D22" w:rsidR="006A3824" w:rsidRDefault="006A3824" w:rsidP="006A3824">
      <w:pPr>
        <w:rPr>
          <w:lang w:eastAsia="zh-CN"/>
        </w:rPr>
      </w:pPr>
      <w:r w:rsidRPr="000D1568">
        <w:rPr>
          <w:lang w:eastAsia="zh-CN"/>
        </w:rPr>
        <w:t xml:space="preserve">The </w:t>
      </w:r>
      <w:r w:rsidR="00C81253">
        <w:rPr>
          <w:lang w:eastAsia="zh-CN"/>
        </w:rPr>
        <w:t>CORRP enables the exact and unique description of the origin of the radiated electromagnetic wave</w:t>
      </w:r>
      <w:r w:rsidR="00D20E74">
        <w:rPr>
          <w:lang w:eastAsia="zh-CN"/>
        </w:rPr>
        <w:t>s</w:t>
      </w:r>
      <w:r w:rsidR="00C81253">
        <w:rPr>
          <w:lang w:eastAsia="zh-CN"/>
        </w:rPr>
        <w:t xml:space="preserve"> created by one or a multitude of antenna arrays by</w:t>
      </w:r>
      <w:r w:rsidR="001263E4" w:rsidRPr="000D1568">
        <w:rPr>
          <w:lang w:eastAsia="zh-CN"/>
        </w:rPr>
        <w:t xml:space="preserve"> including the following</w:t>
      </w:r>
      <w:r w:rsidR="00C81253">
        <w:rPr>
          <w:lang w:eastAsia="zh-CN"/>
        </w:rPr>
        <w:t xml:space="preserve"> basic reference system</w:t>
      </w:r>
      <w:r w:rsidR="001263E4" w:rsidRPr="000D1568">
        <w:rPr>
          <w:lang w:eastAsia="zh-CN"/>
        </w:rPr>
        <w:t>:</w:t>
      </w:r>
    </w:p>
    <w:p w14:paraId="207C6FDB" w14:textId="268779DA" w:rsidR="00C81253" w:rsidRPr="00C81253" w:rsidRDefault="00C81253" w:rsidP="00C81253">
      <w:pPr>
        <w:pStyle w:val="Bullet1"/>
        <w:rPr>
          <w:lang w:val="en-US"/>
        </w:rPr>
      </w:pPr>
      <w:r w:rsidRPr="00C81253">
        <w:rPr>
          <w:lang w:val="en-US"/>
        </w:rPr>
        <w:t xml:space="preserve">Reference Coordinate </w:t>
      </w:r>
      <w:r w:rsidR="00D97706">
        <w:rPr>
          <w:lang w:val="en-US"/>
        </w:rPr>
        <w:t>System with a specified origin –</w:t>
      </w:r>
      <w:r w:rsidRPr="00C81253">
        <w:rPr>
          <w:lang w:val="en-US"/>
        </w:rPr>
        <w:t xml:space="preserve"> RCS</w:t>
      </w:r>
      <w:r w:rsidR="00DD6BA0">
        <w:rPr>
          <w:lang w:val="en-US"/>
        </w:rPr>
        <w:t>.</w:t>
      </w:r>
    </w:p>
    <w:p w14:paraId="38F49FBD" w14:textId="23AA0190" w:rsidR="00C81253" w:rsidRDefault="00C81253" w:rsidP="00C81253">
      <w:pPr>
        <w:pStyle w:val="Bullet1"/>
        <w:rPr>
          <w:lang w:val="en-US"/>
        </w:rPr>
      </w:pPr>
      <w:r w:rsidRPr="00C81253">
        <w:rPr>
          <w:lang w:val="en-US"/>
        </w:rPr>
        <w:t>Vector described within</w:t>
      </w:r>
      <w:r>
        <w:rPr>
          <w:lang w:val="en-US"/>
        </w:rPr>
        <w:t>/relative to</w:t>
      </w:r>
      <w:r w:rsidRPr="00C81253">
        <w:rPr>
          <w:lang w:val="en-US"/>
        </w:rPr>
        <w:t xml:space="preserve"> this RCS, where the foot p</w:t>
      </w:r>
      <w:r>
        <w:rPr>
          <w:lang w:val="en-US"/>
        </w:rPr>
        <w:t>o</w:t>
      </w:r>
      <w:r w:rsidRPr="00C81253">
        <w:rPr>
          <w:lang w:val="en-US"/>
        </w:rPr>
        <w:t>int of</w:t>
      </w:r>
      <w:r>
        <w:rPr>
          <w:lang w:val="en-US"/>
        </w:rPr>
        <w:t xml:space="preserve"> t</w:t>
      </w:r>
      <w:r w:rsidRPr="00C81253">
        <w:rPr>
          <w:lang w:val="en-US"/>
        </w:rPr>
        <w:t xml:space="preserve">he vector marks </w:t>
      </w:r>
      <w:r>
        <w:rPr>
          <w:lang w:val="en-US"/>
        </w:rPr>
        <w:t>t</w:t>
      </w:r>
      <w:r w:rsidRPr="00C81253">
        <w:rPr>
          <w:lang w:val="en-US"/>
        </w:rPr>
        <w:t>he origin of</w:t>
      </w:r>
      <w:r>
        <w:rPr>
          <w:lang w:val="en-US"/>
        </w:rPr>
        <w:t xml:space="preserve"> t</w:t>
      </w:r>
      <w:r w:rsidRPr="00C81253">
        <w:rPr>
          <w:lang w:val="en-US"/>
        </w:rPr>
        <w:t>he radiated pattern and the direction of the vector</w:t>
      </w:r>
      <w:r>
        <w:rPr>
          <w:lang w:val="en-US"/>
        </w:rPr>
        <w:t xml:space="preserve">. The vector itself might be considered a symmetry axis of a particular beam pattern in case </w:t>
      </w:r>
      <w:r w:rsidR="002C49F2">
        <w:rPr>
          <w:lang w:val="en-US"/>
        </w:rPr>
        <w:t>reduced number of measurement samples is desired without sacrificing accuracy or unambiguity of the OTA beam pattern measurements.</w:t>
      </w:r>
    </w:p>
    <w:p w14:paraId="4787D783" w14:textId="77777777" w:rsidR="008724B3" w:rsidRDefault="008724B3" w:rsidP="008724B3">
      <w:pPr>
        <w:pStyle w:val="Bullet1"/>
        <w:numPr>
          <w:ilvl w:val="0"/>
          <w:numId w:val="0"/>
        </w:numPr>
        <w:ind w:left="720" w:hanging="360"/>
        <w:rPr>
          <w:lang w:val="en-US"/>
        </w:rPr>
      </w:pPr>
    </w:p>
    <w:p w14:paraId="4163A9D6" w14:textId="68491EE6" w:rsidR="008724B3" w:rsidRDefault="008724B3" w:rsidP="00394AD3">
      <w:pPr>
        <w:pStyle w:val="Bullet1"/>
        <w:numPr>
          <w:ilvl w:val="0"/>
          <w:numId w:val="0"/>
        </w:numPr>
        <w:ind w:left="720" w:hanging="360"/>
        <w:jc w:val="center"/>
        <w:rPr>
          <w:lang w:val="en-US"/>
        </w:rPr>
      </w:pPr>
      <w:r w:rsidRPr="008724B3">
        <w:rPr>
          <w:noProof/>
          <w:lang w:eastAsia="en-GB"/>
        </w:rPr>
        <w:drawing>
          <wp:inline distT="0" distB="0" distL="0" distR="0" wp14:anchorId="531FAA7F" wp14:editId="58335DAE">
            <wp:extent cx="2985018" cy="2226326"/>
            <wp:effectExtent l="0" t="0" r="12700" b="889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2987568" cy="2228228"/>
                    </a:xfrm>
                    <a:prstGeom prst="rect">
                      <a:avLst/>
                    </a:prstGeom>
                  </pic:spPr>
                </pic:pic>
              </a:graphicData>
            </a:graphic>
          </wp:inline>
        </w:drawing>
      </w:r>
    </w:p>
    <w:p w14:paraId="45194456" w14:textId="00ADAD65" w:rsidR="008724B3" w:rsidRPr="000D1568" w:rsidRDefault="008724B3" w:rsidP="008724B3">
      <w:pPr>
        <w:pStyle w:val="Caption"/>
        <w:rPr>
          <w:rFonts w:eastAsia="Times New Roman"/>
        </w:rPr>
      </w:pPr>
      <w:r w:rsidRPr="000D1568">
        <w:t xml:space="preserve">Figure </w:t>
      </w:r>
      <w:fldSimple w:instr=" SEQ Figure \* ARABIC ">
        <w:r>
          <w:rPr>
            <w:noProof/>
          </w:rPr>
          <w:t>3</w:t>
        </w:r>
      </w:fldSimple>
      <w:r w:rsidRPr="000D1568">
        <w:t xml:space="preserve">: Illustration of </w:t>
      </w:r>
      <w:r w:rsidR="00F974AD">
        <w:t>a large antenna array used for creating several beam formers with sub-arrays.</w:t>
      </w:r>
      <w:r w:rsidR="00BF0DCD">
        <w:t xml:space="preserve"> At the left side in the</w:t>
      </w:r>
      <w:r w:rsidR="00F974AD">
        <w:t xml:space="preserve"> picture</w:t>
      </w:r>
      <w:r w:rsidR="00AA238D">
        <w:t>,</w:t>
      </w:r>
      <w:r w:rsidR="00F974AD">
        <w:t xml:space="preserve"> the Reference Coordinate System</w:t>
      </w:r>
      <w:r w:rsidR="00713C56">
        <w:t xml:space="preserve"> (RCS)</w:t>
      </w:r>
      <w:r w:rsidR="00F974AD">
        <w:t xml:space="preserve"> is </w:t>
      </w:r>
      <w:r w:rsidR="00906150">
        <w:t>shown, which</w:t>
      </w:r>
      <w:r w:rsidR="00F974AD">
        <w:t xml:space="preserve"> the Center-of-Radiation-Reference-Point</w:t>
      </w:r>
      <w:r w:rsidR="00394AD3">
        <w:t xml:space="preserve"> (CORRP)</w:t>
      </w:r>
      <w:r w:rsidR="00906150">
        <w:t xml:space="preserve"> is </w:t>
      </w:r>
      <w:r w:rsidR="00060119">
        <w:t>specified</w:t>
      </w:r>
      <w:r w:rsidR="00906150">
        <w:t xml:space="preserve"> relative to it</w:t>
      </w:r>
      <w:r w:rsidR="000F10D4">
        <w:t>. In this</w:t>
      </w:r>
      <w:r w:rsidR="00F974AD">
        <w:t xml:space="preserve"> particular example</w:t>
      </w:r>
      <w:r w:rsidR="000F10D4">
        <w:t>,</w:t>
      </w:r>
      <w:r w:rsidR="00F974AD">
        <w:t xml:space="preserve"> the two distinct beams have to be described by </w:t>
      </w:r>
      <w:r w:rsidR="00780AAD">
        <w:t xml:space="preserve">two </w:t>
      </w:r>
      <w:bookmarkStart w:id="0" w:name="_GoBack"/>
      <w:bookmarkEnd w:id="0"/>
      <w:r w:rsidR="00F974AD">
        <w:t>different CORRP. Given that, OTA measurements are significantly reduced in complexity</w:t>
      </w:r>
      <w:r w:rsidR="00136CA1">
        <w:t xml:space="preserve"> and time</w:t>
      </w:r>
      <w:r w:rsidR="00911643">
        <w:t>,</w:t>
      </w:r>
      <w:r w:rsidR="00F974AD">
        <w:t xml:space="preserve"> and crosschecks for implicit derivation of the CORRP</w:t>
      </w:r>
      <w:r w:rsidR="00136CA1">
        <w:t xml:space="preserve"> become obsolete</w:t>
      </w:r>
      <w:r w:rsidR="00E3405C">
        <w:t>.</w:t>
      </w:r>
    </w:p>
    <w:p w14:paraId="2557C4C6" w14:textId="77777777" w:rsidR="008724B3" w:rsidRPr="00C81253" w:rsidRDefault="008724B3" w:rsidP="008724B3">
      <w:pPr>
        <w:pStyle w:val="Bullet1"/>
        <w:numPr>
          <w:ilvl w:val="0"/>
          <w:numId w:val="0"/>
        </w:numPr>
        <w:ind w:left="720" w:hanging="360"/>
        <w:rPr>
          <w:lang w:val="en-US"/>
        </w:rPr>
      </w:pPr>
    </w:p>
    <w:p w14:paraId="7FD2F291" w14:textId="57BA1009" w:rsidR="008F176A" w:rsidRPr="000D1568" w:rsidRDefault="00C56232" w:rsidP="008F176A">
      <w:pPr>
        <w:pStyle w:val="Heading2"/>
        <w:rPr>
          <w:lang w:val="en-US"/>
        </w:rPr>
      </w:pPr>
      <w:r>
        <w:rPr>
          <w:lang w:val="en-US"/>
        </w:rPr>
        <w:t>Relation of CO</w:t>
      </w:r>
      <w:r w:rsidR="00387B48">
        <w:rPr>
          <w:lang w:val="en-US"/>
        </w:rPr>
        <w:t xml:space="preserve">RRP to external features of the </w:t>
      </w:r>
      <w:r w:rsidR="00D20E74">
        <w:rPr>
          <w:lang w:val="en-US"/>
        </w:rPr>
        <w:t>D</w:t>
      </w:r>
      <w:r w:rsidR="00777E25">
        <w:rPr>
          <w:lang w:val="en-US"/>
        </w:rPr>
        <w:t>U</w:t>
      </w:r>
      <w:r w:rsidR="00D20E74">
        <w:rPr>
          <w:lang w:val="en-US"/>
        </w:rPr>
        <w:t>T</w:t>
      </w:r>
    </w:p>
    <w:p w14:paraId="22725498" w14:textId="18060F66" w:rsidR="00C56232" w:rsidRDefault="00910E83" w:rsidP="008F176A">
      <w:r w:rsidRPr="000D1568">
        <w:t xml:space="preserve">It </w:t>
      </w:r>
      <w:r w:rsidR="00684CBA" w:rsidRPr="000D1568">
        <w:t xml:space="preserve">might be </w:t>
      </w:r>
      <w:r w:rsidRPr="000D1568">
        <w:t>necessary to</w:t>
      </w:r>
      <w:r w:rsidR="00C56232">
        <w:t xml:space="preserve"> relate the CORRP</w:t>
      </w:r>
      <w:r w:rsidRPr="000D1568">
        <w:t xml:space="preserve"> </w:t>
      </w:r>
      <w:r w:rsidR="00C56232">
        <w:t xml:space="preserve">to external physical features like specific markers at the outside of the enclosure of the </w:t>
      </w:r>
      <w:r w:rsidR="00D20E74">
        <w:t>D</w:t>
      </w:r>
      <w:r w:rsidR="00777E25">
        <w:t>U</w:t>
      </w:r>
      <w:r w:rsidR="00D20E74">
        <w:t>T</w:t>
      </w:r>
      <w:r w:rsidR="00C56232">
        <w:t>.</w:t>
      </w:r>
    </w:p>
    <w:p w14:paraId="22882118" w14:textId="6B492445" w:rsidR="00C56232" w:rsidRDefault="00C56232" w:rsidP="008F176A">
      <w:r>
        <w:t>Such features could be of visible nature like edges, corners, notches specifics like a camera lens on a phone and many other options including adaptive optical markers like QR-codes displayed at the screen of a smart phone or tablet.</w:t>
      </w:r>
    </w:p>
    <w:p w14:paraId="70014B6C" w14:textId="50E4DF70" w:rsidR="00C56232" w:rsidRDefault="00C56232" w:rsidP="008F176A">
      <w:r>
        <w:t xml:space="preserve">Further, cross referencing using similar </w:t>
      </w:r>
      <w:r w:rsidR="00A1268C">
        <w:t>physical features as described in MD [7] would be desirable and limit the data sets for measurement purposes of DUT to a minimum.</w:t>
      </w:r>
    </w:p>
    <w:p w14:paraId="73526E12" w14:textId="0547D473" w:rsidR="006A3824" w:rsidRPr="000D1568" w:rsidRDefault="00684CBA" w:rsidP="008F176A">
      <w:r w:rsidRPr="000D1568">
        <w:t xml:space="preserve">Additional consideration of the </w:t>
      </w:r>
      <w:r w:rsidR="00A1268C">
        <w:t xml:space="preserve">such reference systems might be given when considering larger </w:t>
      </w:r>
      <w:r w:rsidRPr="000D1568">
        <w:t>extended</w:t>
      </w:r>
      <w:r w:rsidR="006A3824" w:rsidRPr="000D1568">
        <w:t xml:space="preserve"> </w:t>
      </w:r>
      <w:r w:rsidR="00A1268C">
        <w:t xml:space="preserve">DUT like cars or similar sized objects which could contain a multitude of antennas and antenna arrays </w:t>
      </w:r>
      <w:r w:rsidR="00136CA1">
        <w:t xml:space="preserve">distributed </w:t>
      </w:r>
      <w:r w:rsidR="00A1268C">
        <w:t>on its surface</w:t>
      </w:r>
      <w:r w:rsidR="002A0566">
        <w:t xml:space="preserve"> or inside the outer enclosure.</w:t>
      </w:r>
    </w:p>
    <w:p w14:paraId="20DF4E9D" w14:textId="6F1AEF65" w:rsidR="00EB382F" w:rsidRPr="000D1568" w:rsidRDefault="00EB382F" w:rsidP="00EB382F">
      <w:pPr>
        <w:pStyle w:val="Heading1"/>
        <w:rPr>
          <w:rFonts w:cs="Arial"/>
          <w:lang w:val="en-US"/>
        </w:rPr>
      </w:pPr>
      <w:r w:rsidRPr="000D1568">
        <w:rPr>
          <w:rFonts w:cs="Arial"/>
          <w:lang w:val="en-US"/>
        </w:rPr>
        <w:t>Conclusion</w:t>
      </w:r>
    </w:p>
    <w:p w14:paraId="31D7A86A" w14:textId="3BB823DB" w:rsidR="00EB382F" w:rsidRPr="000D1568" w:rsidRDefault="00177581" w:rsidP="00D23B1E">
      <w:r w:rsidRPr="00387B48">
        <w:t xml:space="preserve">This document </w:t>
      </w:r>
      <w:r w:rsidR="00E75B28">
        <w:t xml:space="preserve">has </w:t>
      </w:r>
      <w:r w:rsidRPr="00387B48">
        <w:t>identifie</w:t>
      </w:r>
      <w:r w:rsidR="00E75B28">
        <w:t>d</w:t>
      </w:r>
      <w:r w:rsidRPr="00387B48">
        <w:t xml:space="preserve"> the need for RAN4 to consider </w:t>
      </w:r>
      <w:r w:rsidR="00387B48" w:rsidRPr="00387B48">
        <w:t xml:space="preserve">methods and </w:t>
      </w:r>
      <w:r w:rsidR="00E75B28">
        <w:t>a</w:t>
      </w:r>
      <w:r w:rsidR="00E75B28" w:rsidRPr="00387B48">
        <w:t xml:space="preserve"> </w:t>
      </w:r>
      <w:r w:rsidR="00136CA1">
        <w:t>definition of a</w:t>
      </w:r>
      <w:r w:rsidRPr="00387B48">
        <w:t xml:space="preserve"> </w:t>
      </w:r>
      <w:r w:rsidR="00387B48" w:rsidRPr="00777E25">
        <w:rPr>
          <w:i/>
        </w:rPr>
        <w:t>Center-of-Radiation-Reference-Point</w:t>
      </w:r>
      <w:r w:rsidR="00387B48" w:rsidRPr="00387B48">
        <w:t xml:space="preserve"> </w:t>
      </w:r>
      <w:r w:rsidR="00136CA1">
        <w:t xml:space="preserve">(CORRP) </w:t>
      </w:r>
      <w:r w:rsidR="00387B48" w:rsidRPr="00387B48">
        <w:t>for antennas and antenna arrays</w:t>
      </w:r>
      <w:r w:rsidR="00E75B28">
        <w:t>, which are usually</w:t>
      </w:r>
      <w:r w:rsidR="00387B48" w:rsidRPr="00387B48">
        <w:t xml:space="preserve"> embedded inside enclosures of a </w:t>
      </w:r>
      <w:r w:rsidR="00EB05A4" w:rsidRPr="00387B48">
        <w:t>D</w:t>
      </w:r>
      <w:r w:rsidR="00777E25">
        <w:t>U</w:t>
      </w:r>
      <w:r w:rsidR="00EB05A4" w:rsidRPr="00387B48">
        <w:t xml:space="preserve">T </w:t>
      </w:r>
      <w:r w:rsidR="00387B48" w:rsidRPr="00387B48">
        <w:t xml:space="preserve">and </w:t>
      </w:r>
      <w:r w:rsidRPr="00387B48">
        <w:t>proposes that this item is the subject of further study.</w:t>
      </w:r>
    </w:p>
    <w:p w14:paraId="3964BA02" w14:textId="77777777" w:rsidR="00EB382F" w:rsidRPr="000D1568" w:rsidRDefault="00EB382F" w:rsidP="00EB382F">
      <w:pPr>
        <w:pStyle w:val="Heading1"/>
        <w:numPr>
          <w:ilvl w:val="0"/>
          <w:numId w:val="0"/>
        </w:numPr>
        <w:ind w:left="432" w:hanging="432"/>
        <w:rPr>
          <w:rFonts w:cs="Arial"/>
          <w:lang w:val="en-US"/>
        </w:rPr>
      </w:pPr>
      <w:r w:rsidRPr="000D1568">
        <w:rPr>
          <w:rFonts w:cs="Arial"/>
          <w:lang w:val="en-US"/>
        </w:rPr>
        <w:t>References</w:t>
      </w:r>
    </w:p>
    <w:p w14:paraId="762A6591" w14:textId="224449F9" w:rsidR="00830BC6" w:rsidRPr="000D1568" w:rsidRDefault="00AA1C46" w:rsidP="00830BC6">
      <w:pPr>
        <w:pStyle w:val="References"/>
        <w:numPr>
          <w:ilvl w:val="0"/>
          <w:numId w:val="14"/>
        </w:numPr>
      </w:pPr>
      <w:bookmarkStart w:id="1" w:name="TR_38_803"/>
      <w:r w:rsidRPr="000D1568">
        <w:t>3GPP Technical Report TR 38.80</w:t>
      </w:r>
      <w:r w:rsidR="004236B7" w:rsidRPr="000D1568">
        <w:t>3, “Study on new radio access technology: Radio Frequency (RF) and co-existence aspects”</w:t>
      </w:r>
      <w:r w:rsidR="00107953">
        <w:t>.</w:t>
      </w:r>
      <w:bookmarkEnd w:id="1"/>
    </w:p>
    <w:p w14:paraId="53875147" w14:textId="2090623D" w:rsidR="00830BC6" w:rsidRPr="000D1568" w:rsidRDefault="00830BC6" w:rsidP="00830BC6">
      <w:pPr>
        <w:pStyle w:val="References"/>
        <w:numPr>
          <w:ilvl w:val="0"/>
          <w:numId w:val="14"/>
        </w:numPr>
      </w:pPr>
      <w:r w:rsidRPr="000D1568">
        <w:t>IEEE Standard for Definitions of Terms for Antennas, in IEEE Std 145-2013 (Revision of IEEE Std 145-1993), March 6 2014.</w:t>
      </w:r>
    </w:p>
    <w:p w14:paraId="27B9E704" w14:textId="30D69EE3" w:rsidR="00830BC6" w:rsidRPr="000D1568" w:rsidRDefault="00830BC6" w:rsidP="00830BC6">
      <w:pPr>
        <w:pStyle w:val="References"/>
        <w:numPr>
          <w:ilvl w:val="0"/>
          <w:numId w:val="14"/>
        </w:numPr>
      </w:pPr>
      <w:r w:rsidRPr="000D1568">
        <w:t>IEEE Standard Test Procedures for Antennas, in ANSI/IEEE Std 149-1979, vol., no., pp.0_1-, 1979, reaffirmed 1990, 2003, 2008.</w:t>
      </w:r>
    </w:p>
    <w:p w14:paraId="21E04066" w14:textId="44CFC2F8" w:rsidR="00830BC6" w:rsidRPr="000D1568" w:rsidRDefault="00830BC6" w:rsidP="00830BC6">
      <w:pPr>
        <w:pStyle w:val="References"/>
        <w:numPr>
          <w:ilvl w:val="0"/>
          <w:numId w:val="14"/>
        </w:numPr>
      </w:pPr>
      <w:r w:rsidRPr="000D1568">
        <w:t>Caner Ozdemir, Rajan Bhalla, and Hao Ling, “A Radiation Center Representation of Antenna Radiation Patterns on a Complex Platform”, IEEE Transactions on Antennas and Propagation, Vol. 48, No. 6, June 2000.</w:t>
      </w:r>
    </w:p>
    <w:p w14:paraId="05D1EA64" w14:textId="715A24C2" w:rsidR="00830BC6" w:rsidRPr="000D1568" w:rsidRDefault="00830BC6" w:rsidP="00830BC6">
      <w:pPr>
        <w:pStyle w:val="References"/>
        <w:numPr>
          <w:ilvl w:val="0"/>
          <w:numId w:val="14"/>
        </w:numPr>
      </w:pPr>
      <w:r w:rsidRPr="000D1568">
        <w:t>Jonas Fridén, Gerhard Kristensson, “Calculation of antenna radiation center using angular momentum,” IEEE Transactions on Antennas and Propagation, Vol. 61, No.12, Dec. 2013.</w:t>
      </w:r>
    </w:p>
    <w:p w14:paraId="30A1CAB3" w14:textId="124EF2AB" w:rsidR="00830BC6" w:rsidRPr="000D1568" w:rsidRDefault="00830BC6" w:rsidP="00830BC6">
      <w:pPr>
        <w:pStyle w:val="References"/>
        <w:numPr>
          <w:ilvl w:val="0"/>
          <w:numId w:val="14"/>
        </w:numPr>
      </w:pPr>
      <w:r w:rsidRPr="000D1568">
        <w:t>S. Kurokawa and M. Hirose, "Antenna gain pattern estimation for log periodic dipole array broadband antenna using near field radiation pattern and amplitude center," 2016 IEEE International Conference on Computational Electromagnetics (ICCEM), Guangzhou, 2016, pp. 191-193.</w:t>
      </w:r>
    </w:p>
    <w:p w14:paraId="09828A3E" w14:textId="349A449B" w:rsidR="00830BC6" w:rsidRPr="000D1568" w:rsidRDefault="00830BC6" w:rsidP="00830BC6">
      <w:pPr>
        <w:pStyle w:val="References"/>
        <w:numPr>
          <w:ilvl w:val="0"/>
          <w:numId w:val="14"/>
        </w:numPr>
      </w:pPr>
      <w:r w:rsidRPr="000D1568">
        <w:t>3GPP TS 37.145-2; V14.0.0 (2017-03), “Active Antenna System (AAS) Base Station (BS) conformance testing; Part 2: radiated conformance testing”</w:t>
      </w:r>
      <w:r w:rsidR="00107953">
        <w:t>.</w:t>
      </w:r>
    </w:p>
    <w:p w14:paraId="6FFE3042" w14:textId="22FABD2D" w:rsidR="00830BC6" w:rsidRPr="000D1568" w:rsidRDefault="00D53922" w:rsidP="00D53922">
      <w:pPr>
        <w:pStyle w:val="References"/>
        <w:numPr>
          <w:ilvl w:val="0"/>
          <w:numId w:val="14"/>
        </w:numPr>
      </w:pPr>
      <w:r w:rsidRPr="000D1568">
        <w:t>3GPP TR 37.97</w:t>
      </w:r>
      <w:r>
        <w:t>7</w:t>
      </w:r>
      <w:r w:rsidRPr="000D1568">
        <w:t>; V14.</w:t>
      </w:r>
      <w:r>
        <w:t>3</w:t>
      </w:r>
      <w:r w:rsidRPr="000D1568">
        <w:t>.0 (2017-03), “</w:t>
      </w:r>
      <w:r w:rsidRPr="00200F63">
        <w:t>Verification of radiated multi-antenna reception performance of User Equipment (UE)</w:t>
      </w:r>
      <w:r w:rsidRPr="000D1568">
        <w:t>”</w:t>
      </w:r>
      <w:r>
        <w:t>.</w:t>
      </w:r>
    </w:p>
    <w:p w14:paraId="12A2F0F2" w14:textId="3CAD6BAE" w:rsidR="00750218" w:rsidRPr="000D1568" w:rsidRDefault="00830BC6" w:rsidP="00750218">
      <w:pPr>
        <w:pStyle w:val="References"/>
        <w:numPr>
          <w:ilvl w:val="0"/>
          <w:numId w:val="14"/>
        </w:numPr>
      </w:pPr>
      <w:r w:rsidRPr="000D1568">
        <w:t>3GPP TR 37.842; V13.2.0 (2017-03), “Evolved Universal Terrestrial Radio Access (E-UTRA) and Universal Terrestrial Radio Access (UTRA; Radio Frequency (RF) requirement background for Active Antenna System (AAS) Base Station (BS)”</w:t>
      </w:r>
      <w:r w:rsidR="00107953">
        <w:t>.</w:t>
      </w:r>
    </w:p>
    <w:p w14:paraId="3EA4FFC3" w14:textId="36F384D8" w:rsidR="00830BC6" w:rsidRPr="000D1568" w:rsidRDefault="00EB05A4" w:rsidP="00EB05A4">
      <w:pPr>
        <w:pStyle w:val="References"/>
        <w:numPr>
          <w:ilvl w:val="0"/>
          <w:numId w:val="14"/>
        </w:numPr>
      </w:pPr>
      <w:r w:rsidRPr="00107953">
        <w:t>S. F. Gregson, A. C. Newell and G. E. Hind</w:t>
      </w:r>
      <w:r>
        <w:t xml:space="preserve">man, "Reflection Suppression in </w:t>
      </w:r>
      <w:r w:rsidRPr="00107953">
        <w:t>cylindrical near-field measurements of electrically small antennas," 2009 Loughborough Antennas &amp; Propagation Conference, Loughborough, 2009, pp. 393-396.</w:t>
      </w:r>
    </w:p>
    <w:sectPr w:rsidR="00830BC6" w:rsidRPr="000D1568" w:rsidSect="00EB382F">
      <w:headerReference w:type="even" r:id="rId12"/>
      <w:headerReference w:type="default" r:id="rId13"/>
      <w:footerReference w:type="even" r:id="rId14"/>
      <w:footerReference w:type="default" r:id="rId15"/>
      <w:headerReference w:type="first" r:id="rId16"/>
      <w:footerReference w:type="first" r:id="rId17"/>
      <w:pgSz w:w="12240" w:h="15840"/>
      <w:pgMar w:top="1440" w:right="1440" w:bottom="1134"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E3FEA7" w14:textId="77777777" w:rsidR="00643573" w:rsidRDefault="00643573" w:rsidP="00D23B1E">
      <w:r>
        <w:separator/>
      </w:r>
    </w:p>
  </w:endnote>
  <w:endnote w:type="continuationSeparator" w:id="0">
    <w:p w14:paraId="5F8C55DF" w14:textId="77777777" w:rsidR="00643573" w:rsidRDefault="00643573" w:rsidP="00D23B1E">
      <w:r>
        <w:continuationSeparator/>
      </w:r>
    </w:p>
  </w:endnote>
  <w:endnote w:type="continuationNotice" w:id="1">
    <w:p w14:paraId="63DBAFAD" w14:textId="77777777" w:rsidR="00643573" w:rsidRDefault="0064357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SimSun">
    <w:panose1 w:val="02010600030101010101"/>
    <w:charset w:val="86"/>
    <w:family w:val="auto"/>
    <w:pitch w:val="variable"/>
    <w:sig w:usb0="00000003" w:usb1="288F0000" w:usb2="00000016" w:usb3="00000000" w:csb0="00040001"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Arial Black">
    <w:panose1 w:val="020B0A04020102020204"/>
    <w:charset w:val="00"/>
    <w:family w:val="auto"/>
    <w:pitch w:val="variable"/>
    <w:sig w:usb0="A00002AF" w:usb1="400078FB" w:usb2="00000000" w:usb3="00000000" w:csb0="0000009F" w:csb1="00000000"/>
  </w:font>
  <w:font w:name="Calibri">
    <w:panose1 w:val="020F0502020204030204"/>
    <w:charset w:val="00"/>
    <w:family w:val="auto"/>
    <w:pitch w:val="variable"/>
    <w:sig w:usb0="E00002FF" w:usb1="4000ACFF" w:usb2="00000001" w:usb3="00000000" w:csb0="0000019F" w:csb1="00000000"/>
  </w:font>
  <w:font w:name="MS Mincho">
    <w:panose1 w:val="02020609040205080304"/>
    <w:charset w:val="80"/>
    <w:family w:val="auto"/>
    <w:pitch w:val="variable"/>
    <w:sig w:usb0="E00002FF" w:usb1="6AC7FDFB" w:usb2="08000012" w:usb3="00000000" w:csb0="0002009F" w:csb1="00000000"/>
  </w:font>
  <w:font w:name="Segoe UI">
    <w:altName w:val="Calibri"/>
    <w:charset w:val="00"/>
    <w:family w:val="swiss"/>
    <w:pitch w:val="variable"/>
    <w:sig w:usb0="E10022FF" w:usb1="C000E47F" w:usb2="00000029" w:usb3="00000000" w:csb0="000001D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999B7" w14:textId="77777777" w:rsidR="0005069D" w:rsidRDefault="0005069D">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D95DE5" w14:textId="325B8B97" w:rsidR="003B6518" w:rsidRPr="000E7B1E" w:rsidRDefault="007A47FC" w:rsidP="00D23B1E">
    <w:pPr>
      <w:pStyle w:val="Footer"/>
    </w:pPr>
    <w:r>
      <w:rPr>
        <w:noProof w:val="0"/>
      </w:rPr>
      <w:t xml:space="preserve">Page </w:t>
    </w:r>
    <w:r>
      <w:rPr>
        <w:noProof w:val="0"/>
      </w:rPr>
      <w:fldChar w:fldCharType="begin"/>
    </w:r>
    <w:r>
      <w:instrText xml:space="preserve"> PAGE   \* MERGEFORMAT </w:instrText>
    </w:r>
    <w:r>
      <w:rPr>
        <w:noProof w:val="0"/>
      </w:rPr>
      <w:fldChar w:fldCharType="separate"/>
    </w:r>
    <w:r w:rsidR="00643573">
      <w:t>1</w:t>
    </w:r>
    <w: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1E09AC" w14:textId="77777777" w:rsidR="0005069D" w:rsidRDefault="0005069D">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9D3B43" w14:textId="77777777" w:rsidR="00643573" w:rsidRDefault="00643573" w:rsidP="00D23B1E">
      <w:r>
        <w:separator/>
      </w:r>
    </w:p>
  </w:footnote>
  <w:footnote w:type="continuationSeparator" w:id="0">
    <w:p w14:paraId="4FFFA03A" w14:textId="77777777" w:rsidR="00643573" w:rsidRDefault="00643573" w:rsidP="00D23B1E">
      <w:r>
        <w:continuationSeparator/>
      </w:r>
    </w:p>
  </w:footnote>
  <w:footnote w:type="continuationNotice" w:id="1">
    <w:p w14:paraId="0F58E70A" w14:textId="77777777" w:rsidR="00643573" w:rsidRDefault="00643573">
      <w:pPr>
        <w:spacing w:after="0" w:line="240" w:lineRule="auto"/>
      </w:pP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16FF62" w14:textId="77777777" w:rsidR="0005069D" w:rsidRDefault="0005069D">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35D7AE" w14:textId="77777777" w:rsidR="0005069D" w:rsidRDefault="0005069D">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A46F8" w14:textId="77777777" w:rsidR="0005069D" w:rsidRDefault="0005069D">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035423"/>
    <w:multiLevelType w:val="hybridMultilevel"/>
    <w:tmpl w:val="4A12F572"/>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E8404F2"/>
    <w:multiLevelType w:val="hybridMultilevel"/>
    <w:tmpl w:val="E60ACE0A"/>
    <w:lvl w:ilvl="0" w:tplc="47AABF10">
      <w:numFmt w:val="bullet"/>
      <w:lvlText w:val="•"/>
      <w:lvlJc w:val="left"/>
      <w:pPr>
        <w:ind w:left="1080" w:hanging="72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E881B11"/>
    <w:multiLevelType w:val="hybridMultilevel"/>
    <w:tmpl w:val="DBAAC37E"/>
    <w:lvl w:ilvl="0" w:tplc="8766DBF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2A234136"/>
    <w:multiLevelType w:val="hybridMultilevel"/>
    <w:tmpl w:val="E460D036"/>
    <w:lvl w:ilvl="0" w:tplc="47AABF10">
      <w:numFmt w:val="bullet"/>
      <w:lvlText w:val="•"/>
      <w:lvlJc w:val="left"/>
      <w:pPr>
        <w:ind w:left="1080" w:hanging="72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2BBA4488"/>
    <w:multiLevelType w:val="hybridMultilevel"/>
    <w:tmpl w:val="44DAE392"/>
    <w:lvl w:ilvl="0" w:tplc="47AABF10">
      <w:numFmt w:val="bullet"/>
      <w:lvlText w:val="•"/>
      <w:lvlJc w:val="left"/>
      <w:pPr>
        <w:ind w:left="1080" w:hanging="72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F6415D7"/>
    <w:multiLevelType w:val="hybridMultilevel"/>
    <w:tmpl w:val="0B1A258A"/>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8">
    <w:nsid w:val="526A72F8"/>
    <w:multiLevelType w:val="hybridMultilevel"/>
    <w:tmpl w:val="9C5C0CBE"/>
    <w:lvl w:ilvl="0" w:tplc="E68C3C9C">
      <w:numFmt w:val="bullet"/>
      <w:pStyle w:val="Bullet1"/>
      <w:lvlText w:val="•"/>
      <w:lvlJc w:val="left"/>
      <w:pPr>
        <w:ind w:left="720" w:hanging="360"/>
      </w:pPr>
      <w:rPr>
        <w:rFonts w:ascii="Arial" w:eastAsia="SimSun" w:hAnsi="Arial" w:cs="Arial" w:hint="default"/>
      </w:rPr>
    </w:lvl>
    <w:lvl w:ilvl="1" w:tplc="53D0B428">
      <w:start w:val="1"/>
      <w:numFmt w:val="bullet"/>
      <w:pStyle w:val="Bullet2"/>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54C555A5"/>
    <w:multiLevelType w:val="hybridMultilevel"/>
    <w:tmpl w:val="CC20A2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58271AB1"/>
    <w:multiLevelType w:val="hybridMultilevel"/>
    <w:tmpl w:val="A96E6C9A"/>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60DB70AC"/>
    <w:multiLevelType w:val="hybridMultilevel"/>
    <w:tmpl w:val="8A4867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6BF55CD7"/>
    <w:multiLevelType w:val="hybridMultilevel"/>
    <w:tmpl w:val="B680D290"/>
    <w:lvl w:ilvl="0" w:tplc="47AABF10">
      <w:numFmt w:val="bullet"/>
      <w:lvlText w:val="•"/>
      <w:lvlJc w:val="left"/>
      <w:pPr>
        <w:ind w:left="1080" w:hanging="72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7FCD30D7"/>
    <w:multiLevelType w:val="hybridMultilevel"/>
    <w:tmpl w:val="2B4A0774"/>
    <w:lvl w:ilvl="0" w:tplc="B6F8BDAE">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7"/>
  </w:num>
  <w:num w:numId="2">
    <w:abstractNumId w:val="13"/>
  </w:num>
  <w:num w:numId="3">
    <w:abstractNumId w:val="3"/>
  </w:num>
  <w:num w:numId="4">
    <w:abstractNumId w:val="6"/>
  </w:num>
  <w:num w:numId="5">
    <w:abstractNumId w:val="0"/>
  </w:num>
  <w:num w:numId="6">
    <w:abstractNumId w:val="3"/>
  </w:num>
  <w:num w:numId="7">
    <w:abstractNumId w:val="10"/>
  </w:num>
  <w:num w:numId="8">
    <w:abstractNumId w:val="9"/>
  </w:num>
  <w:num w:numId="9">
    <w:abstractNumId w:val="5"/>
  </w:num>
  <w:num w:numId="10">
    <w:abstractNumId w:val="12"/>
  </w:num>
  <w:num w:numId="11">
    <w:abstractNumId w:val="4"/>
  </w:num>
  <w:num w:numId="12">
    <w:abstractNumId w:val="1"/>
  </w:num>
  <w:num w:numId="13">
    <w:abstractNumId w:val="8"/>
  </w:num>
  <w:num w:numId="14">
    <w:abstractNumId w:val="2"/>
  </w:num>
  <w:num w:numId="15">
    <w:abstractNumId w:val="11"/>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3"/>
  <w:removePersonalInformation/>
  <w:removeDateAndTime/>
  <w:defaultTabStop w:val="720"/>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382F"/>
    <w:rsid w:val="0001112B"/>
    <w:rsid w:val="000453BB"/>
    <w:rsid w:val="000463D5"/>
    <w:rsid w:val="0005069D"/>
    <w:rsid w:val="00056882"/>
    <w:rsid w:val="00060119"/>
    <w:rsid w:val="00097BFA"/>
    <w:rsid w:val="000B186F"/>
    <w:rsid w:val="000C0271"/>
    <w:rsid w:val="000C410A"/>
    <w:rsid w:val="000C4C08"/>
    <w:rsid w:val="000D1568"/>
    <w:rsid w:val="000F10D4"/>
    <w:rsid w:val="00107953"/>
    <w:rsid w:val="00115892"/>
    <w:rsid w:val="001263E4"/>
    <w:rsid w:val="00136CA1"/>
    <w:rsid w:val="001627D0"/>
    <w:rsid w:val="00172F22"/>
    <w:rsid w:val="00177581"/>
    <w:rsid w:val="001B756C"/>
    <w:rsid w:val="001F05BF"/>
    <w:rsid w:val="00204669"/>
    <w:rsid w:val="002052FA"/>
    <w:rsid w:val="00210491"/>
    <w:rsid w:val="00210EB7"/>
    <w:rsid w:val="00212372"/>
    <w:rsid w:val="00215F07"/>
    <w:rsid w:val="00227609"/>
    <w:rsid w:val="00277804"/>
    <w:rsid w:val="00290996"/>
    <w:rsid w:val="002A0566"/>
    <w:rsid w:val="002A77B4"/>
    <w:rsid w:val="002C49F2"/>
    <w:rsid w:val="002C6CB7"/>
    <w:rsid w:val="002D7F3A"/>
    <w:rsid w:val="002E2578"/>
    <w:rsid w:val="002E3C03"/>
    <w:rsid w:val="002E679B"/>
    <w:rsid w:val="0030589F"/>
    <w:rsid w:val="0035288B"/>
    <w:rsid w:val="00360DCA"/>
    <w:rsid w:val="00361C28"/>
    <w:rsid w:val="00364A46"/>
    <w:rsid w:val="003757AB"/>
    <w:rsid w:val="00387B48"/>
    <w:rsid w:val="00394AD3"/>
    <w:rsid w:val="00395940"/>
    <w:rsid w:val="003B7E4D"/>
    <w:rsid w:val="004236B7"/>
    <w:rsid w:val="00431CFC"/>
    <w:rsid w:val="00444545"/>
    <w:rsid w:val="00467545"/>
    <w:rsid w:val="004850D6"/>
    <w:rsid w:val="004B44A5"/>
    <w:rsid w:val="004B6896"/>
    <w:rsid w:val="004F19E3"/>
    <w:rsid w:val="005016C4"/>
    <w:rsid w:val="00501BE3"/>
    <w:rsid w:val="00506957"/>
    <w:rsid w:val="005335F4"/>
    <w:rsid w:val="00541541"/>
    <w:rsid w:val="00547720"/>
    <w:rsid w:val="00577E73"/>
    <w:rsid w:val="00583766"/>
    <w:rsid w:val="005B39D7"/>
    <w:rsid w:val="005C61AB"/>
    <w:rsid w:val="005C753F"/>
    <w:rsid w:val="006360C0"/>
    <w:rsid w:val="00643573"/>
    <w:rsid w:val="00672926"/>
    <w:rsid w:val="00680C70"/>
    <w:rsid w:val="00684C1A"/>
    <w:rsid w:val="00684CBA"/>
    <w:rsid w:val="00692FCA"/>
    <w:rsid w:val="006A3824"/>
    <w:rsid w:val="006E38F5"/>
    <w:rsid w:val="006F2F98"/>
    <w:rsid w:val="006F6FFA"/>
    <w:rsid w:val="00713C56"/>
    <w:rsid w:val="007266D6"/>
    <w:rsid w:val="00747DA2"/>
    <w:rsid w:val="00750218"/>
    <w:rsid w:val="00777E25"/>
    <w:rsid w:val="00780AAD"/>
    <w:rsid w:val="007A47FC"/>
    <w:rsid w:val="007F424D"/>
    <w:rsid w:val="007F4A60"/>
    <w:rsid w:val="00830BC6"/>
    <w:rsid w:val="00834319"/>
    <w:rsid w:val="00834C84"/>
    <w:rsid w:val="00845970"/>
    <w:rsid w:val="0087093A"/>
    <w:rsid w:val="008724B3"/>
    <w:rsid w:val="00886661"/>
    <w:rsid w:val="008F176A"/>
    <w:rsid w:val="008F79E1"/>
    <w:rsid w:val="00906150"/>
    <w:rsid w:val="00910E83"/>
    <w:rsid w:val="00911643"/>
    <w:rsid w:val="00923999"/>
    <w:rsid w:val="00932D08"/>
    <w:rsid w:val="00934FDA"/>
    <w:rsid w:val="00940E5A"/>
    <w:rsid w:val="00947456"/>
    <w:rsid w:val="0095029F"/>
    <w:rsid w:val="00980DEA"/>
    <w:rsid w:val="009814DB"/>
    <w:rsid w:val="00996EFC"/>
    <w:rsid w:val="009A09C8"/>
    <w:rsid w:val="009D4EFD"/>
    <w:rsid w:val="00A052BE"/>
    <w:rsid w:val="00A1268C"/>
    <w:rsid w:val="00A67CA1"/>
    <w:rsid w:val="00A736A2"/>
    <w:rsid w:val="00A9544C"/>
    <w:rsid w:val="00AA1C46"/>
    <w:rsid w:val="00AA238D"/>
    <w:rsid w:val="00AC0737"/>
    <w:rsid w:val="00AC6A12"/>
    <w:rsid w:val="00B05AE4"/>
    <w:rsid w:val="00B23C5A"/>
    <w:rsid w:val="00B44C17"/>
    <w:rsid w:val="00B46A2A"/>
    <w:rsid w:val="00B90796"/>
    <w:rsid w:val="00BD2C5C"/>
    <w:rsid w:val="00BF0DCD"/>
    <w:rsid w:val="00C23901"/>
    <w:rsid w:val="00C24867"/>
    <w:rsid w:val="00C30CEB"/>
    <w:rsid w:val="00C375F4"/>
    <w:rsid w:val="00C42C56"/>
    <w:rsid w:val="00C51448"/>
    <w:rsid w:val="00C56232"/>
    <w:rsid w:val="00C66C86"/>
    <w:rsid w:val="00C73D3D"/>
    <w:rsid w:val="00C81253"/>
    <w:rsid w:val="00C93197"/>
    <w:rsid w:val="00CE49A8"/>
    <w:rsid w:val="00D06B43"/>
    <w:rsid w:val="00D07E5D"/>
    <w:rsid w:val="00D156F6"/>
    <w:rsid w:val="00D20E74"/>
    <w:rsid w:val="00D23B1E"/>
    <w:rsid w:val="00D53922"/>
    <w:rsid w:val="00D67186"/>
    <w:rsid w:val="00D86762"/>
    <w:rsid w:val="00D96ACB"/>
    <w:rsid w:val="00D97706"/>
    <w:rsid w:val="00DA3F49"/>
    <w:rsid w:val="00DC2B14"/>
    <w:rsid w:val="00DD3341"/>
    <w:rsid w:val="00DD6BA0"/>
    <w:rsid w:val="00DF169D"/>
    <w:rsid w:val="00E0735A"/>
    <w:rsid w:val="00E17666"/>
    <w:rsid w:val="00E2760A"/>
    <w:rsid w:val="00E3405C"/>
    <w:rsid w:val="00E37E35"/>
    <w:rsid w:val="00E70EC4"/>
    <w:rsid w:val="00E75B28"/>
    <w:rsid w:val="00E95328"/>
    <w:rsid w:val="00EB05A4"/>
    <w:rsid w:val="00EB382F"/>
    <w:rsid w:val="00ED13F0"/>
    <w:rsid w:val="00F13647"/>
    <w:rsid w:val="00F22487"/>
    <w:rsid w:val="00F81890"/>
    <w:rsid w:val="00F827CA"/>
    <w:rsid w:val="00F82F57"/>
    <w:rsid w:val="00F974AD"/>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FB008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D23B1E"/>
    <w:pPr>
      <w:spacing w:after="200" w:line="276" w:lineRule="auto"/>
      <w:jc w:val="both"/>
    </w:pPr>
    <w:rPr>
      <w:rFonts w:ascii="Arial" w:eastAsia="SimSun" w:hAnsi="Arial" w:cs="Arial"/>
    </w:rPr>
  </w:style>
  <w:style w:type="paragraph" w:styleId="Heading1">
    <w:name w:val="heading 1"/>
    <w:aliases w:val="H1"/>
    <w:next w:val="Normal"/>
    <w:link w:val="Heading1Char"/>
    <w:qFormat/>
    <w:rsid w:val="00EB382F"/>
    <w:pPr>
      <w:keepNext/>
      <w:keepLines/>
      <w:numPr>
        <w:numId w:val="1"/>
      </w:numPr>
      <w:pBdr>
        <w:top w:val="single" w:sz="12" w:space="3" w:color="auto"/>
      </w:pBdr>
      <w:spacing w:before="240" w:after="180" w:line="240" w:lineRule="auto"/>
      <w:outlineLvl w:val="0"/>
    </w:pPr>
    <w:rPr>
      <w:rFonts w:ascii="Arial" w:eastAsia="SimSun" w:hAnsi="Arial" w:cs="Times New Roman"/>
      <w:b/>
      <w:sz w:val="28"/>
      <w:szCs w:val="20"/>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EB382F"/>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EB382F"/>
    <w:pPr>
      <w:numPr>
        <w:ilvl w:val="2"/>
      </w:numPr>
      <w:spacing w:before="120"/>
      <w:outlineLvl w:val="2"/>
    </w:pPr>
    <w:rPr>
      <w:b w:val="0"/>
    </w:rPr>
  </w:style>
  <w:style w:type="paragraph" w:styleId="Heading4">
    <w:name w:val="heading 4"/>
    <w:aliases w:val="h4"/>
    <w:basedOn w:val="Heading3"/>
    <w:next w:val="Normal"/>
    <w:link w:val="Heading4Char"/>
    <w:qFormat/>
    <w:rsid w:val="00EB382F"/>
    <w:pPr>
      <w:numPr>
        <w:ilvl w:val="3"/>
      </w:numPr>
      <w:outlineLvl w:val="3"/>
    </w:pPr>
    <w:rPr>
      <w:szCs w:val="20"/>
      <w:lang w:val="en-GB"/>
    </w:rPr>
  </w:style>
  <w:style w:type="paragraph" w:styleId="Heading5">
    <w:name w:val="heading 5"/>
    <w:aliases w:val="h5,Heading5"/>
    <w:basedOn w:val="Heading4"/>
    <w:next w:val="Normal"/>
    <w:link w:val="Heading5Char"/>
    <w:qFormat/>
    <w:rsid w:val="00EB382F"/>
    <w:pPr>
      <w:numPr>
        <w:ilvl w:val="5"/>
      </w:numPr>
      <w:outlineLvl w:val="4"/>
    </w:pPr>
    <w:rPr>
      <w:sz w:val="20"/>
    </w:rPr>
  </w:style>
  <w:style w:type="paragraph" w:styleId="Heading7">
    <w:name w:val="heading 7"/>
    <w:basedOn w:val="Normal"/>
    <w:next w:val="Normal"/>
    <w:link w:val="Heading7Char"/>
    <w:qFormat/>
    <w:rsid w:val="00EB382F"/>
    <w:pPr>
      <w:keepNext/>
      <w:keepLines/>
      <w:numPr>
        <w:ilvl w:val="6"/>
        <w:numId w:val="1"/>
      </w:numPr>
      <w:spacing w:before="120" w:after="180" w:line="240" w:lineRule="auto"/>
      <w:outlineLvl w:val="6"/>
    </w:pPr>
    <w:rPr>
      <w:rFonts w:cs="Times New Roman"/>
      <w:sz w:val="20"/>
      <w:szCs w:val="20"/>
      <w:lang w:val="en-GB"/>
    </w:rPr>
  </w:style>
  <w:style w:type="paragraph" w:styleId="Heading8">
    <w:name w:val="heading 8"/>
    <w:basedOn w:val="Heading1"/>
    <w:next w:val="Normal"/>
    <w:link w:val="Heading8Char"/>
    <w:qFormat/>
    <w:rsid w:val="00EB382F"/>
    <w:pPr>
      <w:numPr>
        <w:ilvl w:val="7"/>
      </w:numPr>
      <w:outlineLvl w:val="7"/>
    </w:pPr>
    <w:rPr>
      <w:b w:val="0"/>
      <w:sz w:val="36"/>
    </w:rPr>
  </w:style>
  <w:style w:type="paragraph" w:styleId="Heading9">
    <w:name w:val="heading 9"/>
    <w:basedOn w:val="Heading8"/>
    <w:next w:val="Normal"/>
    <w:link w:val="Heading9Char"/>
    <w:qFormat/>
    <w:rsid w:val="00EB382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EB382F"/>
    <w:rPr>
      <w:rFonts w:ascii="Arial" w:eastAsia="SimSun" w:hAnsi="Arial" w:cs="Times New Roman"/>
      <w:b/>
      <w:sz w:val="28"/>
      <w:szCs w:val="20"/>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EB382F"/>
    <w:rPr>
      <w:rFonts w:ascii="Arial" w:eastAsia="SimSun" w:hAnsi="Arial" w:cs="Times New Roman"/>
      <w:b/>
      <w:sz w:val="24"/>
      <w:szCs w:val="24"/>
      <w:lang w:val="x-none"/>
    </w:rPr>
  </w:style>
  <w:style w:type="character" w:customStyle="1" w:styleId="Heading3Char">
    <w:name w:val="Heading 3 Char"/>
    <w:basedOn w:val="DefaultParagraphFont"/>
    <w:link w:val="Heading3"/>
    <w:rsid w:val="00EB382F"/>
    <w:rPr>
      <w:rFonts w:ascii="Arial" w:eastAsia="SimSun" w:hAnsi="Arial" w:cs="Times New Roman"/>
      <w:sz w:val="24"/>
      <w:szCs w:val="24"/>
      <w:lang w:val="x-none"/>
    </w:rPr>
  </w:style>
  <w:style w:type="character" w:customStyle="1" w:styleId="Heading4Char">
    <w:name w:val="Heading 4 Char"/>
    <w:aliases w:val="h4 Char"/>
    <w:basedOn w:val="DefaultParagraphFont"/>
    <w:link w:val="Heading4"/>
    <w:rsid w:val="00EB382F"/>
    <w:rPr>
      <w:rFonts w:ascii="Arial" w:eastAsia="SimSun" w:hAnsi="Arial" w:cs="Times New Roman"/>
      <w:sz w:val="24"/>
      <w:szCs w:val="20"/>
      <w:lang w:val="en-GB"/>
    </w:rPr>
  </w:style>
  <w:style w:type="character" w:customStyle="1" w:styleId="Heading5Char">
    <w:name w:val="Heading 5 Char"/>
    <w:aliases w:val="h5 Char,Heading5 Char"/>
    <w:basedOn w:val="DefaultParagraphFont"/>
    <w:link w:val="Heading5"/>
    <w:rsid w:val="00EB382F"/>
    <w:rPr>
      <w:rFonts w:ascii="Arial" w:eastAsia="SimSun" w:hAnsi="Arial" w:cs="Times New Roman"/>
      <w:sz w:val="20"/>
      <w:szCs w:val="20"/>
      <w:lang w:val="en-GB"/>
    </w:rPr>
  </w:style>
  <w:style w:type="character" w:customStyle="1" w:styleId="Heading7Char">
    <w:name w:val="Heading 7 Char"/>
    <w:basedOn w:val="DefaultParagraphFont"/>
    <w:link w:val="Heading7"/>
    <w:rsid w:val="00EB382F"/>
    <w:rPr>
      <w:rFonts w:ascii="Arial" w:eastAsia="SimSun" w:hAnsi="Arial" w:cs="Times New Roman"/>
      <w:sz w:val="20"/>
      <w:szCs w:val="20"/>
      <w:lang w:val="en-GB"/>
    </w:rPr>
  </w:style>
  <w:style w:type="character" w:customStyle="1" w:styleId="Heading8Char">
    <w:name w:val="Heading 8 Char"/>
    <w:basedOn w:val="DefaultParagraphFont"/>
    <w:link w:val="Heading8"/>
    <w:rsid w:val="00EB382F"/>
    <w:rPr>
      <w:rFonts w:ascii="Arial" w:eastAsia="SimSun" w:hAnsi="Arial" w:cs="Times New Roman"/>
      <w:sz w:val="36"/>
      <w:szCs w:val="20"/>
      <w:lang w:val="en-GB"/>
    </w:rPr>
  </w:style>
  <w:style w:type="character" w:customStyle="1" w:styleId="Heading9Char">
    <w:name w:val="Heading 9 Char"/>
    <w:basedOn w:val="DefaultParagraphFont"/>
    <w:link w:val="Heading9"/>
    <w:rsid w:val="00EB382F"/>
    <w:rPr>
      <w:rFonts w:ascii="Arial" w:eastAsia="SimSun" w:hAnsi="Arial" w:cs="Times New Roman"/>
      <w:sz w:val="36"/>
      <w:szCs w:val="20"/>
      <w:lang w:val="en-GB"/>
    </w:rPr>
  </w:style>
  <w:style w:type="table" w:styleId="TableGrid">
    <w:name w:val="Table Grid"/>
    <w:basedOn w:val="TableNormal"/>
    <w:uiPriority w:val="59"/>
    <w:rsid w:val="00EB382F"/>
    <w:pPr>
      <w:spacing w:after="0" w:line="240" w:lineRule="auto"/>
    </w:pPr>
    <w:rPr>
      <w:rFonts w:ascii="Calibri" w:eastAsia="SimSun" w:hAnsi="Calibri" w:cs="Times New Roman"/>
      <w:sz w:val="20"/>
      <w:szCs w:val="20"/>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Header"/>
    <w:link w:val="FooterChar"/>
    <w:uiPriority w:val="99"/>
    <w:rsid w:val="00EB382F"/>
    <w:pPr>
      <w:widowControl w:val="0"/>
      <w:tabs>
        <w:tab w:val="clear" w:pos="4680"/>
        <w:tab w:val="clear" w:pos="9360"/>
      </w:tabs>
      <w:overflowPunct w:val="0"/>
      <w:autoSpaceDE w:val="0"/>
      <w:autoSpaceDN w:val="0"/>
      <w:adjustRightInd w:val="0"/>
      <w:jc w:val="center"/>
      <w:textAlignment w:val="baseline"/>
    </w:pPr>
    <w:rPr>
      <w:rFonts w:eastAsia="MS Mincho" w:cs="Times New Roman"/>
      <w:b/>
      <w:i/>
      <w:noProof/>
      <w:sz w:val="18"/>
      <w:szCs w:val="20"/>
      <w:lang w:val="en-GB"/>
    </w:rPr>
  </w:style>
  <w:style w:type="character" w:customStyle="1" w:styleId="FooterChar">
    <w:name w:val="Footer Char"/>
    <w:basedOn w:val="DefaultParagraphFont"/>
    <w:link w:val="Footer"/>
    <w:uiPriority w:val="99"/>
    <w:rsid w:val="00EB382F"/>
    <w:rPr>
      <w:rFonts w:ascii="Arial" w:eastAsia="MS Mincho" w:hAnsi="Arial" w:cs="Times New Roman"/>
      <w:b/>
      <w:i/>
      <w:noProof/>
      <w:sz w:val="18"/>
      <w:szCs w:val="20"/>
      <w:lang w:val="en-GB"/>
    </w:rPr>
  </w:style>
  <w:style w:type="paragraph" w:styleId="ListParagraph">
    <w:name w:val="List Paragraph"/>
    <w:basedOn w:val="Normal"/>
    <w:uiPriority w:val="34"/>
    <w:unhideWhenUsed/>
    <w:rsid w:val="00EB382F"/>
    <w:pPr>
      <w:numPr>
        <w:numId w:val="3"/>
      </w:numPr>
      <w:tabs>
        <w:tab w:val="left" w:pos="425"/>
      </w:tabs>
      <w:spacing w:after="120" w:line="271" w:lineRule="auto"/>
    </w:pPr>
    <w:rPr>
      <w:rFonts w:asciiTheme="minorHAnsi" w:eastAsiaTheme="minorHAnsi" w:hAnsiTheme="minorHAnsi" w:cstheme="minorBidi"/>
      <w:sz w:val="20"/>
      <w:szCs w:val="20"/>
      <w:lang w:val="de-DE"/>
    </w:rPr>
  </w:style>
  <w:style w:type="paragraph" w:styleId="Header">
    <w:name w:val="header"/>
    <w:basedOn w:val="Normal"/>
    <w:link w:val="HeaderChar"/>
    <w:uiPriority w:val="99"/>
    <w:unhideWhenUsed/>
    <w:rsid w:val="00EB382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382F"/>
    <w:rPr>
      <w:rFonts w:ascii="Arial" w:eastAsia="SimSun" w:hAnsi="Arial" w:cs="Arial"/>
      <w:lang w:eastAsia="zh-CN"/>
    </w:rPr>
  </w:style>
  <w:style w:type="paragraph" w:styleId="BalloonText">
    <w:name w:val="Balloon Text"/>
    <w:basedOn w:val="Normal"/>
    <w:link w:val="BalloonTextChar"/>
    <w:uiPriority w:val="99"/>
    <w:semiHidden/>
    <w:unhideWhenUsed/>
    <w:rsid w:val="00097BF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97BFA"/>
    <w:rPr>
      <w:rFonts w:ascii="Segoe UI" w:eastAsia="SimSun" w:hAnsi="Segoe UI" w:cs="Segoe UI"/>
      <w:sz w:val="18"/>
      <w:szCs w:val="18"/>
      <w:lang w:eastAsia="zh-CN"/>
    </w:rPr>
  </w:style>
  <w:style w:type="character" w:styleId="PlaceholderText">
    <w:name w:val="Placeholder Text"/>
    <w:basedOn w:val="DefaultParagraphFont"/>
    <w:uiPriority w:val="99"/>
    <w:semiHidden/>
    <w:rsid w:val="005C753F"/>
    <w:rPr>
      <w:color w:val="808080"/>
    </w:rPr>
  </w:style>
  <w:style w:type="paragraph" w:styleId="Caption">
    <w:name w:val="caption"/>
    <w:basedOn w:val="Normal"/>
    <w:next w:val="Normal"/>
    <w:uiPriority w:val="35"/>
    <w:unhideWhenUsed/>
    <w:qFormat/>
    <w:rsid w:val="000453BB"/>
    <w:pPr>
      <w:spacing w:line="240" w:lineRule="auto"/>
    </w:pPr>
    <w:rPr>
      <w:i/>
      <w:iCs/>
      <w:color w:val="44546A" w:themeColor="text2"/>
      <w:sz w:val="18"/>
      <w:szCs w:val="18"/>
    </w:rPr>
  </w:style>
  <w:style w:type="paragraph" w:customStyle="1" w:styleId="Bullet1">
    <w:name w:val="Bullet 1"/>
    <w:basedOn w:val="Normal"/>
    <w:link w:val="Bullet1Char"/>
    <w:qFormat/>
    <w:rsid w:val="00AC0737"/>
    <w:pPr>
      <w:numPr>
        <w:numId w:val="13"/>
      </w:numPr>
    </w:pPr>
    <w:rPr>
      <w:lang w:val="en-GB" w:eastAsia="zh-CN"/>
    </w:rPr>
  </w:style>
  <w:style w:type="paragraph" w:customStyle="1" w:styleId="Bullet2">
    <w:name w:val="Bullet 2"/>
    <w:basedOn w:val="Bullet1"/>
    <w:link w:val="Bullet2Char"/>
    <w:qFormat/>
    <w:rsid w:val="00AC0737"/>
    <w:pPr>
      <w:numPr>
        <w:ilvl w:val="1"/>
      </w:numPr>
    </w:pPr>
  </w:style>
  <w:style w:type="character" w:customStyle="1" w:styleId="Bullet1Char">
    <w:name w:val="Bullet 1 Char"/>
    <w:basedOn w:val="DefaultParagraphFont"/>
    <w:link w:val="Bullet1"/>
    <w:rsid w:val="00AC0737"/>
    <w:rPr>
      <w:rFonts w:ascii="Arial" w:eastAsia="SimSun" w:hAnsi="Arial" w:cs="Arial"/>
      <w:lang w:val="en-GB" w:eastAsia="zh-CN"/>
    </w:rPr>
  </w:style>
  <w:style w:type="paragraph" w:customStyle="1" w:styleId="References">
    <w:name w:val="References"/>
    <w:basedOn w:val="Normal"/>
    <w:link w:val="ReferencesChar"/>
    <w:qFormat/>
    <w:rsid w:val="00672926"/>
  </w:style>
  <w:style w:type="character" w:customStyle="1" w:styleId="Bullet2Char">
    <w:name w:val="Bullet 2 Char"/>
    <w:basedOn w:val="Bullet1Char"/>
    <w:link w:val="Bullet2"/>
    <w:rsid w:val="00AC0737"/>
    <w:rPr>
      <w:rFonts w:ascii="Arial" w:eastAsia="SimSun" w:hAnsi="Arial" w:cs="Arial"/>
      <w:lang w:val="en-GB" w:eastAsia="zh-CN"/>
    </w:rPr>
  </w:style>
  <w:style w:type="character" w:customStyle="1" w:styleId="ReferencesChar">
    <w:name w:val="References Char"/>
    <w:basedOn w:val="DefaultParagraphFont"/>
    <w:link w:val="References"/>
    <w:rsid w:val="00672926"/>
    <w:rPr>
      <w:rFonts w:ascii="Arial" w:eastAsia="SimSun" w:hAnsi="Arial" w:cs="Arial"/>
    </w:rPr>
  </w:style>
  <w:style w:type="character" w:styleId="CommentReference">
    <w:name w:val="annotation reference"/>
    <w:basedOn w:val="DefaultParagraphFont"/>
    <w:uiPriority w:val="99"/>
    <w:semiHidden/>
    <w:unhideWhenUsed/>
    <w:rsid w:val="00F974AD"/>
    <w:rPr>
      <w:sz w:val="18"/>
      <w:szCs w:val="18"/>
    </w:rPr>
  </w:style>
  <w:style w:type="paragraph" w:styleId="CommentText">
    <w:name w:val="annotation text"/>
    <w:basedOn w:val="Normal"/>
    <w:link w:val="CommentTextChar"/>
    <w:uiPriority w:val="99"/>
    <w:semiHidden/>
    <w:unhideWhenUsed/>
    <w:rsid w:val="00F974AD"/>
    <w:pPr>
      <w:spacing w:line="240" w:lineRule="auto"/>
    </w:pPr>
    <w:rPr>
      <w:sz w:val="24"/>
      <w:szCs w:val="24"/>
    </w:rPr>
  </w:style>
  <w:style w:type="character" w:customStyle="1" w:styleId="CommentTextChar">
    <w:name w:val="Comment Text Char"/>
    <w:basedOn w:val="DefaultParagraphFont"/>
    <w:link w:val="CommentText"/>
    <w:uiPriority w:val="99"/>
    <w:semiHidden/>
    <w:rsid w:val="00F974AD"/>
    <w:rPr>
      <w:rFonts w:ascii="Arial" w:eastAsia="SimSun" w:hAnsi="Arial" w:cs="Arial"/>
      <w:sz w:val="24"/>
      <w:szCs w:val="24"/>
    </w:rPr>
  </w:style>
  <w:style w:type="paragraph" w:styleId="CommentSubject">
    <w:name w:val="annotation subject"/>
    <w:basedOn w:val="CommentText"/>
    <w:next w:val="CommentText"/>
    <w:link w:val="CommentSubjectChar"/>
    <w:uiPriority w:val="99"/>
    <w:semiHidden/>
    <w:unhideWhenUsed/>
    <w:rsid w:val="00F974AD"/>
    <w:rPr>
      <w:b/>
      <w:bCs/>
      <w:sz w:val="20"/>
      <w:szCs w:val="20"/>
    </w:rPr>
  </w:style>
  <w:style w:type="character" w:customStyle="1" w:styleId="CommentSubjectChar">
    <w:name w:val="Comment Subject Char"/>
    <w:basedOn w:val="CommentTextChar"/>
    <w:link w:val="CommentSubject"/>
    <w:uiPriority w:val="99"/>
    <w:semiHidden/>
    <w:rsid w:val="00F974AD"/>
    <w:rPr>
      <w:rFonts w:ascii="Arial" w:eastAsia="SimSun" w:hAnsi="Arial" w:cs="Arial"/>
      <w:b/>
      <w:bCs/>
      <w:sz w:val="20"/>
      <w:szCs w:val="20"/>
    </w:rPr>
  </w:style>
  <w:style w:type="character" w:customStyle="1" w:styleId="apple-converted-space">
    <w:name w:val="apple-converted-space"/>
    <w:basedOn w:val="DefaultParagraphFont"/>
    <w:rsid w:val="00204669"/>
  </w:style>
  <w:style w:type="character" w:styleId="Emphasis">
    <w:name w:val="Emphasis"/>
    <w:basedOn w:val="DefaultParagraphFont"/>
    <w:uiPriority w:val="20"/>
    <w:qFormat/>
    <w:rsid w:val="0020466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9346655">
      <w:bodyDiv w:val="1"/>
      <w:marLeft w:val="0"/>
      <w:marRight w:val="0"/>
      <w:marTop w:val="0"/>
      <w:marBottom w:val="0"/>
      <w:divBdr>
        <w:top w:val="none" w:sz="0" w:space="0" w:color="auto"/>
        <w:left w:val="none" w:sz="0" w:space="0" w:color="auto"/>
        <w:bottom w:val="none" w:sz="0" w:space="0" w:color="auto"/>
        <w:right w:val="none" w:sz="0" w:space="0" w:color="auto"/>
      </w:divBdr>
    </w:div>
    <w:div w:id="1892962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tiff"/><Relationship Id="rId12" Type="http://schemas.openxmlformats.org/officeDocument/2006/relationships/header" Target="header1.xml"/><Relationship Id="rId13" Type="http://schemas.openxmlformats.org/officeDocument/2006/relationships/header" Target="header2.xml"/><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header" Target="header3.xml"/><Relationship Id="rId17" Type="http://schemas.openxmlformats.org/officeDocument/2006/relationships/footer" Target="footer3.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tiff"/><Relationship Id="rId10"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2.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5DCC0A8-45A0-8448-AA09-8EC969AA664B}">
  <ds:schemaRefs>
    <ds:schemaRef ds:uri="http://schemas.openxmlformats.org/officeDocument/2006/bibliography"/>
  </ds:schemaRefs>
</ds:datastoreItem>
</file>

<file path=customXml/itemProps2.xml><?xml version="1.0" encoding="utf-8"?>
<ds:datastoreItem xmlns:ds="http://schemas.openxmlformats.org/officeDocument/2006/customXml" ds:itemID="{A16A72CF-041A-3942-AFD4-1425A5F84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1925</Words>
  <Characters>10979</Characters>
  <Application>Microsoft Macintosh Word</Application>
  <DocSecurity>0</DocSecurity>
  <Lines>91</Lines>
  <Paragraphs>25</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
      <vt:lpstr>Introduction</vt:lpstr>
      <vt:lpstr>Rationale</vt:lpstr>
      <vt:lpstr>    Definition of Center-of-Radiation-Reference-Point</vt:lpstr>
      <vt:lpstr>    Relation of CORRP to external features of the DUT</vt:lpstr>
      <vt:lpstr>Conclusion</vt:lpstr>
      <vt:lpstr>References</vt:lpstr>
    </vt:vector>
  </TitlesOfParts>
  <Company/>
  <LinksUpToDate>false</LinksUpToDate>
  <CharactersWithSpaces>12879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2017-06-19T15:30:00Z</dcterms:created>
  <dcterms:modified xsi:type="dcterms:W3CDTF">2017-06-19T16:07:00Z</dcterms:modified>
</cp:coreProperties>
</file>