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F94460">
        <w:rPr>
          <w:rFonts w:ascii="Arial" w:hAnsi="Arial" w:cs="Arial"/>
          <w:b/>
          <w:noProof/>
          <w:sz w:val="24"/>
          <w:lang w:val="de-DE"/>
        </w:rPr>
        <w:t>TSG-RAN WG4 NR AH Meeting</w:t>
      </w:r>
      <w:r w:rsidR="004D6AFB">
        <w:rPr>
          <w:rFonts w:ascii="Arial" w:hAnsi="Arial" w:cs="Arial"/>
          <w:b/>
          <w:noProof/>
          <w:sz w:val="24"/>
          <w:lang w:val="de-DE"/>
        </w:rPr>
        <w:tab/>
      </w:r>
      <w:bookmarkStart w:id="0" w:name="_GoBack"/>
      <w:bookmarkEnd w:id="0"/>
      <w:r>
        <w:rPr>
          <w:rFonts w:ascii="Arial" w:hAnsi="Arial" w:cs="Arial"/>
          <w:b/>
          <w:noProof/>
          <w:sz w:val="24"/>
          <w:lang w:val="de-DE"/>
        </w:rPr>
        <w:t>R4-</w:t>
      </w:r>
      <w:r w:rsidRPr="00DE1042">
        <w:rPr>
          <w:rFonts w:ascii="Arial" w:hAnsi="Arial" w:cs="Arial"/>
          <w:b/>
          <w:noProof/>
          <w:sz w:val="24"/>
          <w:lang w:val="de-DE"/>
        </w:rPr>
        <w:t>1</w:t>
      </w:r>
      <w:r>
        <w:rPr>
          <w:rFonts w:ascii="Arial" w:hAnsi="Arial" w:cs="Arial"/>
          <w:b/>
          <w:noProof/>
          <w:sz w:val="24"/>
          <w:lang w:val="de-DE"/>
        </w:rPr>
        <w:t>7</w:t>
      </w:r>
      <w:r w:rsidR="00F94460">
        <w:rPr>
          <w:rFonts w:ascii="Arial" w:hAnsi="Arial" w:cs="Arial"/>
          <w:b/>
          <w:noProof/>
          <w:sz w:val="24"/>
          <w:lang w:val="de-DE"/>
        </w:rPr>
        <w:t>00082</w:t>
      </w:r>
    </w:p>
    <w:p w:rsidR="00936AFB" w:rsidRPr="00BC0258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 xml:space="preserve">Spokane, </w:t>
      </w:r>
      <w:r w:rsidR="00F94460">
        <w:rPr>
          <w:rFonts w:ascii="Arial" w:hAnsi="Arial" w:cs="Arial"/>
          <w:b/>
          <w:noProof/>
          <w:sz w:val="24"/>
          <w:lang w:eastAsia="ja-JP"/>
        </w:rPr>
        <w:t xml:space="preserve">Washington, </w:t>
      </w:r>
      <w:r>
        <w:rPr>
          <w:rFonts w:ascii="Arial" w:hAnsi="Arial" w:cs="Arial"/>
          <w:b/>
          <w:noProof/>
          <w:sz w:val="24"/>
          <w:lang w:eastAsia="ja-JP"/>
        </w:rPr>
        <w:t>USA</w:t>
      </w:r>
      <w:r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17 – 19 Jan,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6372E">
        <w:rPr>
          <w:rFonts w:ascii="Arial" w:hAnsi="Arial" w:cs="Arial"/>
          <w:sz w:val="24"/>
          <w:lang w:eastAsia="ja-JP"/>
        </w:rPr>
        <w:t>On co</w:t>
      </w:r>
      <w:r w:rsidR="00EA79F5">
        <w:rPr>
          <w:rFonts w:ascii="Arial" w:hAnsi="Arial" w:cs="Arial"/>
          <w:sz w:val="24"/>
          <w:lang w:eastAsia="ja-JP"/>
        </w:rPr>
        <w:t>nsideration of spectrum emission mask</w:t>
      </w:r>
      <w:r w:rsidR="00F6372E">
        <w:rPr>
          <w:rFonts w:ascii="Arial" w:hAnsi="Arial" w:cs="Arial"/>
          <w:sz w:val="24"/>
          <w:lang w:eastAsia="ja-JP"/>
        </w:rPr>
        <w:t xml:space="preserve"> in </w:t>
      </w:r>
      <w:proofErr w:type="spellStart"/>
      <w:r w:rsidR="00F6372E">
        <w:rPr>
          <w:rFonts w:ascii="Arial" w:hAnsi="Arial" w:cs="Arial"/>
          <w:sz w:val="24"/>
          <w:lang w:eastAsia="ja-JP"/>
        </w:rPr>
        <w:t>mmWave</w:t>
      </w:r>
      <w:proofErr w:type="spellEnd"/>
      <w:r w:rsidR="00F6372E">
        <w:rPr>
          <w:rFonts w:ascii="Arial" w:hAnsi="Arial" w:cs="Arial"/>
          <w:sz w:val="24"/>
          <w:lang w:eastAsia="ja-JP"/>
        </w:rPr>
        <w:t xml:space="preserve"> </w:t>
      </w:r>
      <w:proofErr w:type="spellStart"/>
      <w:r w:rsidR="00F6372E">
        <w:rPr>
          <w:rFonts w:ascii="Arial" w:hAnsi="Arial" w:cs="Arial"/>
          <w:sz w:val="24"/>
          <w:lang w:eastAsia="ja-JP"/>
        </w:rPr>
        <w:t>UE</w:t>
      </w:r>
      <w:proofErr w:type="spellEnd"/>
      <w:r w:rsidR="00F6372E">
        <w:rPr>
          <w:rFonts w:ascii="Arial" w:hAnsi="Arial" w:cs="Arial"/>
          <w:sz w:val="24"/>
          <w:lang w:eastAsia="ja-JP"/>
        </w:rPr>
        <w:t xml:space="preserve"> RF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EA79F5">
        <w:rPr>
          <w:rFonts w:ascii="Arial" w:hAnsi="Arial" w:cs="Arial"/>
          <w:sz w:val="24"/>
          <w:lang w:eastAsia="ja-JP"/>
        </w:rPr>
        <w:t>3.5.4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 w:hint="eastAsia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B76E47" w:rsidRDefault="00F6372E" w:rsidP="00F6372E">
      <w:r>
        <w:t xml:space="preserve"> There were some discussions in the previous meetings regarding metrics on </w:t>
      </w:r>
      <w:proofErr w:type="spellStart"/>
      <w:r>
        <w:t>UE</w:t>
      </w:r>
      <w:proofErr w:type="spellEnd"/>
      <w:r>
        <w:t xml:space="preserve"> RF [1], </w:t>
      </w:r>
      <w:r w:rsidR="00C72E18">
        <w:t>SEM requ</w:t>
      </w:r>
      <w:r w:rsidR="00B76E47">
        <w:t>irement consideration [2].</w:t>
      </w:r>
      <w:r w:rsidR="00AB76EB">
        <w:t xml:space="preserve"> In this contribution, we share our view on the issue.</w:t>
      </w:r>
    </w:p>
    <w:p w:rsidR="00C72E18" w:rsidRDefault="00C72E18" w:rsidP="00F6372E"/>
    <w:p w:rsidR="00F6372E" w:rsidRPr="003403AF" w:rsidRDefault="00F6372E" w:rsidP="00F6372E">
      <w:pPr>
        <w:pStyle w:val="Heading1"/>
      </w:pPr>
      <w:r>
        <w:t>2</w:t>
      </w:r>
      <w:r>
        <w:tab/>
        <w:t>Discussion</w:t>
      </w:r>
    </w:p>
    <w:p w:rsidR="00E15A6E" w:rsidRDefault="00F6372E" w:rsidP="00F6372E">
      <w:r w:rsidRPr="00C72E18">
        <w:t xml:space="preserve"> </w:t>
      </w:r>
      <w:r w:rsidR="00C72E18" w:rsidRPr="00C72E18">
        <w:t>FCC limit</w:t>
      </w:r>
      <w:r w:rsidR="00AF7EA3">
        <w:t>s</w:t>
      </w:r>
      <w:r w:rsidR="00C72E18" w:rsidRPr="00C72E18">
        <w:t xml:space="preserve"> </w:t>
      </w:r>
      <w:r w:rsidR="00E15A6E">
        <w:t>[3</w:t>
      </w:r>
      <w:r w:rsidR="00C72E18">
        <w:t xml:space="preserve">] </w:t>
      </w:r>
      <w:r w:rsidR="00C72E18" w:rsidRPr="00C72E18">
        <w:t>were</w:t>
      </w:r>
      <w:r w:rsidR="00C72E18">
        <w:t xml:space="preserve"> agreed as a baseline</w:t>
      </w:r>
      <w:r w:rsidR="00E15A6E">
        <w:t xml:space="preserve"> and is</w:t>
      </w:r>
      <w:r w:rsidR="00C72E18">
        <w:t xml:space="preserve"> briefly </w:t>
      </w:r>
      <w:r w:rsidR="00E15A6E">
        <w:t xml:space="preserve">sketched </w:t>
      </w:r>
      <w:r w:rsidR="00C72E18">
        <w:t xml:space="preserve">as below. It is our understanding that the limits are defined on excessive </w:t>
      </w:r>
      <w:r w:rsidR="00177830">
        <w:t>band</w:t>
      </w:r>
      <w:r w:rsidR="00C72E18">
        <w:t xml:space="preserve"> </w:t>
      </w:r>
      <w:r w:rsidR="00177830">
        <w:t>around</w:t>
      </w:r>
      <w:r w:rsidR="00C72E18">
        <w:t xml:space="preserve"> the signal bandwidth</w:t>
      </w:r>
      <w:r w:rsidR="002B474C">
        <w:t xml:space="preserve"> rather than the signal itself</w:t>
      </w:r>
      <w:r w:rsidR="00C72E18">
        <w:t>.</w:t>
      </w:r>
      <w:r w:rsidR="00177830">
        <w:t xml:space="preserve"> Therefore, for a</w:t>
      </w:r>
      <w:r w:rsidR="002B474C">
        <w:t xml:space="preserve"> bandwidth</w:t>
      </w:r>
      <w:r w:rsidR="00177830">
        <w:t xml:space="preserve"> of signal, i.e. BW, </w:t>
      </w:r>
      <w:r w:rsidR="001B5E63">
        <w:t>and</w:t>
      </w:r>
      <w:r w:rsidR="00177830">
        <w:t xml:space="preserve"> a carrier frequency, i.e. Fc</w:t>
      </w:r>
      <w:r w:rsidR="002B474C">
        <w:t>, -</w:t>
      </w:r>
      <w:proofErr w:type="spellStart"/>
      <w:r w:rsidR="002B474C">
        <w:t>5dBm</w:t>
      </w:r>
      <w:proofErr w:type="spellEnd"/>
      <w:r w:rsidR="002B474C">
        <w:t>/MHz limit should be met over</w:t>
      </w:r>
      <w:r w:rsidR="00177830">
        <w:t xml:space="preserve"> [</w:t>
      </w:r>
      <w:r w:rsidR="007C0472">
        <w:t>Fc</w:t>
      </w:r>
      <w:r w:rsidR="00177830">
        <w:t>–</w:t>
      </w:r>
      <w:proofErr w:type="spellStart"/>
      <w:r w:rsidR="00177830">
        <w:t>0.6BW</w:t>
      </w:r>
      <w:proofErr w:type="spellEnd"/>
      <w:r w:rsidR="00177830">
        <w:t xml:space="preserve"> </w:t>
      </w:r>
      <w:r w:rsidR="007C0472">
        <w:t xml:space="preserve">  Fc</w:t>
      </w:r>
      <w:r w:rsidR="007C0472" w:rsidRPr="007C0472">
        <w:rPr>
          <w:b/>
        </w:rPr>
        <w:t>–</w:t>
      </w:r>
      <w:proofErr w:type="spellStart"/>
      <w:r w:rsidR="00177830">
        <w:t>0.5BW</w:t>
      </w:r>
      <w:proofErr w:type="spellEnd"/>
      <w:r w:rsidR="00177830">
        <w:t>]</w:t>
      </w:r>
      <w:r w:rsidR="007C0472">
        <w:t xml:space="preserve"> and [</w:t>
      </w:r>
      <w:proofErr w:type="spellStart"/>
      <w:r w:rsidR="007C0472">
        <w:t>Fc+0.5BW</w:t>
      </w:r>
      <w:proofErr w:type="spellEnd"/>
      <w:r w:rsidR="007C0472">
        <w:t xml:space="preserve">   </w:t>
      </w:r>
      <w:proofErr w:type="spellStart"/>
      <w:r w:rsidR="007C0472">
        <w:t>Fc+</w:t>
      </w:r>
      <w:r w:rsidR="00177830">
        <w:t>0.6BW</w:t>
      </w:r>
      <w:proofErr w:type="spellEnd"/>
      <w:r w:rsidR="00177830">
        <w:t>]. For frequency below (</w:t>
      </w:r>
      <w:r w:rsidR="007C0472">
        <w:t>Fc</w:t>
      </w:r>
      <w:r w:rsidR="007C0472" w:rsidRPr="007C0472">
        <w:rPr>
          <w:b/>
        </w:rPr>
        <w:t>–</w:t>
      </w:r>
      <w:proofErr w:type="spellStart"/>
      <w:r w:rsidR="00177830">
        <w:t>0.6BW</w:t>
      </w:r>
      <w:proofErr w:type="spellEnd"/>
      <w:r w:rsidR="00177830">
        <w:t>) and above (</w:t>
      </w:r>
      <w:proofErr w:type="spellStart"/>
      <w:r w:rsidR="00177830">
        <w:t>Fc+0.6BW</w:t>
      </w:r>
      <w:proofErr w:type="spellEnd"/>
      <w:r w:rsidR="00177830">
        <w:t>) should meet -</w:t>
      </w:r>
      <w:proofErr w:type="spellStart"/>
      <w:r w:rsidR="00177830">
        <w:t>13dBm</w:t>
      </w:r>
      <w:proofErr w:type="spellEnd"/>
      <w:r w:rsidR="00177830">
        <w:t>/</w:t>
      </w:r>
      <w:proofErr w:type="spellStart"/>
      <w:r w:rsidR="00177830">
        <w:t>MHz</w:t>
      </w:r>
      <w:r w:rsidR="007C0472">
        <w:t>.</w:t>
      </w:r>
      <w:proofErr w:type="spellEnd"/>
      <w:r w:rsidR="00E15A6E">
        <w:t xml:space="preserve"> Maximum allowed </w:t>
      </w:r>
      <w:proofErr w:type="spellStart"/>
      <w:r w:rsidR="00E15A6E">
        <w:t>EIRP</w:t>
      </w:r>
      <w:proofErr w:type="spellEnd"/>
      <w:r w:rsidR="00E15A6E">
        <w:t xml:space="preserve"> is </w:t>
      </w:r>
      <w:proofErr w:type="spellStart"/>
      <w:r w:rsidR="00E15A6E">
        <w:t>43dBm</w:t>
      </w:r>
      <w:proofErr w:type="spellEnd"/>
      <w:r w:rsidR="00E15A6E">
        <w:t xml:space="preserve"> for mobile stations.</w:t>
      </w:r>
    </w:p>
    <w:p w:rsidR="007C0472" w:rsidRDefault="00E15A6E" w:rsidP="00F6372E">
      <w:r>
        <w:t xml:space="preserve"> </w:t>
      </w:r>
    </w:p>
    <w:p w:rsidR="007C0472" w:rsidRDefault="0060784B" w:rsidP="0060784B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77C3D580" wp14:editId="4AF923E3">
            <wp:extent cx="4173957" cy="2544431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4846" cy="255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A6E" w:rsidRDefault="00E15A6E" w:rsidP="00E15A6E">
      <w:pPr>
        <w:jc w:val="center"/>
      </w:pPr>
      <w:r>
        <w:t>Figure 1 FCC SEM limits</w:t>
      </w:r>
    </w:p>
    <w:p w:rsidR="00E15A6E" w:rsidRDefault="00E15A6E" w:rsidP="00E15A6E">
      <w:pPr>
        <w:jc w:val="center"/>
      </w:pPr>
    </w:p>
    <w:p w:rsidR="00E15A6E" w:rsidRDefault="00E15A6E" w:rsidP="00E15A6E">
      <w:r>
        <w:t xml:space="preserve">Even though FCC suggested the limits in </w:t>
      </w:r>
      <w:proofErr w:type="spellStart"/>
      <w:r>
        <w:t>EIRP</w:t>
      </w:r>
      <w:proofErr w:type="spellEnd"/>
      <w:r>
        <w:t xml:space="preserve">, we understand </w:t>
      </w:r>
      <w:proofErr w:type="spellStart"/>
      <w:r>
        <w:t>TRP</w:t>
      </w:r>
      <w:proofErr w:type="spellEnd"/>
      <w:r>
        <w:t xml:space="preserve"> is more </w:t>
      </w:r>
      <w:r w:rsidR="00115FA3">
        <w:t>proper</w:t>
      </w:r>
      <w:r>
        <w:t xml:space="preserve"> metric on emissions including SEM.</w:t>
      </w:r>
      <w:r w:rsidR="00115FA3">
        <w:t xml:space="preserve"> It would be more reasonable to take care of all the direction rather than one specific direction.</w:t>
      </w:r>
    </w:p>
    <w:p w:rsidR="00E15A6E" w:rsidRDefault="00E15A6E" w:rsidP="00E15A6E"/>
    <w:p w:rsidR="00E15A6E" w:rsidRPr="00115FA3" w:rsidRDefault="00063024" w:rsidP="00E15A6E">
      <w:pPr>
        <w:rPr>
          <w:b/>
        </w:rPr>
      </w:pPr>
      <w:r w:rsidRPr="00115FA3">
        <w:rPr>
          <w:b/>
          <w:i/>
        </w:rPr>
        <w:t>Observation 1</w:t>
      </w:r>
      <w:r w:rsidRPr="00115FA3">
        <w:rPr>
          <w:b/>
        </w:rPr>
        <w:t xml:space="preserve">: </w:t>
      </w:r>
      <w:proofErr w:type="spellStart"/>
      <w:r w:rsidR="00E15A6E" w:rsidRPr="00115FA3">
        <w:rPr>
          <w:b/>
        </w:rPr>
        <w:t>TRP</w:t>
      </w:r>
      <w:proofErr w:type="spellEnd"/>
      <w:r w:rsidR="00E15A6E" w:rsidRPr="00115FA3">
        <w:rPr>
          <w:b/>
        </w:rPr>
        <w:t xml:space="preserve"> is</w:t>
      </w:r>
      <w:r w:rsidRPr="00115FA3">
        <w:rPr>
          <w:b/>
        </w:rPr>
        <w:t xml:space="preserve"> more proper way </w:t>
      </w:r>
      <w:r w:rsidR="00115FA3" w:rsidRPr="00115FA3">
        <w:rPr>
          <w:b/>
        </w:rPr>
        <w:t xml:space="preserve">as well as reasonable metric </w:t>
      </w:r>
      <w:r w:rsidRPr="00115FA3">
        <w:rPr>
          <w:b/>
        </w:rPr>
        <w:t xml:space="preserve">to measure </w:t>
      </w:r>
      <w:r w:rsidR="00115FA3" w:rsidRPr="00115FA3">
        <w:rPr>
          <w:b/>
        </w:rPr>
        <w:t>emissions including spectrum emissions mask.</w:t>
      </w:r>
    </w:p>
    <w:p w:rsidR="00115FA3" w:rsidRDefault="00115FA3" w:rsidP="00E15A6E"/>
    <w:p w:rsidR="00C72E18" w:rsidRDefault="00AF7EA3" w:rsidP="00F6372E">
      <w:r>
        <w:t>To investigate the feasibility, we us</w:t>
      </w:r>
      <w:r w:rsidR="001B5E63">
        <w:t xml:space="preserve">ed a signal of </w:t>
      </w:r>
      <w:proofErr w:type="spellStart"/>
      <w:r w:rsidR="001B5E63">
        <w:t>100MHz</w:t>
      </w:r>
      <w:proofErr w:type="spellEnd"/>
      <w:r w:rsidR="001B5E63">
        <w:t xml:space="preserve"> bandwidth at </w:t>
      </w:r>
      <w:proofErr w:type="spellStart"/>
      <w:r w:rsidR="001B5E63">
        <w:t>27GHz</w:t>
      </w:r>
      <w:proofErr w:type="spellEnd"/>
      <w:r w:rsidR="001B5E63">
        <w:t xml:space="preserve"> </w:t>
      </w:r>
      <w:r w:rsidR="00ED03F8">
        <w:t xml:space="preserve">of </w:t>
      </w:r>
      <w:r w:rsidR="001B5E63">
        <w:t>carrier frequency.</w:t>
      </w:r>
    </w:p>
    <w:p w:rsidR="00ED03F8" w:rsidRDefault="00ED03F8" w:rsidP="00F6372E"/>
    <w:p w:rsidR="00F6372E" w:rsidRDefault="00AB76EB" w:rsidP="00F6372E">
      <w:pPr>
        <w:rPr>
          <w:b/>
        </w:rPr>
      </w:pPr>
      <w:r w:rsidRPr="00ED03F8">
        <w:rPr>
          <w:b/>
          <w:i/>
        </w:rPr>
        <w:lastRenderedPageBreak/>
        <w:t>Observation</w:t>
      </w:r>
      <w:r w:rsidR="00AF7EA3" w:rsidRPr="00ED03F8">
        <w:rPr>
          <w:b/>
          <w:i/>
        </w:rPr>
        <w:t xml:space="preserve"> </w:t>
      </w:r>
      <w:r w:rsidR="00ED03F8" w:rsidRPr="00ED03F8">
        <w:rPr>
          <w:b/>
          <w:i/>
        </w:rPr>
        <w:t>2</w:t>
      </w:r>
      <w:r w:rsidR="00AF7EA3" w:rsidRPr="00ED03F8">
        <w:rPr>
          <w:b/>
        </w:rPr>
        <w:t xml:space="preserve">: The FCC limits is </w:t>
      </w:r>
      <w:r w:rsidR="001B5E63" w:rsidRPr="00ED03F8">
        <w:rPr>
          <w:b/>
        </w:rPr>
        <w:t xml:space="preserve">feasible at </w:t>
      </w:r>
      <w:r w:rsidR="001168D0" w:rsidRPr="00ED03F8">
        <w:rPr>
          <w:b/>
        </w:rPr>
        <w:t>an</w:t>
      </w:r>
      <w:r w:rsidR="00ED03F8" w:rsidRPr="00ED03F8">
        <w:rPr>
          <w:b/>
        </w:rPr>
        <w:t xml:space="preserve"> </w:t>
      </w:r>
      <w:proofErr w:type="spellStart"/>
      <w:r w:rsidR="00ED03F8" w:rsidRPr="00ED03F8">
        <w:rPr>
          <w:b/>
        </w:rPr>
        <w:t>mmWave</w:t>
      </w:r>
      <w:proofErr w:type="spellEnd"/>
      <w:r w:rsidR="00ED03F8" w:rsidRPr="00ED03F8">
        <w:rPr>
          <w:b/>
        </w:rPr>
        <w:t xml:space="preserve"> frequency with proper power.</w:t>
      </w:r>
    </w:p>
    <w:p w:rsidR="00ED03F8" w:rsidRDefault="00ED03F8" w:rsidP="00F6372E">
      <w:pPr>
        <w:rPr>
          <w:b/>
        </w:rPr>
      </w:pPr>
    </w:p>
    <w:p w:rsidR="00F6372E" w:rsidRPr="003403AF" w:rsidRDefault="00F6372E" w:rsidP="00F6372E">
      <w:pPr>
        <w:pStyle w:val="Heading1"/>
      </w:pPr>
      <w:r>
        <w:t>3</w:t>
      </w:r>
      <w:r>
        <w:tab/>
        <w:t>Conclusions</w:t>
      </w:r>
    </w:p>
    <w:p w:rsidR="00F6372E" w:rsidRDefault="00AB76EB" w:rsidP="00F6372E">
      <w:r>
        <w:t>In this document, we provided our views on spectrum emission mask.</w:t>
      </w:r>
    </w:p>
    <w:p w:rsidR="00AB76EB" w:rsidRDefault="00AB76EB" w:rsidP="00AB76EB">
      <w:pPr>
        <w:rPr>
          <w:b/>
          <w:i/>
        </w:rPr>
      </w:pPr>
    </w:p>
    <w:p w:rsidR="00AB76EB" w:rsidRPr="00115FA3" w:rsidRDefault="00AB76EB" w:rsidP="00AB76EB">
      <w:pPr>
        <w:rPr>
          <w:b/>
        </w:rPr>
      </w:pPr>
      <w:r w:rsidRPr="00115FA3">
        <w:rPr>
          <w:b/>
          <w:i/>
        </w:rPr>
        <w:t>Observation 1</w:t>
      </w:r>
      <w:r w:rsidRPr="00115FA3">
        <w:rPr>
          <w:b/>
        </w:rPr>
        <w:t xml:space="preserve">: </w:t>
      </w:r>
      <w:proofErr w:type="spellStart"/>
      <w:r w:rsidRPr="00115FA3">
        <w:rPr>
          <w:b/>
        </w:rPr>
        <w:t>TRP</w:t>
      </w:r>
      <w:proofErr w:type="spellEnd"/>
      <w:r w:rsidRPr="00115FA3">
        <w:rPr>
          <w:b/>
        </w:rPr>
        <w:t xml:space="preserve"> is more proper way as well as reasonable metric to measure emissions including spectrum emissions mask.</w:t>
      </w:r>
    </w:p>
    <w:p w:rsidR="00AB76EB" w:rsidRDefault="00AB76EB" w:rsidP="00AB76EB">
      <w:pPr>
        <w:rPr>
          <w:b/>
          <w:i/>
        </w:rPr>
      </w:pPr>
    </w:p>
    <w:p w:rsidR="00AB76EB" w:rsidRDefault="00AB76EB" w:rsidP="00AB76EB">
      <w:pPr>
        <w:rPr>
          <w:b/>
        </w:rPr>
      </w:pPr>
      <w:r w:rsidRPr="00ED03F8">
        <w:rPr>
          <w:b/>
          <w:i/>
        </w:rPr>
        <w:t>Observation 2</w:t>
      </w:r>
      <w:r w:rsidRPr="00ED03F8">
        <w:rPr>
          <w:b/>
        </w:rPr>
        <w:t xml:space="preserve">: The FCC limits is feasible at an </w:t>
      </w:r>
      <w:proofErr w:type="spellStart"/>
      <w:r w:rsidRPr="00ED03F8">
        <w:rPr>
          <w:b/>
        </w:rPr>
        <w:t>mmWave</w:t>
      </w:r>
      <w:proofErr w:type="spellEnd"/>
      <w:r w:rsidRPr="00ED03F8">
        <w:rPr>
          <w:b/>
        </w:rPr>
        <w:t xml:space="preserve"> frequency with proper power.</w:t>
      </w:r>
    </w:p>
    <w:p w:rsidR="00AB76EB" w:rsidRDefault="00AB76EB" w:rsidP="00F6372E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5513AE" w:rsidP="00F6372E">
      <w:pPr>
        <w:rPr>
          <w:lang w:val="it-IT"/>
        </w:rPr>
      </w:pPr>
      <w:r>
        <w:rPr>
          <w:lang w:val="it-IT"/>
        </w:rPr>
        <w:t>[1</w:t>
      </w:r>
      <w:r w:rsidR="00B76E47">
        <w:rPr>
          <w:lang w:val="it-IT"/>
        </w:rPr>
        <w:t xml:space="preserve">] </w:t>
      </w:r>
      <w:r>
        <w:rPr>
          <w:lang w:val="it-IT"/>
        </w:rPr>
        <w:t>R4-1609868, “Metric on UE RF Tx requirement in mmWave”, NTT Docomo</w:t>
      </w:r>
    </w:p>
    <w:p w:rsidR="005513AE" w:rsidRDefault="005513AE" w:rsidP="00F6372E">
      <w:pPr>
        <w:rPr>
          <w:lang w:val="it-IT"/>
        </w:rPr>
      </w:pPr>
      <w:r>
        <w:rPr>
          <w:lang w:val="it-IT"/>
        </w:rPr>
        <w:t>[2</w:t>
      </w:r>
      <w:r w:rsidR="00B76E47">
        <w:rPr>
          <w:lang w:val="it-IT"/>
        </w:rPr>
        <w:t>]</w:t>
      </w:r>
      <w:r w:rsidRPr="005513AE">
        <w:rPr>
          <w:lang w:val="it-IT"/>
        </w:rPr>
        <w:t xml:space="preserve"> </w:t>
      </w:r>
      <w:r>
        <w:rPr>
          <w:lang w:val="it-IT"/>
        </w:rPr>
        <w:t>R4-1609418, “Further consideration on spectrum emission mask” Huawei, Hisilicon</w:t>
      </w:r>
    </w:p>
    <w:p w:rsidR="005513AE" w:rsidRDefault="005513AE" w:rsidP="005513AE">
      <w:pPr>
        <w:autoSpaceDN w:val="0"/>
        <w:spacing w:after="180"/>
        <w:rPr>
          <w:rFonts w:eastAsia="Times New Roman"/>
          <w:szCs w:val="20"/>
          <w:lang w:val="it-IT" w:eastAsia="ja-JP"/>
        </w:rPr>
      </w:pPr>
      <w:r>
        <w:rPr>
          <w:lang w:val="it-IT"/>
        </w:rPr>
        <w:t xml:space="preserve">[3] </w:t>
      </w:r>
      <w:r>
        <w:t>FCC Report and Order and Further Notice of Proposed Rulemaking, “Use of Spectrum Bands Above 24 GHz For Mobile Radio Services…”, FCC 16-89, July 14, 2016.</w:t>
      </w:r>
    </w:p>
    <w:p w:rsidR="00B76E47" w:rsidRDefault="00B76E47" w:rsidP="00F6372E">
      <w:pPr>
        <w:rPr>
          <w:lang w:val="it-IT"/>
        </w:rPr>
      </w:pPr>
      <w:r>
        <w:rPr>
          <w:lang w:val="it-IT"/>
        </w:rPr>
        <w:t xml:space="preserve"> </w:t>
      </w:r>
    </w:p>
    <w:p w:rsidR="00B76E47" w:rsidRPr="00C72E18" w:rsidRDefault="00B76E47" w:rsidP="00F6372E">
      <w:pPr>
        <w:rPr>
          <w:lang w:val="it-IT"/>
        </w:rPr>
      </w:pPr>
    </w:p>
    <w:p w:rsidR="00190B4F" w:rsidRPr="00F6372E" w:rsidRDefault="00190B4F">
      <w:pPr>
        <w:rPr>
          <w:lang w:val="en-US"/>
        </w:rPr>
      </w:pPr>
    </w:p>
    <w:sectPr w:rsidR="00190B4F" w:rsidRPr="00F6372E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63024"/>
    <w:rsid w:val="000A51BA"/>
    <w:rsid w:val="000E151A"/>
    <w:rsid w:val="000F7E79"/>
    <w:rsid w:val="00115FA3"/>
    <w:rsid w:val="001168D0"/>
    <w:rsid w:val="00177830"/>
    <w:rsid w:val="00190B4F"/>
    <w:rsid w:val="001A7549"/>
    <w:rsid w:val="001B5E63"/>
    <w:rsid w:val="001C70A8"/>
    <w:rsid w:val="00206BD7"/>
    <w:rsid w:val="00285D3E"/>
    <w:rsid w:val="002917BE"/>
    <w:rsid w:val="00293C3B"/>
    <w:rsid w:val="002A15D3"/>
    <w:rsid w:val="002B1D9D"/>
    <w:rsid w:val="002B474C"/>
    <w:rsid w:val="0034530C"/>
    <w:rsid w:val="004256EB"/>
    <w:rsid w:val="00466D7C"/>
    <w:rsid w:val="0049472C"/>
    <w:rsid w:val="004D6AFB"/>
    <w:rsid w:val="004E66F6"/>
    <w:rsid w:val="004F20D8"/>
    <w:rsid w:val="00512FAC"/>
    <w:rsid w:val="005513AE"/>
    <w:rsid w:val="005E1F80"/>
    <w:rsid w:val="005E6416"/>
    <w:rsid w:val="0060784B"/>
    <w:rsid w:val="0076402E"/>
    <w:rsid w:val="007C0472"/>
    <w:rsid w:val="007C2563"/>
    <w:rsid w:val="007D609F"/>
    <w:rsid w:val="0087684A"/>
    <w:rsid w:val="00886FA5"/>
    <w:rsid w:val="00910122"/>
    <w:rsid w:val="00912522"/>
    <w:rsid w:val="00936AFB"/>
    <w:rsid w:val="009C34E1"/>
    <w:rsid w:val="009F5140"/>
    <w:rsid w:val="00A32281"/>
    <w:rsid w:val="00A7120E"/>
    <w:rsid w:val="00AB76EB"/>
    <w:rsid w:val="00AE6FAA"/>
    <w:rsid w:val="00AF7EA3"/>
    <w:rsid w:val="00B14FC5"/>
    <w:rsid w:val="00B76E47"/>
    <w:rsid w:val="00BC2768"/>
    <w:rsid w:val="00BE23F0"/>
    <w:rsid w:val="00BF4D25"/>
    <w:rsid w:val="00C67AB5"/>
    <w:rsid w:val="00C72E18"/>
    <w:rsid w:val="00CB3D00"/>
    <w:rsid w:val="00D30C01"/>
    <w:rsid w:val="00E15A6E"/>
    <w:rsid w:val="00E608F8"/>
    <w:rsid w:val="00E77343"/>
    <w:rsid w:val="00EA79F5"/>
    <w:rsid w:val="00ED03F8"/>
    <w:rsid w:val="00ED53ED"/>
    <w:rsid w:val="00F55C0D"/>
    <w:rsid w:val="00F6372E"/>
    <w:rsid w:val="00F8056C"/>
    <w:rsid w:val="00F94460"/>
    <w:rsid w:val="00FA20A2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0784B"/>
    <w:pPr>
      <w:spacing w:before="100" w:beforeAutospacing="1" w:after="100" w:afterAutospacing="1"/>
    </w:pPr>
    <w:rPr>
      <w:rFonts w:eastAsiaTheme="minorEastAsia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4</cp:revision>
  <dcterms:created xsi:type="dcterms:W3CDTF">2017-01-06T00:00:00Z</dcterms:created>
  <dcterms:modified xsi:type="dcterms:W3CDTF">2017-01-06T01:55:00Z</dcterms:modified>
</cp:coreProperties>
</file>