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106F91">
        <w:rPr>
          <w:rFonts w:cs="Arial"/>
          <w:sz w:val="24"/>
        </w:rPr>
        <w:t>AH-1807</w:t>
      </w:r>
      <w:r>
        <w:rPr>
          <w:rFonts w:cs="Arial"/>
          <w:i/>
          <w:sz w:val="24"/>
        </w:rPr>
        <w:tab/>
      </w:r>
      <w:r>
        <w:rPr>
          <w:rFonts w:cs="Arial"/>
          <w:iCs/>
          <w:sz w:val="24"/>
        </w:rPr>
        <w:t>R4-</w:t>
      </w:r>
      <w:r w:rsidR="00271038">
        <w:rPr>
          <w:rFonts w:cs="Arial"/>
          <w:iCs/>
          <w:sz w:val="24"/>
        </w:rPr>
        <w:t>1808861</w:t>
      </w:r>
    </w:p>
    <w:p w:rsidR="003B61A8" w:rsidRDefault="00106F91" w:rsidP="003B61A8">
      <w:pPr>
        <w:pStyle w:val="Header"/>
        <w:tabs>
          <w:tab w:val="right" w:pos="10206"/>
        </w:tabs>
        <w:spacing w:after="120"/>
        <w:rPr>
          <w:rFonts w:cs="Arial"/>
          <w:sz w:val="24"/>
        </w:rPr>
      </w:pPr>
      <w:r>
        <w:rPr>
          <w:rFonts w:cs="Arial"/>
          <w:sz w:val="24"/>
        </w:rPr>
        <w:t>Montreal</w:t>
      </w:r>
      <w:r w:rsidR="0062745C">
        <w:rPr>
          <w:rFonts w:cs="Arial"/>
          <w:sz w:val="24"/>
        </w:rPr>
        <w:t xml:space="preserve">, </w:t>
      </w:r>
      <w:r>
        <w:rPr>
          <w:rFonts w:cs="Arial"/>
          <w:sz w:val="24"/>
        </w:rPr>
        <w:t>Canada</w:t>
      </w:r>
      <w:r w:rsidR="003B61A8">
        <w:rPr>
          <w:rFonts w:cs="Arial"/>
          <w:sz w:val="24"/>
        </w:rPr>
        <w:t xml:space="preserve">, </w:t>
      </w:r>
      <w:r w:rsidR="004B372C">
        <w:rPr>
          <w:rFonts w:cs="Arial"/>
          <w:sz w:val="24"/>
        </w:rPr>
        <w:t>2</w:t>
      </w:r>
      <w:r>
        <w:rPr>
          <w:rFonts w:cs="Arial"/>
          <w:sz w:val="24"/>
          <w:vertAlign w:val="superscript"/>
        </w:rPr>
        <w:t>nd</w:t>
      </w:r>
      <w:r w:rsidR="004B372C">
        <w:rPr>
          <w:rFonts w:cs="Arial"/>
          <w:sz w:val="24"/>
        </w:rPr>
        <w:t xml:space="preserve"> – </w:t>
      </w:r>
      <w:r>
        <w:rPr>
          <w:rFonts w:cs="Arial"/>
          <w:sz w:val="24"/>
        </w:rPr>
        <w:t>6</w:t>
      </w:r>
      <w:r w:rsidR="004B372C" w:rsidRPr="00D2544C">
        <w:rPr>
          <w:rFonts w:cs="Arial"/>
          <w:sz w:val="24"/>
          <w:vertAlign w:val="superscript"/>
        </w:rPr>
        <w:t>th</w:t>
      </w:r>
      <w:r w:rsidR="004B372C">
        <w:rPr>
          <w:rFonts w:cs="Arial"/>
          <w:sz w:val="24"/>
        </w:rPr>
        <w:t xml:space="preserve"> </w:t>
      </w:r>
      <w:r>
        <w:rPr>
          <w:rFonts w:cs="Arial"/>
          <w:sz w:val="24"/>
        </w:rPr>
        <w:t>July</w:t>
      </w:r>
      <w:r w:rsidR="003B61A8">
        <w:rPr>
          <w:rFonts w:cs="Arial"/>
          <w:sz w:val="24"/>
        </w:rPr>
        <w:t xml:space="preserve"> 201</w:t>
      </w:r>
      <w:r w:rsidR="00FE11B9">
        <w:rPr>
          <w:rFonts w:cs="Arial"/>
          <w:sz w:val="24"/>
        </w:rPr>
        <w:t>8</w:t>
      </w:r>
    </w:p>
    <w:p w:rsidR="003B61A8" w:rsidRDefault="003B61A8" w:rsidP="003B61A8">
      <w:pPr>
        <w:spacing w:after="120"/>
        <w:ind w:left="1985" w:hanging="1985"/>
        <w:rPr>
          <w:rFonts w:ascii="Arial" w:hAnsi="Arial" w:cs="Arial"/>
          <w:b/>
        </w:rPr>
      </w:pPr>
    </w:p>
    <w:p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13370">
        <w:rPr>
          <w:rFonts w:ascii="Arial" w:hAnsi="Arial" w:cs="Arial"/>
        </w:rPr>
        <w:t xml:space="preserve">On conformance testing aspects related to co-location </w:t>
      </w:r>
      <w:r w:rsidR="00A01138">
        <w:rPr>
          <w:rFonts w:ascii="Arial" w:hAnsi="Arial" w:cs="Arial"/>
        </w:rPr>
        <w:t>requirements</w:t>
      </w:r>
    </w:p>
    <w:p w:rsidR="003B61A8" w:rsidRPr="00C72C62" w:rsidRDefault="003B61A8" w:rsidP="003B61A8">
      <w:pPr>
        <w:spacing w:after="120"/>
        <w:ind w:left="1985" w:hanging="1985"/>
        <w:rPr>
          <w:rFonts w:ascii="Arial" w:hAnsi="Arial" w:cs="Arial"/>
          <w:bCs/>
          <w:color w:val="FF0000"/>
          <w:lang w:val="en-US"/>
        </w:rPr>
      </w:pPr>
      <w:r w:rsidRPr="00C72C62">
        <w:rPr>
          <w:rFonts w:ascii="Arial" w:hAnsi="Arial" w:cs="Arial"/>
          <w:b/>
          <w:lang w:val="en-US"/>
        </w:rPr>
        <w:t>Agenda item:</w:t>
      </w:r>
      <w:r w:rsidRPr="00C72C62">
        <w:rPr>
          <w:rFonts w:ascii="Arial" w:hAnsi="Arial" w:cs="Arial"/>
          <w:b/>
          <w:lang w:val="en-US"/>
        </w:rPr>
        <w:tab/>
      </w:r>
      <w:r w:rsidR="00933EEB">
        <w:rPr>
          <w:rFonts w:ascii="Arial" w:hAnsi="Arial" w:cs="Arial"/>
          <w:bCs/>
          <w:lang w:val="en-US"/>
        </w:rPr>
        <w:t>4.2.1.1.7</w:t>
      </w:r>
    </w:p>
    <w:p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Introduction</w:t>
      </w:r>
    </w:p>
    <w:p w:rsidR="00DE3DCD" w:rsidRDefault="0062745C" w:rsidP="00155B44">
      <w:pPr>
        <w:pStyle w:val="BodyText"/>
      </w:pPr>
      <w:r>
        <w:t>At the last RAN4 meeting (RAN4#</w:t>
      </w:r>
      <w:r w:rsidR="00986756">
        <w:t xml:space="preserve">87 </w:t>
      </w:r>
      <w:r>
        <w:t xml:space="preserve">in </w:t>
      </w:r>
      <w:r w:rsidR="00986756">
        <w:t>Busan</w:t>
      </w:r>
      <w:r>
        <w:t>)</w:t>
      </w:r>
      <w:r w:rsidR="00155B44">
        <w:t xml:space="preserve"> </w:t>
      </w:r>
      <w:r w:rsidR="00A01138">
        <w:t>several contributions [</w:t>
      </w:r>
      <w:r w:rsidR="00A06897">
        <w:t>1</w:t>
      </w:r>
      <w:r w:rsidR="00A01138">
        <w:t xml:space="preserve">, </w:t>
      </w:r>
      <w:r w:rsidR="00A06897">
        <w:t>2</w:t>
      </w:r>
      <w:r w:rsidR="00A01138">
        <w:t xml:space="preserve">, </w:t>
      </w:r>
      <w:r w:rsidR="00A06897">
        <w:t>3</w:t>
      </w:r>
      <w:r w:rsidR="00DE3DCD">
        <w:t>, 4</w:t>
      </w:r>
      <w:r w:rsidR="00A06897">
        <w:t xml:space="preserve"> and </w:t>
      </w:r>
      <w:r w:rsidR="00DE3DCD">
        <w:t>5</w:t>
      </w:r>
      <w:r w:rsidR="00A01138">
        <w:t>] related to conformance testing related to co-location requirements was presented</w:t>
      </w:r>
      <w:r w:rsidR="00A06897">
        <w:t xml:space="preserve"> for technical discussion, together with draft CRs for TR 37.843 and TS 37.145-2 [</w:t>
      </w:r>
      <w:r w:rsidR="00DE3DCD">
        <w:t>6, 7, 8, 9 and 10</w:t>
      </w:r>
      <w:r w:rsidR="00A06897">
        <w:t>]</w:t>
      </w:r>
      <w:r w:rsidR="00DE3DCD">
        <w:t xml:space="preserve"> </w:t>
      </w:r>
      <w:r w:rsidR="00FE67B2">
        <w:t xml:space="preserve">presented </w:t>
      </w:r>
      <w:r w:rsidR="00DE3DCD">
        <w:t>for approval</w:t>
      </w:r>
      <w:r w:rsidR="00A06897">
        <w:t xml:space="preserve">. </w:t>
      </w:r>
      <w:r w:rsidR="00FE67B2">
        <w:t>In addition, d</w:t>
      </w:r>
      <w:r w:rsidR="00DE3DCD">
        <w:t xml:space="preserve">raft test was approved for TS 37.145-2 and TR 37.843 recognizing the need for further editorial alignment and additional work to resolve open issues. </w:t>
      </w:r>
      <w:r w:rsidR="00A01138">
        <w:t xml:space="preserve"> From the discussion </w:t>
      </w:r>
      <w:r w:rsidR="00DE3DCD">
        <w:t xml:space="preserve">several </w:t>
      </w:r>
      <w:r w:rsidR="00A01138">
        <w:t>open issues were identified. The open issues were collected in a way-forward contribution [</w:t>
      </w:r>
      <w:r w:rsidR="00DE3DCD">
        <w:t>11</w:t>
      </w:r>
      <w:r w:rsidR="00A01138">
        <w:t xml:space="preserve">]. </w:t>
      </w:r>
    </w:p>
    <w:p w:rsidR="00843454" w:rsidRPr="007D610C" w:rsidRDefault="00A01138" w:rsidP="0062745C">
      <w:pPr>
        <w:pStyle w:val="BodyText"/>
      </w:pPr>
      <w:r>
        <w:t xml:space="preserve">One of the issues was </w:t>
      </w:r>
      <w:r w:rsidR="003A0793">
        <w:t xml:space="preserve">related to </w:t>
      </w:r>
      <w:r>
        <w:t>the length of the co-location reference antenna</w:t>
      </w:r>
      <w:r w:rsidR="003A0793">
        <w:t xml:space="preserve"> to properly conduct OTA conformance testing for co-location requirements.</w:t>
      </w:r>
      <w:r w:rsidR="00FE67B2">
        <w:t xml:space="preserve"> </w:t>
      </w:r>
      <w:r w:rsidR="00843454">
        <w:t>This contribution</w:t>
      </w:r>
      <w:r>
        <w:t xml:space="preserve"> </w:t>
      </w:r>
      <w:r w:rsidR="003A0793">
        <w:t>studies the port-to-port isolation and the relation to the length of the co-location reference antenna, together with some options on solutions how to specify a solid conformance test specification.</w:t>
      </w:r>
      <w:r w:rsidR="00574FD8">
        <w:t xml:space="preserve"> </w:t>
      </w:r>
      <w:r w:rsidR="00FD25AF">
        <w:t>Other still not resolved issues is discussed in a companion contribution [</w:t>
      </w:r>
      <w:r w:rsidR="00FE67B2">
        <w:t>12</w:t>
      </w:r>
      <w:r w:rsidR="00FD25AF">
        <w:t>].</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Discussion</w:t>
      </w:r>
    </w:p>
    <w:p w:rsidR="00FD25AF" w:rsidRDefault="00FD25AF" w:rsidP="0062745C">
      <w:pPr>
        <w:pStyle w:val="BodyText"/>
      </w:pPr>
      <w:r>
        <w:t xml:space="preserve">The co-location concept defined in </w:t>
      </w:r>
      <w:proofErr w:type="spellStart"/>
      <w:r>
        <w:t>eAAS</w:t>
      </w:r>
      <w:proofErr w:type="spellEnd"/>
      <w:r>
        <w:t xml:space="preserve"> WI for Rel-15, is based on a passive base station antenna</w:t>
      </w:r>
      <w:r w:rsidR="00FE67B2">
        <w:t xml:space="preserve"> referred to as Co-location Reference Antenna (CRA)</w:t>
      </w:r>
      <w:r>
        <w:t xml:space="preserve"> located close to the AAS base station</w:t>
      </w:r>
      <w:r w:rsidR="00FE67B2">
        <w:t xml:space="preserve"> referred to as Equipment Under Test (EUT)</w:t>
      </w:r>
      <w:r>
        <w:t xml:space="preserve">. The antennas </w:t>
      </w:r>
      <w:proofErr w:type="gramStart"/>
      <w:r>
        <w:t>are located in</w:t>
      </w:r>
      <w:proofErr w:type="gramEnd"/>
      <w:r>
        <w:t xml:space="preserve"> the horizontal plane with individual edge-to-edge separation is specified to 0.1 m, as described in Figure 2-1.</w:t>
      </w:r>
    </w:p>
    <w:p w:rsidR="003B61A8" w:rsidRDefault="00D31AC1" w:rsidP="00C72C62">
      <w:pPr>
        <w:pStyle w:val="BodyText"/>
        <w:ind w:firstLine="1560"/>
      </w:pPr>
      <w:r w:rsidRPr="00912A18">
        <w:rPr>
          <w:noProof/>
        </w:rPr>
        <w:drawing>
          <wp:inline distT="0" distB="0" distL="0" distR="0">
            <wp:extent cx="4067175" cy="3219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7175" cy="3219450"/>
                    </a:xfrm>
                    <a:prstGeom prst="rect">
                      <a:avLst/>
                    </a:prstGeom>
                    <a:noFill/>
                    <a:ln>
                      <a:noFill/>
                    </a:ln>
                  </pic:spPr>
                </pic:pic>
              </a:graphicData>
            </a:graphic>
          </wp:inline>
        </w:drawing>
      </w:r>
      <w:r w:rsidR="00912A18" w:rsidRPr="00912A18" w:rsidDel="00912A18">
        <w:t xml:space="preserve"> </w:t>
      </w:r>
    </w:p>
    <w:p w:rsidR="00FD25AF" w:rsidRDefault="00FD25AF" w:rsidP="00FD25AF">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FE67B2">
        <w:rPr>
          <w:rFonts w:ascii="Arial" w:hAnsi="Arial"/>
          <w:b/>
          <w:lang w:eastAsia="x-none"/>
        </w:rPr>
        <w:t>EUT/</w:t>
      </w:r>
      <w:r>
        <w:rPr>
          <w:rFonts w:ascii="Arial" w:hAnsi="Arial"/>
          <w:b/>
          <w:lang w:eastAsia="x-none"/>
        </w:rPr>
        <w:t>CRA setup</w:t>
      </w:r>
    </w:p>
    <w:p w:rsidR="00E13370" w:rsidRDefault="00FD25AF" w:rsidP="0062745C">
      <w:pPr>
        <w:pStyle w:val="BodyText"/>
      </w:pPr>
      <w:r>
        <w:t>The detailed description of the co-location reference antenna is specified in TS 37.105, sub-clause 4.10 and corresponding test aspects in TS 37.145-2, sub-clause 4</w:t>
      </w:r>
      <w:r w:rsidR="00BB3261">
        <w:t>.</w:t>
      </w:r>
      <w:r>
        <w:t>15.</w:t>
      </w:r>
      <w:r w:rsidR="00FE67B2">
        <w:t xml:space="preserve"> Currently, the description in TS 37.105 and TS 37.145-2 is </w:t>
      </w:r>
      <w:r w:rsidR="00912A18">
        <w:lastRenderedPageBreak/>
        <w:t>equivalent</w:t>
      </w:r>
      <w:r w:rsidR="00FE67B2">
        <w:t xml:space="preserve">, but it wold be </w:t>
      </w:r>
      <w:r w:rsidR="00912A18">
        <w:t>reasonable</w:t>
      </w:r>
      <w:r w:rsidR="00FE67B2">
        <w:t xml:space="preserve"> to ad</w:t>
      </w:r>
      <w:r w:rsidR="00912A18">
        <w:t xml:space="preserve">opt the text to be more test specific in TS 37.145-2. </w:t>
      </w:r>
      <w:r w:rsidR="00FE67B2">
        <w:t xml:space="preserve">In a previously presented contribution [13], some open issues related to the current description of the EUT/CRA alignment have been highlighted, but not resolved.  </w:t>
      </w:r>
    </w:p>
    <w:p w:rsidR="00E13370" w:rsidRDefault="00912A18" w:rsidP="0062745C">
      <w:pPr>
        <w:pStyle w:val="BodyText"/>
      </w:pPr>
      <w:r>
        <w:t>In the way-forward [11] from last meeting the following decisions</w:t>
      </w:r>
      <w:r w:rsidR="00FE3CD2">
        <w:t xml:space="preserve"> and guidance is captured</w:t>
      </w:r>
      <w:r>
        <w:t>:</w:t>
      </w:r>
    </w:p>
    <w:p w:rsidR="00E13370" w:rsidRPr="00A60708" w:rsidRDefault="00912A18" w:rsidP="008D3E16">
      <w:pPr>
        <w:pStyle w:val="BodyText"/>
        <w:numPr>
          <w:ilvl w:val="0"/>
          <w:numId w:val="6"/>
        </w:numPr>
        <w:tabs>
          <w:tab w:val="left" w:pos="851"/>
        </w:tabs>
        <w:ind w:left="851" w:hanging="491"/>
        <w:rPr>
          <w:i/>
        </w:rPr>
      </w:pPr>
      <w:r>
        <w:rPr>
          <w:i/>
        </w:rPr>
        <w:t>The base station m</w:t>
      </w:r>
      <w:r w:rsidR="00E13370" w:rsidRPr="00A60708">
        <w:rPr>
          <w:i/>
        </w:rPr>
        <w:t>anufacturer will declare the wors</w:t>
      </w:r>
      <w:r w:rsidR="008D3E16" w:rsidRPr="00A60708">
        <w:rPr>
          <w:i/>
        </w:rPr>
        <w:t>t-</w:t>
      </w:r>
      <w:r w:rsidR="00E13370" w:rsidRPr="00A60708">
        <w:rPr>
          <w:i/>
        </w:rPr>
        <w:t xml:space="preserve">case side of the </w:t>
      </w:r>
      <w:r>
        <w:rPr>
          <w:i/>
        </w:rPr>
        <w:t>EUT</w:t>
      </w:r>
      <w:r w:rsidR="00E13370" w:rsidRPr="00A60708">
        <w:rPr>
          <w:i/>
        </w:rPr>
        <w:t xml:space="preserve"> on which the </w:t>
      </w:r>
      <w:r>
        <w:rPr>
          <w:i/>
        </w:rPr>
        <w:t>CRA</w:t>
      </w:r>
      <w:r w:rsidR="00E13370" w:rsidRPr="00A60708">
        <w:rPr>
          <w:i/>
        </w:rPr>
        <w:t xml:space="preserve"> is placed and test will be done only on the declared side</w:t>
      </w:r>
      <w:r>
        <w:rPr>
          <w:i/>
        </w:rPr>
        <w:t xml:space="preserve">. </w:t>
      </w:r>
    </w:p>
    <w:p w:rsidR="00E13370" w:rsidRPr="00A60708" w:rsidRDefault="00E13370" w:rsidP="00A60708">
      <w:pPr>
        <w:pStyle w:val="BodyText"/>
        <w:numPr>
          <w:ilvl w:val="0"/>
          <w:numId w:val="6"/>
        </w:numPr>
        <w:tabs>
          <w:tab w:val="left" w:pos="851"/>
        </w:tabs>
        <w:ind w:left="851" w:hanging="491"/>
        <w:rPr>
          <w:i/>
        </w:rPr>
      </w:pPr>
      <w:r w:rsidRPr="00A60708">
        <w:rPr>
          <w:i/>
        </w:rPr>
        <w:t>Multicolumn and multiband antennas can be used as</w:t>
      </w:r>
      <w:r w:rsidR="00912A18">
        <w:rPr>
          <w:i/>
        </w:rPr>
        <w:t xml:space="preserve"> CRA</w:t>
      </w:r>
      <w:r w:rsidRPr="00A60708">
        <w:rPr>
          <w:i/>
        </w:rPr>
        <w:t xml:space="preserve">, </w:t>
      </w:r>
      <w:r w:rsidR="00912A18">
        <w:rPr>
          <w:i/>
        </w:rPr>
        <w:t xml:space="preserve">specific details for this kind of setup requires additional descriptive text to be added. </w:t>
      </w:r>
    </w:p>
    <w:p w:rsidR="00E13370" w:rsidRPr="00A60708" w:rsidRDefault="00912A18" w:rsidP="0044218F">
      <w:pPr>
        <w:pStyle w:val="BodyText"/>
        <w:numPr>
          <w:ilvl w:val="0"/>
          <w:numId w:val="6"/>
        </w:numPr>
        <w:tabs>
          <w:tab w:val="left" w:pos="851"/>
          <w:tab w:val="left" w:pos="993"/>
        </w:tabs>
        <w:ind w:left="851" w:hanging="491"/>
        <w:rPr>
          <w:i/>
        </w:rPr>
      </w:pPr>
      <w:r>
        <w:rPr>
          <w:i/>
        </w:rPr>
        <w:t xml:space="preserve">For next meeting it is </w:t>
      </w:r>
      <w:r w:rsidR="00E13370" w:rsidRPr="00A60708">
        <w:rPr>
          <w:i/>
        </w:rPr>
        <w:t xml:space="preserve">encouraged to bring </w:t>
      </w:r>
      <w:r>
        <w:rPr>
          <w:i/>
        </w:rPr>
        <w:t xml:space="preserve">contributions with </w:t>
      </w:r>
      <w:r w:rsidR="00E13370" w:rsidRPr="00A60708">
        <w:rPr>
          <w:i/>
        </w:rPr>
        <w:t xml:space="preserve">input how issues </w:t>
      </w:r>
      <w:r>
        <w:rPr>
          <w:i/>
        </w:rPr>
        <w:t>related to transmitter intermodulation</w:t>
      </w:r>
      <w:r w:rsidR="00E13370" w:rsidRPr="00A60708">
        <w:rPr>
          <w:i/>
        </w:rPr>
        <w:t xml:space="preserve"> test and measurements close to </w:t>
      </w:r>
      <w:r>
        <w:rPr>
          <w:i/>
        </w:rPr>
        <w:t xml:space="preserve">interferer signal and </w:t>
      </w:r>
      <w:r w:rsidR="00E13370" w:rsidRPr="00A60708">
        <w:rPr>
          <w:i/>
        </w:rPr>
        <w:t>noise floor are addressed</w:t>
      </w:r>
      <w:r>
        <w:rPr>
          <w:i/>
        </w:rPr>
        <w:t>.</w:t>
      </w:r>
    </w:p>
    <w:p w:rsidR="0044218F" w:rsidRDefault="008D3E16" w:rsidP="0062745C">
      <w:pPr>
        <w:pStyle w:val="BodyText"/>
      </w:pPr>
      <w:r>
        <w:t xml:space="preserve">In this contribution, the issue related to the different length between the </w:t>
      </w:r>
      <w:r w:rsidR="00FE3CD2">
        <w:t>EUT</w:t>
      </w:r>
      <w:r>
        <w:t xml:space="preserve"> and CRA is analysed. The length of the CRA is very important to mimic the co</w:t>
      </w:r>
      <w:r w:rsidR="00FE3CD2">
        <w:t>-</w:t>
      </w:r>
      <w:r>
        <w:t>location scenario for which the requirements are defined</w:t>
      </w:r>
      <w:r w:rsidR="00FE3CD2">
        <w:t xml:space="preserve"> (e.g. wide area, medium </w:t>
      </w:r>
      <w:proofErr w:type="gramStart"/>
      <w:r w:rsidR="00FE3CD2">
        <w:t>range</w:t>
      </w:r>
      <w:proofErr w:type="gramEnd"/>
      <w:r w:rsidR="00FE3CD2">
        <w:t xml:space="preserve"> or local area)</w:t>
      </w:r>
      <w:r>
        <w:t>. Also, for the out-of-band region the selected CRA length needs some considerations</w:t>
      </w:r>
      <w:r w:rsidR="00FE3CD2">
        <w:t>, since the length of the CRA will change as function of frequency to maintain the EUT coverage area.</w:t>
      </w:r>
      <w:r w:rsidR="001C2BAB">
        <w:t xml:space="preserve"> </w:t>
      </w:r>
    </w:p>
    <w:p w:rsidR="0044218F" w:rsidRDefault="00FE3CD2" w:rsidP="0044218F">
      <w:pPr>
        <w:pStyle w:val="BodyText"/>
      </w:pPr>
      <w:r>
        <w:t xml:space="preserve">The </w:t>
      </w:r>
      <w:r>
        <w:rPr>
          <w:lang w:val="en-US" w:eastAsia="zh-CN"/>
        </w:rPr>
        <w:t>c</w:t>
      </w:r>
      <w:r w:rsidR="0044218F" w:rsidRPr="00582D8D">
        <w:rPr>
          <w:lang w:val="en-US" w:eastAsia="zh-CN"/>
        </w:rPr>
        <w:t xml:space="preserve">o-location requirements are requirements which are based on assuming the AAS </w:t>
      </w:r>
      <w:r w:rsidR="0044218F">
        <w:rPr>
          <w:lang w:val="en-US" w:eastAsia="zh-CN"/>
        </w:rPr>
        <w:t>base station</w:t>
      </w:r>
      <w:r w:rsidR="0044218F" w:rsidRPr="00582D8D">
        <w:rPr>
          <w:lang w:val="en-US" w:eastAsia="zh-CN"/>
        </w:rPr>
        <w:t xml:space="preserve"> is co-located with another </w:t>
      </w:r>
      <w:r w:rsidR="0044218F">
        <w:rPr>
          <w:lang w:val="en-US" w:eastAsia="zh-CN"/>
        </w:rPr>
        <w:t>base station</w:t>
      </w:r>
      <w:r w:rsidR="0044218F" w:rsidRPr="00582D8D">
        <w:rPr>
          <w:lang w:val="en-US" w:eastAsia="zh-CN"/>
        </w:rPr>
        <w:t xml:space="preserve"> of the same base station class; they ensure that both co-located systems can operate with minimal degradation to each other. </w:t>
      </w:r>
      <w:r w:rsidR="0044218F">
        <w:t>For these requirements a concept of a CRA is introduced. The CRA is a key component for requirements listed in Table 2-1.</w:t>
      </w:r>
    </w:p>
    <w:p w:rsidR="0044218F" w:rsidRDefault="0044218F" w:rsidP="0044218F">
      <w:pPr>
        <w:keepNext/>
        <w:keepLines/>
        <w:spacing w:after="0"/>
        <w:jc w:val="center"/>
        <w:rPr>
          <w:rFonts w:ascii="Arial" w:eastAsia="SimSun" w:hAnsi="Arial"/>
          <w:b/>
          <w:sz w:val="18"/>
        </w:rPr>
      </w:pPr>
      <w:r>
        <w:rPr>
          <w:rFonts w:ascii="Arial" w:eastAsia="SimSun" w:hAnsi="Arial"/>
          <w:b/>
          <w:sz w:val="18"/>
        </w:rPr>
        <w:t>Table 2-1</w:t>
      </w:r>
      <w:r w:rsidRPr="0041446D">
        <w:rPr>
          <w:rFonts w:ascii="Arial" w:eastAsia="SimSun" w:hAnsi="Arial"/>
          <w:b/>
          <w:sz w:val="18"/>
        </w:rPr>
        <w:t xml:space="preserve">: </w:t>
      </w:r>
      <w:r>
        <w:rPr>
          <w:rFonts w:ascii="Arial" w:eastAsia="SimSun" w:hAnsi="Arial"/>
          <w:b/>
          <w:sz w:val="18"/>
        </w:rPr>
        <w:t xml:space="preserve">CRA operation </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90"/>
        <w:gridCol w:w="1559"/>
        <w:gridCol w:w="1843"/>
        <w:gridCol w:w="3725"/>
      </w:tblGrid>
      <w:tr w:rsidR="0044218F" w:rsidRPr="000C0827" w:rsidTr="00943AAD">
        <w:trPr>
          <w:tblHeader/>
          <w:jc w:val="center"/>
        </w:trPr>
        <w:tc>
          <w:tcPr>
            <w:tcW w:w="2590" w:type="dxa"/>
          </w:tcPr>
          <w:p w:rsidR="0044218F" w:rsidRDefault="0044218F" w:rsidP="00943AAD">
            <w:pPr>
              <w:keepNext/>
              <w:keepLines/>
              <w:spacing w:after="0"/>
              <w:jc w:val="center"/>
              <w:rPr>
                <w:rFonts w:ascii="Arial" w:hAnsi="Arial"/>
                <w:b/>
                <w:sz w:val="18"/>
              </w:rPr>
            </w:pPr>
            <w:r>
              <w:rPr>
                <w:rFonts w:ascii="Arial" w:hAnsi="Arial"/>
                <w:b/>
                <w:sz w:val="18"/>
              </w:rPr>
              <w:t>Requirement</w:t>
            </w:r>
          </w:p>
          <w:p w:rsidR="0044218F" w:rsidRDefault="0044218F" w:rsidP="00943AAD">
            <w:pPr>
              <w:keepNext/>
              <w:keepLines/>
              <w:spacing w:after="0"/>
              <w:jc w:val="center"/>
              <w:rPr>
                <w:rFonts w:ascii="Arial" w:hAnsi="Arial"/>
                <w:b/>
                <w:sz w:val="18"/>
              </w:rPr>
            </w:pPr>
          </w:p>
        </w:tc>
        <w:tc>
          <w:tcPr>
            <w:tcW w:w="1559" w:type="dxa"/>
            <w:shd w:val="clear" w:color="auto" w:fill="auto"/>
          </w:tcPr>
          <w:p w:rsidR="0044218F" w:rsidRPr="000C0827" w:rsidRDefault="0044218F" w:rsidP="00943AAD">
            <w:pPr>
              <w:keepNext/>
              <w:keepLines/>
              <w:spacing w:after="0"/>
              <w:jc w:val="center"/>
              <w:rPr>
                <w:rFonts w:ascii="Arial" w:hAnsi="Arial"/>
                <w:b/>
                <w:sz w:val="18"/>
              </w:rPr>
            </w:pPr>
            <w:r>
              <w:rPr>
                <w:rFonts w:ascii="Arial" w:hAnsi="Arial"/>
                <w:b/>
                <w:sz w:val="18"/>
              </w:rPr>
              <w:t xml:space="preserve">TS 37.145-2, sub-clause </w:t>
            </w:r>
          </w:p>
        </w:tc>
        <w:tc>
          <w:tcPr>
            <w:tcW w:w="1843" w:type="dxa"/>
          </w:tcPr>
          <w:p w:rsidR="0044218F" w:rsidRDefault="0044218F" w:rsidP="00943AAD">
            <w:pPr>
              <w:keepNext/>
              <w:keepLines/>
              <w:spacing w:after="0"/>
              <w:jc w:val="center"/>
              <w:rPr>
                <w:rFonts w:ascii="Arial" w:hAnsi="Arial"/>
                <w:b/>
                <w:sz w:val="18"/>
              </w:rPr>
            </w:pPr>
            <w:r>
              <w:rPr>
                <w:rFonts w:ascii="Arial" w:hAnsi="Arial"/>
                <w:b/>
                <w:sz w:val="18"/>
              </w:rPr>
              <w:t>CRA operation</w:t>
            </w:r>
          </w:p>
        </w:tc>
        <w:tc>
          <w:tcPr>
            <w:tcW w:w="3725" w:type="dxa"/>
          </w:tcPr>
          <w:p w:rsidR="0044218F" w:rsidRDefault="0044218F" w:rsidP="00943AAD">
            <w:pPr>
              <w:keepNext/>
              <w:keepLines/>
              <w:spacing w:after="0"/>
              <w:jc w:val="center"/>
              <w:rPr>
                <w:rFonts w:ascii="Arial" w:hAnsi="Arial"/>
                <w:b/>
                <w:sz w:val="18"/>
              </w:rPr>
            </w:pPr>
            <w:r>
              <w:rPr>
                <w:rFonts w:ascii="Arial" w:hAnsi="Arial"/>
                <w:b/>
                <w:sz w:val="18"/>
              </w:rPr>
              <w:t>CRA frequency region</w:t>
            </w:r>
          </w:p>
        </w:tc>
      </w:tr>
      <w:tr w:rsidR="0044218F" w:rsidRPr="000C0827" w:rsidTr="00943AAD">
        <w:trPr>
          <w:jc w:val="center"/>
        </w:trPr>
        <w:tc>
          <w:tcPr>
            <w:tcW w:w="2590" w:type="dxa"/>
          </w:tcPr>
          <w:p w:rsidR="0044218F" w:rsidRDefault="0044218F" w:rsidP="00943AAD">
            <w:pPr>
              <w:keepNext/>
              <w:keepLines/>
              <w:spacing w:after="0"/>
              <w:jc w:val="center"/>
              <w:rPr>
                <w:rFonts w:ascii="Arial" w:hAnsi="Arial"/>
                <w:sz w:val="18"/>
                <w:szCs w:val="18"/>
                <w:lang w:eastAsia="zh-CN"/>
              </w:rPr>
            </w:pPr>
            <w:r>
              <w:rPr>
                <w:rFonts w:ascii="Arial" w:hAnsi="Arial"/>
                <w:sz w:val="18"/>
                <w:szCs w:val="18"/>
                <w:lang w:eastAsia="zh-CN"/>
              </w:rPr>
              <w:t>OTA Transmit ON/OFF power</w:t>
            </w:r>
          </w:p>
        </w:tc>
        <w:tc>
          <w:tcPr>
            <w:tcW w:w="1559" w:type="dxa"/>
            <w:shd w:val="clear" w:color="auto" w:fill="auto"/>
          </w:tcPr>
          <w:p w:rsidR="0044218F" w:rsidRPr="000C0827" w:rsidRDefault="0044218F" w:rsidP="00943AAD">
            <w:pPr>
              <w:keepNext/>
              <w:keepLines/>
              <w:spacing w:after="0"/>
              <w:jc w:val="center"/>
              <w:rPr>
                <w:rFonts w:ascii="Arial" w:hAnsi="Arial"/>
                <w:sz w:val="18"/>
                <w:szCs w:val="18"/>
                <w:lang w:eastAsia="zh-CN"/>
              </w:rPr>
            </w:pPr>
            <w:r>
              <w:rPr>
                <w:rFonts w:ascii="Arial" w:hAnsi="Arial"/>
                <w:sz w:val="18"/>
                <w:szCs w:val="18"/>
                <w:lang w:eastAsia="zh-CN"/>
              </w:rPr>
              <w:t>6.5</w:t>
            </w:r>
          </w:p>
        </w:tc>
        <w:tc>
          <w:tcPr>
            <w:tcW w:w="1843" w:type="dxa"/>
          </w:tcPr>
          <w:p w:rsidR="0044218F" w:rsidRDefault="0044218F" w:rsidP="00943AAD">
            <w:pPr>
              <w:keepNext/>
              <w:keepLines/>
              <w:spacing w:after="0"/>
              <w:jc w:val="center"/>
              <w:rPr>
                <w:rFonts w:ascii="Arial" w:hAnsi="Arial"/>
                <w:sz w:val="18"/>
                <w:szCs w:val="18"/>
                <w:lang w:eastAsia="zh-CN"/>
              </w:rPr>
            </w:pPr>
            <w:r>
              <w:rPr>
                <w:rFonts w:ascii="Arial" w:hAnsi="Arial"/>
                <w:sz w:val="18"/>
                <w:szCs w:val="18"/>
                <w:lang w:eastAsia="zh-CN"/>
              </w:rPr>
              <w:t xml:space="preserve">Measure emission </w:t>
            </w:r>
          </w:p>
        </w:tc>
        <w:tc>
          <w:tcPr>
            <w:tcW w:w="3725" w:type="dxa"/>
          </w:tcPr>
          <w:p w:rsidR="0044218F" w:rsidRDefault="0044218F" w:rsidP="00943AAD">
            <w:pPr>
              <w:keepNext/>
              <w:keepLines/>
              <w:spacing w:after="0"/>
              <w:jc w:val="center"/>
              <w:rPr>
                <w:rFonts w:ascii="Arial" w:hAnsi="Arial"/>
                <w:sz w:val="18"/>
                <w:szCs w:val="18"/>
                <w:lang w:eastAsia="zh-CN"/>
              </w:rPr>
            </w:pPr>
            <w:r>
              <w:rPr>
                <w:rFonts w:ascii="Arial" w:hAnsi="Arial"/>
                <w:sz w:val="18"/>
                <w:szCs w:val="18"/>
                <w:lang w:eastAsia="zh-CN"/>
              </w:rPr>
              <w:t>Emission within the carrier during RX period</w:t>
            </w:r>
          </w:p>
        </w:tc>
      </w:tr>
      <w:tr w:rsidR="0044218F" w:rsidRPr="000C0827" w:rsidTr="00943AAD">
        <w:trPr>
          <w:jc w:val="center"/>
        </w:trPr>
        <w:tc>
          <w:tcPr>
            <w:tcW w:w="2590"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OTA Spurious emission</w:t>
            </w:r>
          </w:p>
        </w:tc>
        <w:tc>
          <w:tcPr>
            <w:tcW w:w="1559" w:type="dxa"/>
            <w:shd w:val="clear" w:color="auto" w:fill="auto"/>
          </w:tcPr>
          <w:p w:rsidR="0044218F" w:rsidRDefault="0044218F" w:rsidP="00943AAD">
            <w:pPr>
              <w:keepNext/>
              <w:keepLines/>
              <w:spacing w:after="0"/>
              <w:jc w:val="center"/>
              <w:rPr>
                <w:rFonts w:ascii="Arial" w:hAnsi="Arial"/>
                <w:sz w:val="18"/>
                <w:lang w:eastAsia="x-none"/>
              </w:rPr>
            </w:pPr>
            <w:r>
              <w:rPr>
                <w:rFonts w:ascii="Arial" w:hAnsi="Arial"/>
                <w:sz w:val="18"/>
                <w:lang w:eastAsia="x-none"/>
              </w:rPr>
              <w:t>6.7.6.3</w:t>
            </w:r>
          </w:p>
          <w:p w:rsidR="0044218F" w:rsidRPr="000C0827" w:rsidRDefault="0044218F" w:rsidP="00943AAD">
            <w:pPr>
              <w:keepNext/>
              <w:keepLines/>
              <w:spacing w:after="0"/>
              <w:jc w:val="center"/>
              <w:rPr>
                <w:rFonts w:ascii="Arial" w:hAnsi="Arial"/>
                <w:sz w:val="18"/>
                <w:lang w:eastAsia="x-none"/>
              </w:rPr>
            </w:pPr>
            <w:r>
              <w:rPr>
                <w:rFonts w:ascii="Arial" w:hAnsi="Arial"/>
                <w:sz w:val="18"/>
                <w:lang w:eastAsia="x-none"/>
              </w:rPr>
              <w:t>6.7.6.5</w:t>
            </w:r>
          </w:p>
        </w:tc>
        <w:tc>
          <w:tcPr>
            <w:tcW w:w="1843"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 xml:space="preserve">Measure emission </w:t>
            </w:r>
          </w:p>
        </w:tc>
        <w:tc>
          <w:tcPr>
            <w:tcW w:w="3725"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Out-of-band region at other 3GPP bands</w:t>
            </w:r>
          </w:p>
        </w:tc>
      </w:tr>
      <w:tr w:rsidR="0044218F" w:rsidRPr="000C0827" w:rsidTr="00943AAD">
        <w:trPr>
          <w:jc w:val="center"/>
        </w:trPr>
        <w:tc>
          <w:tcPr>
            <w:tcW w:w="2590"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OTA Transmitter intermodulation</w:t>
            </w:r>
          </w:p>
        </w:tc>
        <w:tc>
          <w:tcPr>
            <w:tcW w:w="1559" w:type="dxa"/>
            <w:shd w:val="clear" w:color="auto" w:fill="auto"/>
          </w:tcPr>
          <w:p w:rsidR="0044218F" w:rsidRDefault="0044218F" w:rsidP="00943AAD">
            <w:pPr>
              <w:keepNext/>
              <w:keepLines/>
              <w:spacing w:after="0"/>
              <w:jc w:val="center"/>
              <w:rPr>
                <w:rFonts w:ascii="Arial" w:hAnsi="Arial"/>
                <w:sz w:val="18"/>
                <w:lang w:eastAsia="x-none"/>
              </w:rPr>
            </w:pPr>
            <w:r>
              <w:rPr>
                <w:rFonts w:ascii="Arial" w:hAnsi="Arial"/>
                <w:sz w:val="18"/>
                <w:lang w:eastAsia="x-none"/>
              </w:rPr>
              <w:t>6.8</w:t>
            </w:r>
          </w:p>
        </w:tc>
        <w:tc>
          <w:tcPr>
            <w:tcW w:w="1843"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Inject an interferer signal</w:t>
            </w:r>
          </w:p>
        </w:tc>
        <w:tc>
          <w:tcPr>
            <w:tcW w:w="3725"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Within the operating band</w:t>
            </w:r>
            <w:r w:rsidRPr="0086226E">
              <w:rPr>
                <w:rFonts w:ascii="Arial" w:hAnsi="Arial"/>
                <w:sz w:val="18"/>
                <w:lang w:eastAsia="x-none"/>
              </w:rPr>
              <w:t xml:space="preserve">  </w:t>
            </w:r>
          </w:p>
        </w:tc>
      </w:tr>
      <w:tr w:rsidR="0044218F" w:rsidRPr="000C0827" w:rsidTr="00943AAD">
        <w:trPr>
          <w:jc w:val="center"/>
        </w:trPr>
        <w:tc>
          <w:tcPr>
            <w:tcW w:w="2590"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OTA Blocking</w:t>
            </w:r>
          </w:p>
        </w:tc>
        <w:tc>
          <w:tcPr>
            <w:tcW w:w="1559" w:type="dxa"/>
            <w:shd w:val="clear" w:color="auto" w:fill="auto"/>
          </w:tcPr>
          <w:p w:rsidR="0044218F" w:rsidRDefault="0044218F" w:rsidP="00943AAD">
            <w:pPr>
              <w:keepNext/>
              <w:keepLines/>
              <w:spacing w:after="0"/>
              <w:jc w:val="center"/>
              <w:rPr>
                <w:rFonts w:ascii="Arial" w:hAnsi="Arial"/>
                <w:sz w:val="18"/>
                <w:lang w:eastAsia="x-none"/>
              </w:rPr>
            </w:pPr>
            <w:r>
              <w:rPr>
                <w:rFonts w:ascii="Arial" w:hAnsi="Arial"/>
                <w:sz w:val="18"/>
                <w:lang w:eastAsia="x-none"/>
              </w:rPr>
              <w:t>7.6.3</w:t>
            </w:r>
          </w:p>
        </w:tc>
        <w:tc>
          <w:tcPr>
            <w:tcW w:w="1843"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Inject an interferer signal</w:t>
            </w:r>
          </w:p>
        </w:tc>
        <w:tc>
          <w:tcPr>
            <w:tcW w:w="3725" w:type="dxa"/>
          </w:tcPr>
          <w:p w:rsidR="0044218F" w:rsidRDefault="0044218F" w:rsidP="00943AAD">
            <w:pPr>
              <w:keepNext/>
              <w:keepLines/>
              <w:spacing w:after="0"/>
              <w:jc w:val="center"/>
              <w:rPr>
                <w:rFonts w:ascii="Arial" w:hAnsi="Arial"/>
                <w:sz w:val="18"/>
                <w:lang w:eastAsia="x-none"/>
              </w:rPr>
            </w:pPr>
            <w:r>
              <w:rPr>
                <w:rFonts w:ascii="Arial" w:hAnsi="Arial"/>
                <w:sz w:val="18"/>
                <w:lang w:eastAsia="x-none"/>
              </w:rPr>
              <w:t>Out-of-band region at other 3GPP bands</w:t>
            </w:r>
          </w:p>
        </w:tc>
      </w:tr>
    </w:tbl>
    <w:p w:rsidR="00E13370" w:rsidRDefault="00E13370" w:rsidP="0062745C">
      <w:pPr>
        <w:pStyle w:val="BodyText"/>
      </w:pPr>
    </w:p>
    <w:p w:rsidR="00982796" w:rsidRDefault="0044218F" w:rsidP="002209CB">
      <w:pPr>
        <w:pStyle w:val="BodyText"/>
      </w:pPr>
      <w:r>
        <w:t xml:space="preserve">From Table 2-1, it can be noticed that the CRA is used for injecting an interferer signal and measure emission. Since the CRA in a crucial component in both cases, detailed characteristics and eventual flexibility of characteristics needs </w:t>
      </w:r>
      <w:r w:rsidR="00FE3CD2">
        <w:t xml:space="preserve">very </w:t>
      </w:r>
      <w:r>
        <w:t>careful consideration</w:t>
      </w:r>
      <w:r w:rsidR="00FE3CD2">
        <w:t xml:space="preserve"> per requirement basis</w:t>
      </w:r>
      <w:r>
        <w:t>.</w:t>
      </w:r>
      <w:r w:rsidR="00FE3CD2">
        <w:t xml:space="preserve"> </w:t>
      </w:r>
      <w:r>
        <w:t xml:space="preserve">The co-location concept adopted for co-location requirements in </w:t>
      </w:r>
      <w:r w:rsidR="00E54060">
        <w:t>Rel-</w:t>
      </w:r>
      <w:r>
        <w:t>15 version of TS 37.105, release on a</w:t>
      </w:r>
      <w:r w:rsidR="00FE3CD2">
        <w:t xml:space="preserve"> CRA </w:t>
      </w:r>
      <w:r>
        <w:t xml:space="preserve">with equal length as the </w:t>
      </w:r>
      <w:r w:rsidR="00FE3CD2">
        <w:t>EUT</w:t>
      </w:r>
      <w:r>
        <w:t xml:space="preserve">. From a practical point of view, it may be difficult to mandate the CRA to have </w:t>
      </w:r>
      <w:proofErr w:type="gramStart"/>
      <w:r>
        <w:t>exactly the same</w:t>
      </w:r>
      <w:proofErr w:type="gramEnd"/>
      <w:r>
        <w:t xml:space="preserve"> length as the </w:t>
      </w:r>
      <w:r w:rsidR="00FE3CD2">
        <w:t>EUT</w:t>
      </w:r>
      <w:r>
        <w:t>. Therefore, the impact of the length of the CRA is analyse</w:t>
      </w:r>
      <w:r w:rsidR="00FE3CD2">
        <w:t>d</w:t>
      </w:r>
      <w:r>
        <w:t xml:space="preserve"> using a simple coupling model presented in </w:t>
      </w:r>
      <w:r w:rsidR="00FE3CD2">
        <w:t xml:space="preserve">an </w:t>
      </w:r>
      <w:r>
        <w:t>earlier contribution [</w:t>
      </w:r>
      <w:r w:rsidR="00FE3CD2">
        <w:t>13</w:t>
      </w:r>
      <w:r>
        <w:t xml:space="preserve">]. Instead of using </w:t>
      </w:r>
      <w:r w:rsidR="00752FDF">
        <w:t xml:space="preserve">element port-to-port </w:t>
      </w:r>
      <w:r>
        <w:t xml:space="preserve">coupling information </w:t>
      </w:r>
      <w:r w:rsidR="00752FDF">
        <w:t xml:space="preserve">derived </w:t>
      </w:r>
      <w:r>
        <w:t xml:space="preserve">from </w:t>
      </w:r>
      <w:r w:rsidR="00FE3CD2">
        <w:t>the</w:t>
      </w:r>
      <w:r>
        <w:t xml:space="preserve"> </w:t>
      </w:r>
      <w:r w:rsidR="002209CB">
        <w:t xml:space="preserve">scattering </w:t>
      </w:r>
      <w:r>
        <w:t xml:space="preserve">matrix. It is here assumed that </w:t>
      </w:r>
      <w:r w:rsidR="00752FDF">
        <w:t xml:space="preserve">all </w:t>
      </w:r>
      <w:r>
        <w:t xml:space="preserve">elements at 90 degrees </w:t>
      </w:r>
      <w:r w:rsidR="00752FDF">
        <w:t xml:space="preserve">horizontal angle </w:t>
      </w:r>
      <w:r>
        <w:t xml:space="preserve">fulfils the far-field criteria, which means that </w:t>
      </w:r>
      <w:proofErr w:type="spellStart"/>
      <w:r>
        <w:t>Friis</w:t>
      </w:r>
      <w:proofErr w:type="spellEnd"/>
      <w:r>
        <w:t xml:space="preserve"> free-space path loss formula can be used.</w:t>
      </w:r>
      <w:r w:rsidR="002209CB">
        <w:t xml:space="preserve"> </w:t>
      </w:r>
    </w:p>
    <w:p w:rsidR="002209CB" w:rsidRDefault="00982796" w:rsidP="00C72C62">
      <w:pPr>
        <w:pStyle w:val="BodyText"/>
      </w:pPr>
      <w:r>
        <w:t>For the case where an interfering signal is injected by the CRA</w:t>
      </w:r>
      <w:r w:rsidR="002209CB">
        <w:t xml:space="preserve"> </w:t>
      </w:r>
      <w:r w:rsidR="00722DD1">
        <w:t xml:space="preserve">(which is the case for transmitter intermodulation and receiver blocking) </w:t>
      </w:r>
      <w:r w:rsidR="002209CB">
        <w:t xml:space="preserve">the port-to-port isolation </w:t>
      </w:r>
      <w:r w:rsidR="009A324B">
        <w:t xml:space="preserve">per </w:t>
      </w:r>
      <w:r w:rsidR="002209CB">
        <w:t xml:space="preserve">polarizations can be expressed </w:t>
      </w:r>
      <w:r>
        <w:t xml:space="preserve">in decibel scale </w:t>
      </w:r>
      <w:r w:rsidR="002209CB">
        <w:t>as:</w:t>
      </w:r>
    </w:p>
    <w:p w:rsidR="009A324B" w:rsidRPr="009A324B" w:rsidRDefault="009A324B" w:rsidP="009A324B">
      <w:pPr>
        <w:spacing w:after="160" w:line="259" w:lineRule="auto"/>
        <w:rPr>
          <w:rFonts w:asciiTheme="minorHAnsi" w:eastAsiaTheme="minorEastAsia" w:hAnsiTheme="minorHAnsi" w:cstheme="minorBidi"/>
          <w:sz w:val="22"/>
          <w:szCs w:val="22"/>
          <w:lang w:val="en-US"/>
        </w:rPr>
      </w:pPr>
      <w:bookmarkStart w:id="1" w:name="_Hlk516126491"/>
      <m:oMathPara>
        <m:oMath>
          <m:r>
            <w:rPr>
              <w:rFonts w:ascii="Cambria Math" w:eastAsiaTheme="minorHAnsi" w:hAnsi="Cambria Math" w:cstheme="minorBidi"/>
              <w:sz w:val="22"/>
              <w:szCs w:val="22"/>
              <w:lang w:val="en-US"/>
            </w:rPr>
            <m:t>I=10</m:t>
          </m:r>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log</m:t>
              </m:r>
            </m:e>
            <m:sub>
              <m:r>
                <w:rPr>
                  <w:rFonts w:ascii="Cambria Math" w:eastAsiaTheme="minorHAnsi" w:hAnsi="Cambria Math" w:cstheme="minorBidi"/>
                  <w:sz w:val="22"/>
                  <w:szCs w:val="22"/>
                  <w:lang w:val="en-US"/>
                </w:rPr>
                <m:t>10</m:t>
              </m:r>
            </m:sub>
          </m:sSub>
          <m:d>
            <m:dPr>
              <m:ctrlPr>
                <w:rPr>
                  <w:rFonts w:ascii="Cambria Math" w:eastAsiaTheme="minorHAnsi" w:hAnsi="Cambria Math" w:cstheme="minorBidi"/>
                  <w:i/>
                  <w:sz w:val="22"/>
                  <w:szCs w:val="22"/>
                  <w:lang w:val="en-US"/>
                </w:rPr>
              </m:ctrlPr>
            </m:dPr>
            <m:e>
              <m:nary>
                <m:naryPr>
                  <m:chr m:val="∑"/>
                  <m:limLoc m:val="undOvr"/>
                  <m:ctrlPr>
                    <w:rPr>
                      <w:rFonts w:ascii="Cambria Math" w:eastAsiaTheme="minorHAnsi" w:hAnsi="Cambria Math" w:cstheme="minorBidi"/>
                      <w:i/>
                      <w:sz w:val="22"/>
                      <w:szCs w:val="22"/>
                      <w:lang w:val="en-US"/>
                    </w:rPr>
                  </m:ctrlPr>
                </m:naryPr>
                <m:sub>
                  <m:r>
                    <w:rPr>
                      <w:rFonts w:ascii="Cambria Math" w:eastAsiaTheme="minorHAnsi" w:hAnsi="Cambria Math" w:cstheme="minorBidi"/>
                      <w:sz w:val="22"/>
                      <w:szCs w:val="22"/>
                      <w:lang w:val="en-US"/>
                    </w:rPr>
                    <m:t>n=1</m:t>
                  </m:r>
                </m:sub>
                <m:sup>
                  <m:r>
                    <w:rPr>
                      <w:rFonts w:ascii="Cambria Math" w:eastAsiaTheme="minorHAnsi" w:hAnsi="Cambria Math" w:cstheme="minorBidi"/>
                      <w:sz w:val="22"/>
                      <w:szCs w:val="22"/>
                      <w:lang w:val="en-US"/>
                    </w:rPr>
                    <m:t>N</m:t>
                  </m:r>
                </m:sup>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L</m:t>
                          </m:r>
                        </m:e>
                        <m:sub>
                          <m:r>
                            <w:rPr>
                              <w:rFonts w:ascii="Cambria Math" w:eastAsiaTheme="minorHAnsi" w:hAnsi="Cambria Math" w:cstheme="minorBidi"/>
                              <w:sz w:val="22"/>
                              <w:szCs w:val="22"/>
                              <w:lang w:val="en-US"/>
                            </w:rPr>
                            <m:t>n</m:t>
                          </m:r>
                        </m:sub>
                      </m:sSub>
                      <m:r>
                        <w:rPr>
                          <w:rFonts w:ascii="Cambria Math" w:eastAsiaTheme="minorHAnsi" w:hAnsi="Cambria Math" w:cstheme="minorBidi"/>
                          <w:sz w:val="22"/>
                          <w:szCs w:val="22"/>
                          <w:lang w:val="en-US"/>
                        </w:rPr>
                        <m:t>N</m:t>
                      </m:r>
                    </m:num>
                    <m:den>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G</m:t>
                          </m:r>
                        </m:e>
                        <m:sub>
                          <m:r>
                            <w:rPr>
                              <w:rFonts w:ascii="Cambria Math" w:eastAsiaTheme="minorHAnsi" w:hAnsi="Cambria Math" w:cstheme="minorBidi"/>
                              <w:sz w:val="22"/>
                              <w:szCs w:val="22"/>
                              <w:lang w:val="en-US"/>
                            </w:rPr>
                            <m:t>1</m:t>
                          </m:r>
                        </m:sub>
                      </m:sSub>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G</m:t>
                          </m:r>
                        </m:e>
                        <m:sub>
                          <m:r>
                            <w:rPr>
                              <w:rFonts w:ascii="Cambria Math" w:eastAsiaTheme="minorHAnsi" w:hAnsi="Cambria Math" w:cstheme="minorBidi"/>
                              <w:sz w:val="22"/>
                              <w:szCs w:val="22"/>
                              <w:lang w:val="en-US"/>
                            </w:rPr>
                            <m:t>2</m:t>
                          </m:r>
                        </m:sub>
                      </m:sSub>
                    </m:den>
                  </m:f>
                </m:e>
              </m:nary>
            </m:e>
          </m:d>
        </m:oMath>
      </m:oMathPara>
    </w:p>
    <w:bookmarkEnd w:id="1"/>
    <w:p w:rsidR="004C0C1D" w:rsidRDefault="00197669" w:rsidP="004C0C1D">
      <w:pPr>
        <w:pStyle w:val="BodyText"/>
      </w:pPr>
      <w:r>
        <w:t xml:space="preserve">, where </w:t>
      </w:r>
      <w:r w:rsidRPr="00C72C62">
        <w:rPr>
          <w:i/>
        </w:rPr>
        <w:t>N</w:t>
      </w:r>
      <w:r>
        <w:t xml:space="preserve"> is the number of elements in the CRA, </w:t>
      </w:r>
      <w:r w:rsidRPr="00C72C62">
        <w:rPr>
          <w:i/>
        </w:rPr>
        <w:t>L</w:t>
      </w:r>
      <w:r w:rsidRPr="00C72C62">
        <w:rPr>
          <w:i/>
          <w:vertAlign w:val="subscript"/>
        </w:rPr>
        <w:t>n</w:t>
      </w:r>
      <w:r>
        <w:t xml:space="preserve"> is the path loss between reference element and one element in the CRA. </w:t>
      </w:r>
      <w:r w:rsidR="009A324B">
        <w:t xml:space="preserve">The port-to-port isolation is defined as the power received by the reference element within the EUT </w:t>
      </w:r>
      <w:r>
        <w:t>coming from the CRA. To analyse the power injected into the EUT electronics t</w:t>
      </w:r>
      <w:r w:rsidR="004C0C1D">
        <w:t>he reference element is moved along the z-axis</w:t>
      </w:r>
      <w:r w:rsidR="00982796">
        <w:t xml:space="preserve">. For each reference location at the z-axis </w:t>
      </w:r>
      <w:r w:rsidR="00982796" w:rsidRPr="00C72C62">
        <w:rPr>
          <w:i/>
        </w:rPr>
        <w:t>L</w:t>
      </w:r>
      <w:r w:rsidR="00982796" w:rsidRPr="00C72C62">
        <w:rPr>
          <w:i/>
          <w:vertAlign w:val="subscript"/>
        </w:rPr>
        <w:t>n</w:t>
      </w:r>
      <w:r w:rsidR="00982796">
        <w:t xml:space="preserve"> contributions will change according to individual distances between the reference element and CRA elements. The CRA element antenna gain (</w:t>
      </w:r>
      <w:r w:rsidR="00982796" w:rsidRPr="00C72C62">
        <w:rPr>
          <w:i/>
        </w:rPr>
        <w:t>G</w:t>
      </w:r>
      <w:r w:rsidR="00982796" w:rsidRPr="00C72C62">
        <w:rPr>
          <w:i/>
          <w:vertAlign w:val="subscript"/>
        </w:rPr>
        <w:t>1</w:t>
      </w:r>
      <w:r w:rsidR="00982796">
        <w:t>) and reference antenna gain (</w:t>
      </w:r>
      <w:r w:rsidR="00982796" w:rsidRPr="00C72C62">
        <w:rPr>
          <w:i/>
        </w:rPr>
        <w:t>G</w:t>
      </w:r>
      <w:r w:rsidR="00982796" w:rsidRPr="00C72C62">
        <w:rPr>
          <w:i/>
          <w:vertAlign w:val="subscript"/>
        </w:rPr>
        <w:t>2</w:t>
      </w:r>
      <w:r w:rsidR="00982796">
        <w:t xml:space="preserve">) at 90 degrees horizontal angle is here assumed to be -10 </w:t>
      </w:r>
      <w:proofErr w:type="spellStart"/>
      <w:r w:rsidR="00982796">
        <w:t>dBi</w:t>
      </w:r>
      <w:proofErr w:type="spellEnd"/>
      <w:r w:rsidR="00982796">
        <w:t>.</w:t>
      </w:r>
    </w:p>
    <w:p w:rsidR="00982796" w:rsidRDefault="00AD7E09" w:rsidP="004C0C1D">
      <w:pPr>
        <w:pStyle w:val="BodyText"/>
      </w:pPr>
      <w:r>
        <w:t xml:space="preserve">This </w:t>
      </w:r>
      <w:r w:rsidR="0081456F">
        <w:t>simplistic model is based on following fundamental assumptions:</w:t>
      </w:r>
    </w:p>
    <w:p w:rsidR="0081456F" w:rsidRDefault="0081456F" w:rsidP="0081456F">
      <w:pPr>
        <w:pStyle w:val="BodyText"/>
        <w:numPr>
          <w:ilvl w:val="0"/>
          <w:numId w:val="7"/>
        </w:numPr>
      </w:pPr>
      <w:r>
        <w:t>Free-space path loss between individual elements</w:t>
      </w:r>
      <w:r w:rsidR="001709FF">
        <w:t xml:space="preserve"> is assumed</w:t>
      </w:r>
      <w:r w:rsidR="00C72C62">
        <w:t>.</w:t>
      </w:r>
    </w:p>
    <w:p w:rsidR="0081456F" w:rsidRDefault="00B66342" w:rsidP="0081456F">
      <w:pPr>
        <w:pStyle w:val="BodyText"/>
        <w:numPr>
          <w:ilvl w:val="0"/>
          <w:numId w:val="7"/>
        </w:numPr>
      </w:pPr>
      <w:r>
        <w:t xml:space="preserve">The power received by the reference element is calculated as the sum of multiple CRA element contributions. </w:t>
      </w:r>
    </w:p>
    <w:p w:rsidR="0081456F" w:rsidRDefault="001709FF" w:rsidP="0081456F">
      <w:pPr>
        <w:pStyle w:val="BodyText"/>
        <w:numPr>
          <w:ilvl w:val="0"/>
          <w:numId w:val="7"/>
        </w:numPr>
      </w:pPr>
      <w:r>
        <w:t xml:space="preserve">The </w:t>
      </w:r>
      <w:r w:rsidR="00B66342">
        <w:t xml:space="preserve">reference </w:t>
      </w:r>
      <w:r>
        <w:t>element gain</w:t>
      </w:r>
      <w:r w:rsidR="0081456F">
        <w:t xml:space="preserve"> </w:t>
      </w:r>
      <w:r w:rsidR="00B66342">
        <w:t xml:space="preserve">and CRA element gain </w:t>
      </w:r>
      <w:r w:rsidR="0081456F">
        <w:t xml:space="preserve">at 90 degrees </w:t>
      </w:r>
      <w:r w:rsidR="00C72C62">
        <w:t xml:space="preserve">horizontal </w:t>
      </w:r>
      <w:r w:rsidR="0081456F">
        <w:t>angle</w:t>
      </w:r>
      <w:r>
        <w:t xml:space="preserve"> is assumed to be -10 </w:t>
      </w:r>
      <w:proofErr w:type="spellStart"/>
      <w:r>
        <w:t>dBi</w:t>
      </w:r>
      <w:proofErr w:type="spellEnd"/>
      <w:r w:rsidR="00C72C62">
        <w:t>.</w:t>
      </w:r>
    </w:p>
    <w:p w:rsidR="0081456F" w:rsidRDefault="0081456F" w:rsidP="0081456F">
      <w:pPr>
        <w:pStyle w:val="BodyText"/>
      </w:pPr>
      <w:r>
        <w:t>Which means that effects due to mutual coupling and signal correlation is not captured</w:t>
      </w:r>
      <w:r w:rsidR="00197669">
        <w:t xml:space="preserve"> in this analysis</w:t>
      </w:r>
      <w:r>
        <w:t xml:space="preserve">. </w:t>
      </w:r>
    </w:p>
    <w:p w:rsidR="0081456F" w:rsidRPr="00C72C62" w:rsidRDefault="0081456F" w:rsidP="00C72C62">
      <w:pPr>
        <w:pStyle w:val="BodyText"/>
      </w:pPr>
      <w:r>
        <w:lastRenderedPageBreak/>
        <w:t xml:space="preserve">The </w:t>
      </w:r>
      <w:r w:rsidR="00197669">
        <w:t xml:space="preserve">background for the coupling </w:t>
      </w:r>
      <w:r>
        <w:t>model is visualized in Figure 2-2. The reference element experience multiple signal contributions from the CRA antenna, coming from all individual elements. The reference element is moved along the z-axis at y set to a location corresponding to the column narrowest to the CRA antenna. The EUT and CRA, edge-to-edge separation (</w:t>
      </w:r>
      <w:r w:rsidRPr="00B13A74">
        <w:rPr>
          <w:i/>
        </w:rPr>
        <w:t>d</w:t>
      </w:r>
      <w:r>
        <w:t>) is 0.1 m.</w:t>
      </w:r>
      <w:r w:rsidR="00607CF7">
        <w:t xml:space="preserve"> The CRA element separation is here assumed to be 0.5</w:t>
      </w:r>
      <w:r w:rsidR="00607CF7" w:rsidRPr="00BF596C">
        <w:rPr>
          <w:rFonts w:ascii="Symbol" w:hAnsi="Symbol"/>
        </w:rPr>
        <w:t></w:t>
      </w:r>
      <w:r w:rsidR="00607CF7">
        <w:t xml:space="preserve"> m.</w:t>
      </w:r>
      <w:r>
        <w:t xml:space="preserve"> </w:t>
      </w:r>
      <w:r w:rsidR="00607CF7">
        <w:t xml:space="preserve"> </w:t>
      </w:r>
      <w:r>
        <w:t xml:space="preserve"> </w:t>
      </w:r>
    </w:p>
    <w:p w:rsidR="004B372C" w:rsidRDefault="00D31AC1" w:rsidP="001018A8">
      <w:pPr>
        <w:pStyle w:val="BodyText"/>
        <w:ind w:firstLine="1843"/>
      </w:pPr>
      <w:r>
        <w:rPr>
          <w:noProof/>
        </w:rPr>
        <w:drawing>
          <wp:inline distT="0" distB="0" distL="0" distR="0">
            <wp:extent cx="3476625" cy="3571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6625" cy="3571875"/>
                    </a:xfrm>
                    <a:prstGeom prst="rect">
                      <a:avLst/>
                    </a:prstGeom>
                    <a:noFill/>
                    <a:ln>
                      <a:noFill/>
                    </a:ln>
                  </pic:spPr>
                </pic:pic>
              </a:graphicData>
            </a:graphic>
          </wp:inline>
        </w:drawing>
      </w:r>
    </w:p>
    <w:p w:rsidR="00597F17" w:rsidRDefault="00597F17" w:rsidP="00597F1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44218F">
        <w:rPr>
          <w:rFonts w:ascii="Arial" w:hAnsi="Arial"/>
          <w:b/>
          <w:lang w:eastAsia="x-none"/>
        </w:rPr>
        <w:t>2</w:t>
      </w:r>
      <w:r w:rsidRPr="009D1119">
        <w:rPr>
          <w:rFonts w:ascii="Arial" w:hAnsi="Arial"/>
          <w:b/>
          <w:lang w:eastAsia="x-none"/>
        </w:rPr>
        <w:t>:</w:t>
      </w:r>
      <w:r>
        <w:rPr>
          <w:rFonts w:ascii="Arial" w:hAnsi="Arial"/>
          <w:b/>
          <w:lang w:eastAsia="x-none"/>
        </w:rPr>
        <w:t xml:space="preserve"> </w:t>
      </w:r>
      <w:r w:rsidR="00F907B3">
        <w:rPr>
          <w:rFonts w:ascii="Arial" w:hAnsi="Arial"/>
          <w:b/>
          <w:lang w:eastAsia="x-none"/>
        </w:rPr>
        <w:t>Interferer signal port-to-port isolation</w:t>
      </w:r>
    </w:p>
    <w:p w:rsidR="004B372C" w:rsidRDefault="004C2687" w:rsidP="004B372C">
      <w:pPr>
        <w:pStyle w:val="BodyText"/>
      </w:pPr>
      <w:r>
        <w:t xml:space="preserve">In Figure </w:t>
      </w:r>
      <w:r w:rsidR="0044218F">
        <w:t>2-3</w:t>
      </w:r>
      <w:r>
        <w:t xml:space="preserve">, the port-to-port isolation </w:t>
      </w:r>
      <w:r w:rsidR="006E3621">
        <w:t xml:space="preserve">is plotted for 2.5 GHz operating frequency. </w:t>
      </w:r>
      <w:r w:rsidR="00255394">
        <w:t xml:space="preserve">The isolation </w:t>
      </w:r>
      <w:r w:rsidR="00B13A74">
        <w:t xml:space="preserve">is a function of the reference element location as an offset with respect to the midpoint of the CRA. </w:t>
      </w:r>
      <w:r w:rsidR="00EA0C66">
        <w:t>The port-to-port isolation is defined as the ratio between P</w:t>
      </w:r>
      <w:r w:rsidR="00EA0C66" w:rsidRPr="002342AE">
        <w:rPr>
          <w:vertAlign w:val="subscript"/>
        </w:rPr>
        <w:t>1</w:t>
      </w:r>
      <w:r w:rsidR="00EA0C66">
        <w:t xml:space="preserve"> and P</w:t>
      </w:r>
      <w:r w:rsidR="00EA0C66" w:rsidRPr="002342AE">
        <w:rPr>
          <w:vertAlign w:val="subscript"/>
        </w:rPr>
        <w:t>2</w:t>
      </w:r>
      <w:r w:rsidR="00B13A74">
        <w:rPr>
          <w:vertAlign w:val="subscript"/>
        </w:rPr>
        <w:t xml:space="preserve"> </w:t>
      </w:r>
      <w:r w:rsidR="00B13A74" w:rsidRPr="00B13A74">
        <w:t>per polarization.</w:t>
      </w:r>
    </w:p>
    <w:p w:rsidR="004B372C" w:rsidRDefault="00D31AC1" w:rsidP="00B13A74">
      <w:pPr>
        <w:pStyle w:val="BodyText"/>
        <w:ind w:firstLine="1418"/>
      </w:pPr>
      <w:r>
        <w:rPr>
          <w:noProof/>
        </w:rPr>
        <w:drawing>
          <wp:inline distT="0" distB="0" distL="0" distR="0">
            <wp:extent cx="4314825" cy="32383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9361" cy="3241804"/>
                    </a:xfrm>
                    <a:prstGeom prst="rect">
                      <a:avLst/>
                    </a:prstGeom>
                    <a:noFill/>
                    <a:ln>
                      <a:noFill/>
                    </a:ln>
                  </pic:spPr>
                </pic:pic>
              </a:graphicData>
            </a:graphic>
          </wp:inline>
        </w:drawing>
      </w:r>
    </w:p>
    <w:p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44218F">
        <w:rPr>
          <w:rFonts w:ascii="Arial" w:hAnsi="Arial"/>
          <w:b/>
          <w:lang w:eastAsia="x-none"/>
        </w:rPr>
        <w:t>3</w:t>
      </w:r>
      <w:r w:rsidRPr="009D1119">
        <w:rPr>
          <w:rFonts w:ascii="Arial" w:hAnsi="Arial"/>
          <w:b/>
          <w:lang w:eastAsia="x-none"/>
        </w:rPr>
        <w:t>:</w:t>
      </w:r>
      <w:r>
        <w:rPr>
          <w:rFonts w:ascii="Arial" w:hAnsi="Arial"/>
          <w:b/>
          <w:lang w:eastAsia="x-none"/>
        </w:rPr>
        <w:t xml:space="preserve"> </w:t>
      </w:r>
      <w:r w:rsidR="0044218F">
        <w:rPr>
          <w:rFonts w:ascii="Arial" w:hAnsi="Arial"/>
          <w:b/>
          <w:lang w:eastAsia="x-none"/>
        </w:rPr>
        <w:t>Port-to-port isolation</w:t>
      </w:r>
    </w:p>
    <w:p w:rsidR="00214DBD" w:rsidRDefault="00214DBD" w:rsidP="0062745C">
      <w:pPr>
        <w:pStyle w:val="BodyText"/>
      </w:pPr>
      <w:r>
        <w:lastRenderedPageBreak/>
        <w:t>For requirements where an interferer signal is injected (</w:t>
      </w:r>
      <w:r w:rsidR="00197669">
        <w:t>such as t</w:t>
      </w:r>
      <w:r>
        <w:t xml:space="preserve">ransmitter </w:t>
      </w:r>
      <w:r w:rsidR="00197669">
        <w:t>i</w:t>
      </w:r>
      <w:r>
        <w:t xml:space="preserve">ntermodulation and </w:t>
      </w:r>
      <w:r w:rsidR="00197669">
        <w:t>r</w:t>
      </w:r>
      <w:r>
        <w:t>eceiver blocking) the size of the CRA is crucial to guarantee the interferer level seen by the test object.</w:t>
      </w:r>
      <w:r w:rsidR="00BF596C">
        <w:t xml:space="preserve"> It can be notices that the isolation between a single element to a single element CRA is at 0 m offset 46.4 dB</w:t>
      </w:r>
      <w:r w:rsidR="00197669">
        <w:t xml:space="preserve"> at 2.5 GHz</w:t>
      </w:r>
      <w:r w:rsidR="00BF596C">
        <w:t>.</w:t>
      </w:r>
      <w:r>
        <w:t xml:space="preserve"> </w:t>
      </w:r>
    </w:p>
    <w:p w:rsidR="00AC0669" w:rsidRDefault="00197669" w:rsidP="0062745C">
      <w:pPr>
        <w:pStyle w:val="BodyText"/>
      </w:pPr>
      <w:r>
        <w:t xml:space="preserve">For an </w:t>
      </w:r>
      <w:r w:rsidR="00B66342">
        <w:t xml:space="preserve">EUT </w:t>
      </w:r>
      <w:r>
        <w:t xml:space="preserve">with </w:t>
      </w:r>
      <w:r w:rsidR="00B66342">
        <w:t>radiating aperture length of 0.</w:t>
      </w:r>
      <w:r w:rsidR="00F45371">
        <w:t xml:space="preserve">6 </w:t>
      </w:r>
      <w:r w:rsidR="00B66342">
        <w:t>m</w:t>
      </w:r>
      <w:r>
        <w:t xml:space="preserve">, which </w:t>
      </w:r>
      <w:r w:rsidR="00F45371">
        <w:t>correspond</w:t>
      </w:r>
      <w:r>
        <w:t>s to 10 vertical elements, assuming element separation of 0.5</w:t>
      </w:r>
      <w:r w:rsidRPr="001F0C8A">
        <w:rPr>
          <w:rFonts w:ascii="Symbol" w:hAnsi="Symbol"/>
        </w:rPr>
        <w:t></w:t>
      </w:r>
      <w:r>
        <w:t xml:space="preserve">. </w:t>
      </w:r>
      <w:r w:rsidR="001F0C8A">
        <w:t xml:space="preserve">Therefore, here the CRA length of </w:t>
      </w:r>
      <w:r w:rsidR="00B66342">
        <w:t xml:space="preserve">8, </w:t>
      </w:r>
      <w:r w:rsidR="00F45371">
        <w:t xml:space="preserve">10, </w:t>
      </w:r>
      <w:r w:rsidR="00B66342">
        <w:t>12</w:t>
      </w:r>
      <w:r w:rsidR="00F45371">
        <w:t xml:space="preserve"> or</w:t>
      </w:r>
      <w:r w:rsidR="00B66342">
        <w:t xml:space="preserve"> 14 </w:t>
      </w:r>
      <w:r w:rsidR="00F45371">
        <w:t xml:space="preserve">vertical </w:t>
      </w:r>
      <w:r w:rsidR="00B66342">
        <w:t>elements</w:t>
      </w:r>
      <w:r w:rsidR="001F0C8A">
        <w:t xml:space="preserve"> is selected for the analysis. T</w:t>
      </w:r>
      <w:r w:rsidR="00AC0669">
        <w:t xml:space="preserve">he </w:t>
      </w:r>
      <w:r w:rsidR="001F0C8A">
        <w:t>results</w:t>
      </w:r>
      <w:r w:rsidR="00AC0669">
        <w:t xml:space="preserve"> </w:t>
      </w:r>
      <w:proofErr w:type="gramStart"/>
      <w:r w:rsidR="00AC0669">
        <w:t>is</w:t>
      </w:r>
      <w:proofErr w:type="gramEnd"/>
      <w:r w:rsidR="00AC0669">
        <w:t xml:space="preserve"> plotted in Figure 2-4</w:t>
      </w:r>
      <w:r w:rsidR="001F0C8A">
        <w:t xml:space="preserve"> together with the EUT length marked with red dashed lines.</w:t>
      </w:r>
    </w:p>
    <w:p w:rsidR="00AC0669" w:rsidRDefault="00D31AC1" w:rsidP="005606AF">
      <w:pPr>
        <w:pStyle w:val="BodyText"/>
        <w:ind w:firstLine="1701"/>
      </w:pPr>
      <w:r>
        <w:rPr>
          <w:noProof/>
        </w:rPr>
        <w:drawing>
          <wp:inline distT="0" distB="0" distL="0" distR="0">
            <wp:extent cx="4248150" cy="3181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8150" cy="3181350"/>
                    </a:xfrm>
                    <a:prstGeom prst="rect">
                      <a:avLst/>
                    </a:prstGeom>
                    <a:noFill/>
                    <a:ln>
                      <a:noFill/>
                    </a:ln>
                  </pic:spPr>
                </pic:pic>
              </a:graphicData>
            </a:graphic>
          </wp:inline>
        </w:drawing>
      </w:r>
    </w:p>
    <w:p w:rsidR="00AC0669" w:rsidRDefault="00AC0669" w:rsidP="00AC0669">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4</w:t>
      </w:r>
      <w:r w:rsidRPr="009D1119">
        <w:rPr>
          <w:rFonts w:ascii="Arial" w:hAnsi="Arial"/>
          <w:b/>
          <w:lang w:eastAsia="x-none"/>
        </w:rPr>
        <w:t>:</w:t>
      </w:r>
      <w:r>
        <w:rPr>
          <w:rFonts w:ascii="Arial" w:hAnsi="Arial"/>
          <w:b/>
          <w:lang w:eastAsia="x-none"/>
        </w:rPr>
        <w:t xml:space="preserve"> Port-to-port isolation over EUT aperture</w:t>
      </w:r>
    </w:p>
    <w:p w:rsidR="00AC0669" w:rsidRDefault="00A60708" w:rsidP="0062745C">
      <w:pPr>
        <w:pStyle w:val="BodyText"/>
      </w:pPr>
      <w:r>
        <w:t xml:space="preserve">The number of elements </w:t>
      </w:r>
      <w:r w:rsidR="00DA6DF6">
        <w:t>in</w:t>
      </w:r>
      <w:r>
        <w:t xml:space="preserve"> the CRA </w:t>
      </w:r>
      <w:r w:rsidR="00DA6DF6">
        <w:t xml:space="preserve">is </w:t>
      </w:r>
      <w:r>
        <w:t xml:space="preserve">directly related to the length of the CRA as </w:t>
      </w:r>
      <w:r w:rsidR="001018A8" w:rsidRPr="001018A8">
        <w:rPr>
          <w:i/>
        </w:rPr>
        <w:t>l=</w:t>
      </w:r>
      <w:r w:rsidR="00DA6DF6">
        <w:rPr>
          <w:i/>
        </w:rPr>
        <w:t>0.5</w:t>
      </w:r>
      <w:r w:rsidR="001018A8" w:rsidRPr="001018A8">
        <w:rPr>
          <w:i/>
        </w:rPr>
        <w:t>N</w:t>
      </w:r>
      <w:r w:rsidR="001018A8" w:rsidRPr="001018A8">
        <w:rPr>
          <w:rFonts w:ascii="Symbol" w:hAnsi="Symbol"/>
          <w:i/>
        </w:rPr>
        <w:t></w:t>
      </w:r>
      <w:r w:rsidR="001018A8">
        <w:rPr>
          <w:rFonts w:ascii="Symbol" w:hAnsi="Symbol"/>
        </w:rPr>
        <w:t></w:t>
      </w:r>
      <w:r w:rsidR="001018A8">
        <w:t>m</w:t>
      </w:r>
      <w:r w:rsidR="00DA6DF6">
        <w:t>, for element separation of 0.5</w:t>
      </w:r>
      <w:r w:rsidR="00DA6DF6" w:rsidRPr="00DA6DF6">
        <w:rPr>
          <w:rFonts w:ascii="Symbol" w:hAnsi="Symbol"/>
        </w:rPr>
        <w:t></w:t>
      </w:r>
      <w:r w:rsidR="001018A8">
        <w:t xml:space="preserve">. The length relation </w:t>
      </w:r>
      <w:r w:rsidR="00DA6DF6">
        <w:t xml:space="preserve">between the CRA and EUT </w:t>
      </w:r>
      <w:r w:rsidR="001018A8">
        <w:t>can be expressed as a length ratio as C</w:t>
      </w:r>
      <w:r w:rsidR="00DA6DF6">
        <w:t>R</w:t>
      </w:r>
      <w:r w:rsidR="001018A8">
        <w:t>A-to-EUT length ratio</w:t>
      </w:r>
      <w:r w:rsidR="00DA6DF6">
        <w:t xml:space="preserve"> expressed in percent</w:t>
      </w:r>
      <w:r w:rsidR="001018A8">
        <w:t xml:space="preserve">. </w:t>
      </w:r>
      <w:r w:rsidR="000821E6">
        <w:t xml:space="preserve">The </w:t>
      </w:r>
      <w:r w:rsidR="00DA6DF6">
        <w:t xml:space="preserve">CRA length, minimum </w:t>
      </w:r>
      <w:r w:rsidR="000821E6">
        <w:t>port-to-port isolation</w:t>
      </w:r>
      <w:r w:rsidR="00DA6DF6">
        <w:t>, port-to-port isolation variation over EUT aperture</w:t>
      </w:r>
      <w:r w:rsidR="000821E6">
        <w:t xml:space="preserve"> </w:t>
      </w:r>
      <w:r w:rsidR="00DA6DF6">
        <w:t>and corresponding</w:t>
      </w:r>
      <w:r w:rsidR="000821E6">
        <w:t xml:space="preserve"> CRA</w:t>
      </w:r>
      <w:r w:rsidR="001018A8">
        <w:t>-</w:t>
      </w:r>
      <w:r w:rsidR="000821E6">
        <w:t>to</w:t>
      </w:r>
      <w:r w:rsidR="001018A8">
        <w:t>-</w:t>
      </w:r>
      <w:r w:rsidR="000821E6">
        <w:t xml:space="preserve">EUT </w:t>
      </w:r>
      <w:r>
        <w:t xml:space="preserve">length </w:t>
      </w:r>
      <w:r w:rsidR="000821E6">
        <w:t xml:space="preserve">ratio </w:t>
      </w:r>
      <w:r w:rsidR="00AC0669">
        <w:t>is listed in Table 2-2.</w:t>
      </w:r>
      <w:r w:rsidR="000821E6">
        <w:t xml:space="preserve"> </w:t>
      </w:r>
    </w:p>
    <w:p w:rsidR="00AC0669" w:rsidRDefault="00AC0669" w:rsidP="00AC0669">
      <w:pPr>
        <w:keepNext/>
        <w:keepLines/>
        <w:spacing w:after="0"/>
        <w:jc w:val="center"/>
        <w:rPr>
          <w:rFonts w:ascii="Arial" w:eastAsia="SimSun" w:hAnsi="Arial"/>
          <w:b/>
          <w:sz w:val="18"/>
        </w:rPr>
      </w:pPr>
      <w:r>
        <w:rPr>
          <w:rFonts w:ascii="Arial" w:eastAsia="SimSun" w:hAnsi="Arial"/>
          <w:b/>
          <w:sz w:val="18"/>
        </w:rPr>
        <w:t>Table 2-2</w:t>
      </w:r>
      <w:r w:rsidRPr="0041446D">
        <w:rPr>
          <w:rFonts w:ascii="Arial" w:eastAsia="SimSun" w:hAnsi="Arial"/>
          <w:b/>
          <w:sz w:val="18"/>
        </w:rPr>
        <w:t xml:space="preserve">: </w:t>
      </w:r>
      <w:r w:rsidR="000821E6">
        <w:rPr>
          <w:rFonts w:ascii="Arial" w:eastAsia="SimSun" w:hAnsi="Arial"/>
          <w:b/>
          <w:sz w:val="18"/>
        </w:rPr>
        <w:t>CRA length ratio</w:t>
      </w:r>
    </w:p>
    <w:tbl>
      <w:tblPr>
        <w:tblW w:w="6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1074"/>
        <w:gridCol w:w="1134"/>
        <w:gridCol w:w="1134"/>
        <w:gridCol w:w="1134"/>
      </w:tblGrid>
      <w:tr w:rsidR="00FF1C17" w:rsidRPr="000C0827" w:rsidTr="000821E6">
        <w:trPr>
          <w:tblHeader/>
          <w:jc w:val="center"/>
        </w:trPr>
        <w:tc>
          <w:tcPr>
            <w:tcW w:w="1701" w:type="dxa"/>
          </w:tcPr>
          <w:p w:rsidR="00FF1C17" w:rsidRDefault="00FF1C17" w:rsidP="00BC2F4B">
            <w:pPr>
              <w:keepNext/>
              <w:keepLines/>
              <w:spacing w:after="0"/>
              <w:jc w:val="center"/>
              <w:rPr>
                <w:rFonts w:ascii="Arial" w:hAnsi="Arial"/>
                <w:b/>
                <w:sz w:val="18"/>
              </w:rPr>
            </w:pPr>
            <w:r>
              <w:rPr>
                <w:rFonts w:ascii="Arial" w:hAnsi="Arial"/>
                <w:b/>
                <w:sz w:val="18"/>
              </w:rPr>
              <w:t xml:space="preserve">CRA </w:t>
            </w:r>
          </w:p>
          <w:p w:rsidR="00FF1C17" w:rsidRDefault="00FF1C17" w:rsidP="00BC2F4B">
            <w:pPr>
              <w:keepNext/>
              <w:keepLines/>
              <w:spacing w:after="0"/>
              <w:jc w:val="center"/>
              <w:rPr>
                <w:rFonts w:ascii="Arial" w:hAnsi="Arial"/>
                <w:b/>
                <w:sz w:val="18"/>
              </w:rPr>
            </w:pPr>
            <w:r>
              <w:rPr>
                <w:rFonts w:ascii="Arial" w:hAnsi="Arial"/>
                <w:b/>
                <w:sz w:val="18"/>
              </w:rPr>
              <w:t>Configuration</w:t>
            </w:r>
          </w:p>
          <w:p w:rsidR="00FF1C17" w:rsidRDefault="00FF1C17" w:rsidP="00BC2F4B">
            <w:pPr>
              <w:keepNext/>
              <w:keepLines/>
              <w:spacing w:after="0"/>
              <w:jc w:val="center"/>
              <w:rPr>
                <w:rFonts w:ascii="Arial" w:hAnsi="Arial"/>
                <w:b/>
                <w:sz w:val="18"/>
              </w:rPr>
            </w:pPr>
          </w:p>
        </w:tc>
        <w:tc>
          <w:tcPr>
            <w:tcW w:w="1074" w:type="dxa"/>
            <w:shd w:val="clear" w:color="auto" w:fill="auto"/>
          </w:tcPr>
          <w:p w:rsidR="00FF1C17" w:rsidRDefault="00DA6DF6" w:rsidP="00BC2F4B">
            <w:pPr>
              <w:keepNext/>
              <w:keepLines/>
              <w:spacing w:after="0"/>
              <w:jc w:val="center"/>
              <w:rPr>
                <w:rFonts w:ascii="Arial" w:hAnsi="Arial"/>
                <w:b/>
                <w:sz w:val="18"/>
              </w:rPr>
            </w:pPr>
            <w:r>
              <w:rPr>
                <w:rFonts w:ascii="Arial" w:hAnsi="Arial"/>
                <w:b/>
                <w:sz w:val="18"/>
              </w:rPr>
              <w:t>CRA l</w:t>
            </w:r>
            <w:r w:rsidR="00FF1C17">
              <w:rPr>
                <w:rFonts w:ascii="Arial" w:hAnsi="Arial"/>
                <w:b/>
                <w:sz w:val="18"/>
              </w:rPr>
              <w:t xml:space="preserve">ength </w:t>
            </w:r>
          </w:p>
          <w:p w:rsidR="00FF1C17" w:rsidRPr="000C0827" w:rsidRDefault="00FF1C17" w:rsidP="00BC2F4B">
            <w:pPr>
              <w:keepNext/>
              <w:keepLines/>
              <w:spacing w:after="0"/>
              <w:jc w:val="center"/>
              <w:rPr>
                <w:rFonts w:ascii="Arial" w:hAnsi="Arial"/>
                <w:b/>
                <w:sz w:val="18"/>
              </w:rPr>
            </w:pPr>
            <w:r>
              <w:rPr>
                <w:rFonts w:ascii="Arial" w:hAnsi="Arial"/>
                <w:b/>
                <w:sz w:val="18"/>
              </w:rPr>
              <w:t>(m)</w:t>
            </w:r>
          </w:p>
        </w:tc>
        <w:tc>
          <w:tcPr>
            <w:tcW w:w="1134" w:type="dxa"/>
          </w:tcPr>
          <w:p w:rsidR="00FF1C17" w:rsidRDefault="00FF1C17" w:rsidP="00BC2F4B">
            <w:pPr>
              <w:keepNext/>
              <w:keepLines/>
              <w:spacing w:after="0"/>
              <w:jc w:val="center"/>
              <w:rPr>
                <w:rFonts w:ascii="Arial" w:hAnsi="Arial"/>
                <w:b/>
                <w:sz w:val="18"/>
              </w:rPr>
            </w:pPr>
            <w:r>
              <w:rPr>
                <w:rFonts w:ascii="Arial" w:hAnsi="Arial"/>
                <w:b/>
                <w:sz w:val="18"/>
              </w:rPr>
              <w:t>Minimum isolation</w:t>
            </w:r>
          </w:p>
          <w:p w:rsidR="00FF1C17" w:rsidRDefault="00FF1C17" w:rsidP="00BC2F4B">
            <w:pPr>
              <w:keepNext/>
              <w:keepLines/>
              <w:spacing w:after="0"/>
              <w:jc w:val="center"/>
              <w:rPr>
                <w:rFonts w:ascii="Arial" w:hAnsi="Arial"/>
                <w:b/>
                <w:sz w:val="18"/>
              </w:rPr>
            </w:pPr>
            <w:r>
              <w:rPr>
                <w:rFonts w:ascii="Arial" w:hAnsi="Arial"/>
                <w:b/>
                <w:sz w:val="18"/>
              </w:rPr>
              <w:t>(dB)</w:t>
            </w:r>
          </w:p>
        </w:tc>
        <w:tc>
          <w:tcPr>
            <w:tcW w:w="1134" w:type="dxa"/>
          </w:tcPr>
          <w:p w:rsidR="00FF1C17" w:rsidRDefault="00FF1C17" w:rsidP="00BC2F4B">
            <w:pPr>
              <w:keepNext/>
              <w:keepLines/>
              <w:spacing w:after="0"/>
              <w:jc w:val="center"/>
              <w:rPr>
                <w:rFonts w:ascii="Arial" w:hAnsi="Arial"/>
                <w:b/>
                <w:sz w:val="18"/>
              </w:rPr>
            </w:pPr>
            <w:r>
              <w:rPr>
                <w:rFonts w:ascii="Arial" w:hAnsi="Arial"/>
                <w:b/>
                <w:sz w:val="18"/>
              </w:rPr>
              <w:t>Variation</w:t>
            </w:r>
          </w:p>
          <w:p w:rsidR="00FF1C17" w:rsidRDefault="00FF1C17" w:rsidP="00BC2F4B">
            <w:pPr>
              <w:keepNext/>
              <w:keepLines/>
              <w:spacing w:after="0"/>
              <w:jc w:val="center"/>
              <w:rPr>
                <w:rFonts w:ascii="Arial" w:hAnsi="Arial"/>
                <w:b/>
                <w:sz w:val="18"/>
              </w:rPr>
            </w:pPr>
            <w:r>
              <w:rPr>
                <w:rFonts w:ascii="Arial" w:hAnsi="Arial"/>
                <w:b/>
                <w:sz w:val="18"/>
              </w:rPr>
              <w:t>(dB)</w:t>
            </w:r>
          </w:p>
        </w:tc>
        <w:tc>
          <w:tcPr>
            <w:tcW w:w="1134" w:type="dxa"/>
          </w:tcPr>
          <w:p w:rsidR="00FF1C17" w:rsidRDefault="00FF1C17" w:rsidP="00BC2F4B">
            <w:pPr>
              <w:keepNext/>
              <w:keepLines/>
              <w:spacing w:after="0"/>
              <w:jc w:val="center"/>
              <w:rPr>
                <w:rFonts w:ascii="Arial" w:hAnsi="Arial"/>
                <w:b/>
                <w:sz w:val="18"/>
              </w:rPr>
            </w:pPr>
            <w:r>
              <w:rPr>
                <w:rFonts w:ascii="Arial" w:hAnsi="Arial"/>
                <w:b/>
                <w:sz w:val="18"/>
              </w:rPr>
              <w:t>CRA/EUT length ratio</w:t>
            </w:r>
          </w:p>
          <w:p w:rsidR="00FF1C17" w:rsidRDefault="00FF1C17" w:rsidP="00BC2F4B">
            <w:pPr>
              <w:keepNext/>
              <w:keepLines/>
              <w:spacing w:after="0"/>
              <w:jc w:val="center"/>
              <w:rPr>
                <w:rFonts w:ascii="Arial" w:hAnsi="Arial"/>
                <w:b/>
                <w:sz w:val="18"/>
              </w:rPr>
            </w:pPr>
            <w:r>
              <w:rPr>
                <w:rFonts w:ascii="Arial" w:hAnsi="Arial"/>
                <w:b/>
                <w:sz w:val="18"/>
              </w:rPr>
              <w:t xml:space="preserve">(%) </w:t>
            </w:r>
          </w:p>
        </w:tc>
      </w:tr>
      <w:tr w:rsidR="00FF1C17" w:rsidRPr="000C0827" w:rsidTr="000821E6">
        <w:trPr>
          <w:jc w:val="center"/>
        </w:trPr>
        <w:tc>
          <w:tcPr>
            <w:tcW w:w="1701" w:type="dxa"/>
          </w:tcPr>
          <w:p w:rsidR="00FF1C17" w:rsidRDefault="00FF1C17" w:rsidP="00BC2F4B">
            <w:pPr>
              <w:keepNext/>
              <w:keepLines/>
              <w:spacing w:after="0"/>
              <w:jc w:val="center"/>
              <w:rPr>
                <w:rFonts w:ascii="Arial" w:hAnsi="Arial"/>
                <w:sz w:val="18"/>
                <w:szCs w:val="18"/>
                <w:lang w:eastAsia="zh-CN"/>
              </w:rPr>
            </w:pPr>
            <w:r>
              <w:rPr>
                <w:rFonts w:ascii="Arial" w:hAnsi="Arial"/>
                <w:sz w:val="18"/>
                <w:szCs w:val="18"/>
                <w:lang w:eastAsia="zh-CN"/>
              </w:rPr>
              <w:t>8x1URA</w:t>
            </w:r>
          </w:p>
        </w:tc>
        <w:tc>
          <w:tcPr>
            <w:tcW w:w="1074" w:type="dxa"/>
            <w:shd w:val="clear" w:color="auto" w:fill="auto"/>
          </w:tcPr>
          <w:p w:rsidR="00FF1C17" w:rsidRPr="000C0827" w:rsidRDefault="00FF1C17" w:rsidP="00BC2F4B">
            <w:pPr>
              <w:keepNext/>
              <w:keepLines/>
              <w:spacing w:after="0"/>
              <w:jc w:val="center"/>
              <w:rPr>
                <w:rFonts w:ascii="Arial" w:hAnsi="Arial"/>
                <w:sz w:val="18"/>
                <w:szCs w:val="18"/>
                <w:lang w:eastAsia="zh-CN"/>
              </w:rPr>
            </w:pPr>
            <w:r>
              <w:rPr>
                <w:rFonts w:ascii="Arial" w:hAnsi="Arial"/>
                <w:sz w:val="18"/>
                <w:szCs w:val="18"/>
                <w:lang w:eastAsia="zh-CN"/>
              </w:rPr>
              <w:t>0.</w:t>
            </w:r>
            <w:r w:rsidR="000821E6">
              <w:rPr>
                <w:rFonts w:ascii="Arial" w:hAnsi="Arial"/>
                <w:sz w:val="18"/>
                <w:szCs w:val="18"/>
                <w:lang w:eastAsia="zh-CN"/>
              </w:rPr>
              <w:t>48</w:t>
            </w:r>
          </w:p>
        </w:tc>
        <w:tc>
          <w:tcPr>
            <w:tcW w:w="1134" w:type="dxa"/>
          </w:tcPr>
          <w:p w:rsidR="00FF1C17" w:rsidRDefault="00FF1C17" w:rsidP="00BC2F4B">
            <w:pPr>
              <w:keepNext/>
              <w:keepLines/>
              <w:spacing w:after="0"/>
              <w:jc w:val="center"/>
              <w:rPr>
                <w:rFonts w:ascii="Arial" w:hAnsi="Arial"/>
                <w:sz w:val="18"/>
                <w:szCs w:val="18"/>
                <w:lang w:eastAsia="zh-CN"/>
              </w:rPr>
            </w:pPr>
            <w:r>
              <w:rPr>
                <w:rFonts w:ascii="Arial" w:hAnsi="Arial"/>
                <w:sz w:val="18"/>
                <w:szCs w:val="18"/>
                <w:lang w:eastAsia="zh-CN"/>
              </w:rPr>
              <w:t>47.8</w:t>
            </w:r>
          </w:p>
        </w:tc>
        <w:tc>
          <w:tcPr>
            <w:tcW w:w="1134" w:type="dxa"/>
          </w:tcPr>
          <w:p w:rsidR="00FF1C17" w:rsidRDefault="00607CF7" w:rsidP="00BC2F4B">
            <w:pPr>
              <w:keepNext/>
              <w:keepLines/>
              <w:spacing w:after="0"/>
              <w:jc w:val="center"/>
              <w:rPr>
                <w:rFonts w:ascii="Arial" w:hAnsi="Arial"/>
                <w:sz w:val="18"/>
                <w:szCs w:val="18"/>
                <w:lang w:eastAsia="zh-CN"/>
              </w:rPr>
            </w:pPr>
            <w:r>
              <w:rPr>
                <w:rFonts w:ascii="Arial" w:hAnsi="Arial"/>
                <w:sz w:val="18"/>
                <w:szCs w:val="18"/>
                <w:lang w:eastAsia="zh-CN"/>
              </w:rPr>
              <w:t>2.8</w:t>
            </w:r>
          </w:p>
        </w:tc>
        <w:tc>
          <w:tcPr>
            <w:tcW w:w="1134" w:type="dxa"/>
          </w:tcPr>
          <w:p w:rsidR="00FF1C17" w:rsidRDefault="00F45371" w:rsidP="00BC2F4B">
            <w:pPr>
              <w:keepNext/>
              <w:keepLines/>
              <w:spacing w:after="0"/>
              <w:jc w:val="center"/>
              <w:rPr>
                <w:rFonts w:ascii="Arial" w:hAnsi="Arial"/>
                <w:sz w:val="18"/>
                <w:szCs w:val="18"/>
                <w:lang w:eastAsia="zh-CN"/>
              </w:rPr>
            </w:pPr>
            <w:r>
              <w:rPr>
                <w:rFonts w:ascii="Arial" w:hAnsi="Arial"/>
                <w:sz w:val="18"/>
                <w:szCs w:val="18"/>
                <w:lang w:eastAsia="zh-CN"/>
              </w:rPr>
              <w:t>80</w:t>
            </w:r>
          </w:p>
        </w:tc>
      </w:tr>
      <w:tr w:rsidR="00FF1C17" w:rsidRPr="000C0827" w:rsidTr="000821E6">
        <w:trPr>
          <w:jc w:val="center"/>
        </w:trPr>
        <w:tc>
          <w:tcPr>
            <w:tcW w:w="1701"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10x1URA</w:t>
            </w:r>
          </w:p>
        </w:tc>
        <w:tc>
          <w:tcPr>
            <w:tcW w:w="1074" w:type="dxa"/>
            <w:shd w:val="clear" w:color="auto" w:fill="auto"/>
          </w:tcPr>
          <w:p w:rsidR="00FF1C17" w:rsidRPr="000C0827" w:rsidRDefault="000821E6" w:rsidP="00583298">
            <w:pPr>
              <w:keepNext/>
              <w:keepLines/>
              <w:spacing w:after="0"/>
              <w:jc w:val="center"/>
              <w:rPr>
                <w:rFonts w:ascii="Arial" w:hAnsi="Arial"/>
                <w:sz w:val="18"/>
                <w:lang w:eastAsia="x-none"/>
              </w:rPr>
            </w:pPr>
            <w:r>
              <w:rPr>
                <w:rFonts w:ascii="Arial" w:hAnsi="Arial"/>
                <w:sz w:val="18"/>
                <w:lang w:eastAsia="x-none"/>
              </w:rPr>
              <w:t>0.6</w:t>
            </w:r>
            <w:r w:rsidR="00F45371">
              <w:rPr>
                <w:rFonts w:ascii="Arial" w:hAnsi="Arial"/>
                <w:sz w:val="18"/>
                <w:lang w:eastAsia="x-none"/>
              </w:rPr>
              <w:t>0</w:t>
            </w:r>
          </w:p>
        </w:tc>
        <w:tc>
          <w:tcPr>
            <w:tcW w:w="1134"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48.3</w:t>
            </w:r>
          </w:p>
        </w:tc>
        <w:tc>
          <w:tcPr>
            <w:tcW w:w="1134" w:type="dxa"/>
          </w:tcPr>
          <w:p w:rsidR="00FF1C17" w:rsidRDefault="00607CF7" w:rsidP="00BC2F4B">
            <w:pPr>
              <w:keepNext/>
              <w:keepLines/>
              <w:spacing w:after="0"/>
              <w:jc w:val="center"/>
              <w:rPr>
                <w:rFonts w:ascii="Arial" w:hAnsi="Arial"/>
                <w:sz w:val="18"/>
                <w:lang w:eastAsia="x-none"/>
              </w:rPr>
            </w:pPr>
            <w:r>
              <w:rPr>
                <w:rFonts w:ascii="Arial" w:hAnsi="Arial"/>
                <w:sz w:val="18"/>
                <w:lang w:eastAsia="x-none"/>
              </w:rPr>
              <w:t>2.0</w:t>
            </w:r>
          </w:p>
        </w:tc>
        <w:tc>
          <w:tcPr>
            <w:tcW w:w="1134" w:type="dxa"/>
          </w:tcPr>
          <w:p w:rsidR="00FF1C17" w:rsidRDefault="00F45371" w:rsidP="00BC2F4B">
            <w:pPr>
              <w:keepNext/>
              <w:keepLines/>
              <w:spacing w:after="0"/>
              <w:jc w:val="center"/>
              <w:rPr>
                <w:rFonts w:ascii="Arial" w:hAnsi="Arial"/>
                <w:sz w:val="18"/>
                <w:lang w:eastAsia="x-none"/>
              </w:rPr>
            </w:pPr>
            <w:r>
              <w:rPr>
                <w:rFonts w:ascii="Arial" w:hAnsi="Arial"/>
                <w:sz w:val="18"/>
                <w:lang w:eastAsia="x-none"/>
              </w:rPr>
              <w:t>100</w:t>
            </w:r>
          </w:p>
        </w:tc>
      </w:tr>
      <w:tr w:rsidR="00FF1C17" w:rsidRPr="000C0827" w:rsidTr="000821E6">
        <w:trPr>
          <w:jc w:val="center"/>
        </w:trPr>
        <w:tc>
          <w:tcPr>
            <w:tcW w:w="1701"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12x1URA</w:t>
            </w:r>
          </w:p>
        </w:tc>
        <w:tc>
          <w:tcPr>
            <w:tcW w:w="1074" w:type="dxa"/>
            <w:shd w:val="clear" w:color="auto" w:fill="auto"/>
          </w:tcPr>
          <w:p w:rsidR="00FF1C17" w:rsidRDefault="00F45371" w:rsidP="00BC2F4B">
            <w:pPr>
              <w:keepNext/>
              <w:keepLines/>
              <w:spacing w:after="0"/>
              <w:jc w:val="center"/>
              <w:rPr>
                <w:rFonts w:ascii="Arial" w:hAnsi="Arial"/>
                <w:sz w:val="18"/>
                <w:lang w:eastAsia="x-none"/>
              </w:rPr>
            </w:pPr>
            <w:r>
              <w:rPr>
                <w:rFonts w:ascii="Arial" w:hAnsi="Arial"/>
                <w:sz w:val="18"/>
                <w:lang w:eastAsia="x-none"/>
              </w:rPr>
              <w:t>0.72</w:t>
            </w:r>
          </w:p>
        </w:tc>
        <w:tc>
          <w:tcPr>
            <w:tcW w:w="1134"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48.8</w:t>
            </w:r>
          </w:p>
        </w:tc>
        <w:tc>
          <w:tcPr>
            <w:tcW w:w="1134" w:type="dxa"/>
          </w:tcPr>
          <w:p w:rsidR="00FF1C17" w:rsidRDefault="00607CF7" w:rsidP="00BC2F4B">
            <w:pPr>
              <w:keepNext/>
              <w:keepLines/>
              <w:spacing w:after="0"/>
              <w:jc w:val="center"/>
              <w:rPr>
                <w:rFonts w:ascii="Arial" w:hAnsi="Arial"/>
                <w:sz w:val="18"/>
                <w:lang w:eastAsia="x-none"/>
              </w:rPr>
            </w:pPr>
            <w:r>
              <w:rPr>
                <w:rFonts w:ascii="Arial" w:hAnsi="Arial"/>
                <w:sz w:val="18"/>
                <w:lang w:eastAsia="x-none"/>
              </w:rPr>
              <w:t>1.3</w:t>
            </w:r>
          </w:p>
        </w:tc>
        <w:tc>
          <w:tcPr>
            <w:tcW w:w="1134" w:type="dxa"/>
          </w:tcPr>
          <w:p w:rsidR="00FF1C17" w:rsidRDefault="00F45371" w:rsidP="00BC2F4B">
            <w:pPr>
              <w:keepNext/>
              <w:keepLines/>
              <w:spacing w:after="0"/>
              <w:jc w:val="center"/>
              <w:rPr>
                <w:rFonts w:ascii="Arial" w:hAnsi="Arial"/>
                <w:sz w:val="18"/>
                <w:lang w:eastAsia="x-none"/>
              </w:rPr>
            </w:pPr>
            <w:r>
              <w:rPr>
                <w:rFonts w:ascii="Arial" w:hAnsi="Arial"/>
                <w:sz w:val="18"/>
                <w:lang w:eastAsia="x-none"/>
              </w:rPr>
              <w:t>120</w:t>
            </w:r>
          </w:p>
        </w:tc>
      </w:tr>
      <w:tr w:rsidR="00FF1C17" w:rsidRPr="000C0827" w:rsidTr="000821E6">
        <w:trPr>
          <w:jc w:val="center"/>
        </w:trPr>
        <w:tc>
          <w:tcPr>
            <w:tcW w:w="1701"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14x1URA</w:t>
            </w:r>
          </w:p>
        </w:tc>
        <w:tc>
          <w:tcPr>
            <w:tcW w:w="1074" w:type="dxa"/>
            <w:shd w:val="clear" w:color="auto" w:fill="auto"/>
          </w:tcPr>
          <w:p w:rsidR="00FF1C17" w:rsidRDefault="00F45371" w:rsidP="00BC2F4B">
            <w:pPr>
              <w:keepNext/>
              <w:keepLines/>
              <w:spacing w:after="0"/>
              <w:jc w:val="center"/>
              <w:rPr>
                <w:rFonts w:ascii="Arial" w:hAnsi="Arial"/>
                <w:sz w:val="18"/>
                <w:lang w:eastAsia="x-none"/>
              </w:rPr>
            </w:pPr>
            <w:r>
              <w:rPr>
                <w:rFonts w:ascii="Arial" w:hAnsi="Arial"/>
                <w:sz w:val="18"/>
                <w:lang w:eastAsia="x-none"/>
              </w:rPr>
              <w:t>0.84</w:t>
            </w:r>
          </w:p>
        </w:tc>
        <w:tc>
          <w:tcPr>
            <w:tcW w:w="1134" w:type="dxa"/>
          </w:tcPr>
          <w:p w:rsidR="00FF1C17" w:rsidRDefault="00FF1C17" w:rsidP="00BC2F4B">
            <w:pPr>
              <w:keepNext/>
              <w:keepLines/>
              <w:spacing w:after="0"/>
              <w:jc w:val="center"/>
              <w:rPr>
                <w:rFonts w:ascii="Arial" w:hAnsi="Arial"/>
                <w:sz w:val="18"/>
                <w:lang w:eastAsia="x-none"/>
              </w:rPr>
            </w:pPr>
            <w:r>
              <w:rPr>
                <w:rFonts w:ascii="Arial" w:hAnsi="Arial"/>
                <w:sz w:val="18"/>
                <w:lang w:eastAsia="x-none"/>
              </w:rPr>
              <w:t>49.2</w:t>
            </w:r>
          </w:p>
        </w:tc>
        <w:tc>
          <w:tcPr>
            <w:tcW w:w="1134" w:type="dxa"/>
          </w:tcPr>
          <w:p w:rsidR="00FF1C17" w:rsidRDefault="00607CF7" w:rsidP="00BC2F4B">
            <w:pPr>
              <w:keepNext/>
              <w:keepLines/>
              <w:spacing w:after="0"/>
              <w:jc w:val="center"/>
              <w:rPr>
                <w:rFonts w:ascii="Arial" w:hAnsi="Arial"/>
                <w:sz w:val="18"/>
                <w:lang w:eastAsia="x-none"/>
              </w:rPr>
            </w:pPr>
            <w:r>
              <w:rPr>
                <w:rFonts w:ascii="Arial" w:hAnsi="Arial"/>
                <w:sz w:val="18"/>
                <w:lang w:eastAsia="x-none"/>
              </w:rPr>
              <w:t>0.8</w:t>
            </w:r>
          </w:p>
        </w:tc>
        <w:tc>
          <w:tcPr>
            <w:tcW w:w="1134" w:type="dxa"/>
          </w:tcPr>
          <w:p w:rsidR="00FF1C17" w:rsidRDefault="00F45371" w:rsidP="00BC2F4B">
            <w:pPr>
              <w:keepNext/>
              <w:keepLines/>
              <w:spacing w:after="0"/>
              <w:jc w:val="center"/>
              <w:rPr>
                <w:rFonts w:ascii="Arial" w:hAnsi="Arial"/>
                <w:sz w:val="18"/>
                <w:lang w:eastAsia="x-none"/>
              </w:rPr>
            </w:pPr>
            <w:r>
              <w:rPr>
                <w:rFonts w:ascii="Arial" w:hAnsi="Arial"/>
                <w:sz w:val="18"/>
                <w:lang w:eastAsia="x-none"/>
              </w:rPr>
              <w:t>140</w:t>
            </w:r>
          </w:p>
        </w:tc>
      </w:tr>
    </w:tbl>
    <w:p w:rsidR="00AC0669" w:rsidRDefault="00AC0669" w:rsidP="0062745C">
      <w:pPr>
        <w:pStyle w:val="BodyText"/>
      </w:pPr>
    </w:p>
    <w:p w:rsidR="00DA6DF6" w:rsidRDefault="00DA6DF6" w:rsidP="0062745C">
      <w:pPr>
        <w:pStyle w:val="BodyText"/>
      </w:pPr>
      <w:r>
        <w:t xml:space="preserve">In general, a too short CRA results in a too small interfering signal to be injected and measuring fractions of emission generated by the EUT. Using a CRA longer than the test object would result in a flatter response (see Figure 2-3), but with port-to-port isolation higher than for the case where the CRA length is equal as the test object. </w:t>
      </w:r>
    </w:p>
    <w:p w:rsidR="00F45371" w:rsidRDefault="00DA6DF6" w:rsidP="0062745C">
      <w:pPr>
        <w:pStyle w:val="BodyText"/>
      </w:pPr>
      <w:r>
        <w:t>To summarize,</w:t>
      </w:r>
      <w:r w:rsidR="000821E6">
        <w:t xml:space="preserve"> </w:t>
      </w:r>
      <w:r>
        <w:t xml:space="preserve">from </w:t>
      </w:r>
      <w:r w:rsidR="000821E6">
        <w:t>Figure 2-4</w:t>
      </w:r>
      <w:r w:rsidR="00F45371">
        <w:t>,</w:t>
      </w:r>
      <w:r w:rsidR="000821E6">
        <w:t xml:space="preserve"> and Table 2-2, it can be concluded that a long CRA gives less variation of the interferer signal seen by each EUT trans</w:t>
      </w:r>
      <w:r>
        <w:t>ceiver</w:t>
      </w:r>
      <w:r w:rsidR="000821E6">
        <w:t>, while shorter CRA gives larger variation and stronger peak level at the centre element of the EUT.</w:t>
      </w:r>
      <w:r>
        <w:t xml:space="preserve"> </w:t>
      </w:r>
      <w:r w:rsidR="00F45371">
        <w:t xml:space="preserve">The result suggests that the variation added to allow 20% </w:t>
      </w:r>
      <w:r w:rsidR="00607CF7">
        <w:t>larger CRA</w:t>
      </w:r>
      <w:r w:rsidR="00F45371">
        <w:t xml:space="preserve"> corresponds </w:t>
      </w:r>
      <w:r w:rsidR="00607CF7">
        <w:t xml:space="preserve">to 0.7 dB less variation for edge element </w:t>
      </w:r>
      <w:r w:rsidR="00F45371">
        <w:t xml:space="preserve">interfering signal </w:t>
      </w:r>
      <w:r w:rsidR="00607CF7">
        <w:t>level</w:t>
      </w:r>
      <w:r w:rsidR="00F45371">
        <w:t>.</w:t>
      </w:r>
      <w:r w:rsidR="00607CF7">
        <w:t xml:space="preserve"> Also, if the CRA is 20% shorter, the variation increases 0.8 </w:t>
      </w:r>
      <w:proofErr w:type="spellStart"/>
      <w:r w:rsidR="00607CF7">
        <w:t>dB.</w:t>
      </w:r>
      <w:proofErr w:type="spellEnd"/>
      <w:r w:rsidR="00607CF7">
        <w:t xml:space="preserve"> </w:t>
      </w:r>
      <w:r w:rsidR="00F45371">
        <w:t xml:space="preserve"> </w:t>
      </w:r>
    </w:p>
    <w:p w:rsidR="00CC4A79" w:rsidRDefault="00A60708" w:rsidP="0062745C">
      <w:pPr>
        <w:pStyle w:val="BodyText"/>
      </w:pPr>
      <w:r>
        <w:t>The analysis in this contribution is only valid for frequencies for which the CRA is designed for. For out-of-band requirements, such as spurious emission and receiver blocking, the CRA length aspect also needs careful considerations, which is out of scope for this analysis.</w:t>
      </w:r>
      <w:r w:rsidR="00CC4A79">
        <w:t xml:space="preserve"> </w:t>
      </w:r>
    </w:p>
    <w:p w:rsidR="00CC4A79" w:rsidRDefault="00CC4A79" w:rsidP="0062745C">
      <w:pPr>
        <w:pStyle w:val="BodyText"/>
      </w:pPr>
    </w:p>
    <w:p w:rsidR="00CC4A79" w:rsidRDefault="00CC4A79" w:rsidP="0062745C">
      <w:pPr>
        <w:pStyle w:val="BodyText"/>
      </w:pPr>
    </w:p>
    <w:p w:rsidR="00CC4A79" w:rsidRDefault="00CC4A79" w:rsidP="0062745C">
      <w:pPr>
        <w:pStyle w:val="BodyText"/>
      </w:pPr>
    </w:p>
    <w:p w:rsidR="00214DBD" w:rsidRDefault="00B13A74" w:rsidP="0062745C">
      <w:pPr>
        <w:pStyle w:val="BodyText"/>
      </w:pPr>
      <w:r>
        <w:lastRenderedPageBreak/>
        <w:t xml:space="preserve">Regrading, additional flexibility </w:t>
      </w:r>
      <w:r w:rsidR="00A60708">
        <w:t xml:space="preserve">selection of CRA </w:t>
      </w:r>
      <w:r>
        <w:t>for conformance testing</w:t>
      </w:r>
      <w:r w:rsidR="00A60708">
        <w:t xml:space="preserve"> of transmitter intermodulation,</w:t>
      </w:r>
      <w:r>
        <w:t xml:space="preserve"> following t</w:t>
      </w:r>
      <w:r w:rsidR="00A60708">
        <w:t>hree</w:t>
      </w:r>
      <w:r>
        <w:t xml:space="preserve"> options </w:t>
      </w:r>
      <w:r w:rsidR="00A60708">
        <w:t xml:space="preserve">have been identified </w:t>
      </w:r>
      <w:r>
        <w:t xml:space="preserve">for </w:t>
      </w:r>
      <w:r w:rsidR="00A60708">
        <w:t xml:space="preserve">further </w:t>
      </w:r>
      <w:r>
        <w:t>consideration</w:t>
      </w:r>
      <w:r w:rsidR="00410F65">
        <w:t>:</w:t>
      </w:r>
    </w:p>
    <w:p w:rsidR="00214DBD" w:rsidRDefault="00214DBD" w:rsidP="0062745C">
      <w:pPr>
        <w:pStyle w:val="BodyText"/>
      </w:pPr>
    </w:p>
    <w:p w:rsidR="00214DBD" w:rsidRPr="00A96B56" w:rsidRDefault="00EF4C58" w:rsidP="0062745C">
      <w:pPr>
        <w:pStyle w:val="BodyText"/>
        <w:rPr>
          <w:b/>
          <w:u w:val="single"/>
        </w:rPr>
      </w:pPr>
      <w:r w:rsidRPr="00A96B56">
        <w:rPr>
          <w:b/>
          <w:u w:val="single"/>
        </w:rPr>
        <w:t>Op</w:t>
      </w:r>
      <w:r w:rsidR="003760C3" w:rsidRPr="00A96B56">
        <w:rPr>
          <w:b/>
          <w:u w:val="single"/>
        </w:rPr>
        <w:t>tion 1:</w:t>
      </w:r>
    </w:p>
    <w:p w:rsidR="003760C3" w:rsidRDefault="00B13A74" w:rsidP="0062745C">
      <w:pPr>
        <w:pStyle w:val="BodyText"/>
      </w:pPr>
      <w:r>
        <w:t>The conformance test specification (TS 37.145-2) m</w:t>
      </w:r>
      <w:r w:rsidR="003760C3">
        <w:t>andate</w:t>
      </w:r>
      <w:r>
        <w:t>s</w:t>
      </w:r>
      <w:r w:rsidR="003760C3">
        <w:t xml:space="preserve"> </w:t>
      </w:r>
      <w:r>
        <w:t xml:space="preserve">the CRA to be selected with </w:t>
      </w:r>
      <w:r w:rsidR="003760C3">
        <w:t>equal length</w:t>
      </w:r>
      <w:r>
        <w:t xml:space="preserve"> as the EUT. In practice this would mean that the base station manufacturer needs to design a </w:t>
      </w:r>
      <w:r w:rsidR="001B2356">
        <w:t xml:space="preserve">custom </w:t>
      </w:r>
      <w:r>
        <w:t xml:space="preserve">CRA </w:t>
      </w:r>
      <w:r w:rsidR="001B2356">
        <w:t xml:space="preserve">designed for the specific EUT. </w:t>
      </w:r>
    </w:p>
    <w:p w:rsidR="00410F65" w:rsidRDefault="00410F65" w:rsidP="0062745C">
      <w:pPr>
        <w:pStyle w:val="BodyText"/>
      </w:pPr>
    </w:p>
    <w:p w:rsidR="003760C3" w:rsidRPr="00A96B56" w:rsidRDefault="003760C3" w:rsidP="0062745C">
      <w:pPr>
        <w:pStyle w:val="BodyText"/>
        <w:rPr>
          <w:b/>
          <w:u w:val="single"/>
        </w:rPr>
      </w:pPr>
      <w:r w:rsidRPr="00A96B56">
        <w:rPr>
          <w:b/>
          <w:u w:val="single"/>
        </w:rPr>
        <w:t>Option 2:</w:t>
      </w:r>
    </w:p>
    <w:p w:rsidR="003760C3" w:rsidRDefault="00B13A74" w:rsidP="0062745C">
      <w:pPr>
        <w:pStyle w:val="BodyText"/>
      </w:pPr>
      <w:r>
        <w:t>The conformance test specification (TS 37.145-2) allows</w:t>
      </w:r>
      <w:r w:rsidR="003760C3">
        <w:t xml:space="preserve"> flexibility </w:t>
      </w:r>
      <w:r>
        <w:t>of the CRA length</w:t>
      </w:r>
      <w:r w:rsidR="001B2356">
        <w:t xml:space="preserve"> and radiating characteristics</w:t>
      </w:r>
      <w:r>
        <w:t>. For this a calibration procedure is required to secure the interfering level seen by the test object (in the case of transmitter intermodulation)</w:t>
      </w:r>
      <w:r w:rsidR="00410F65">
        <w:t>.</w:t>
      </w:r>
      <w:r w:rsidR="001B2356">
        <w:t xml:space="preserve"> This approach requires calibration interfaces and functionality to be supported by the EUT.</w:t>
      </w:r>
    </w:p>
    <w:p w:rsidR="004B180D" w:rsidRDefault="004B180D" w:rsidP="0062745C">
      <w:pPr>
        <w:pStyle w:val="BodyText"/>
      </w:pPr>
    </w:p>
    <w:p w:rsidR="004B180D" w:rsidRPr="00B66342" w:rsidRDefault="004B180D" w:rsidP="0062745C">
      <w:pPr>
        <w:pStyle w:val="BodyText"/>
        <w:rPr>
          <w:b/>
          <w:u w:val="single"/>
        </w:rPr>
      </w:pPr>
      <w:r w:rsidRPr="00B66342">
        <w:rPr>
          <w:b/>
          <w:u w:val="single"/>
        </w:rPr>
        <w:t>Option 3:</w:t>
      </w:r>
    </w:p>
    <w:p w:rsidR="00410F65" w:rsidRDefault="00607CF7" w:rsidP="0062745C">
      <w:pPr>
        <w:pStyle w:val="BodyText"/>
      </w:pPr>
      <w:r>
        <w:t xml:space="preserve">The conformance test specification (TS 37.145-2) allows flexibility in terms of </w:t>
      </w:r>
      <w:r w:rsidR="001B2356">
        <w:t xml:space="preserve">a specified </w:t>
      </w:r>
      <w:r>
        <w:t xml:space="preserve">length </w:t>
      </w:r>
      <w:r w:rsidR="001B2356">
        <w:t xml:space="preserve">interval for the selected CRA. This would allow for lager pool of candidates for the selection of CRA used for conformance testing. As an example the CRA length interval for transmitter intermodulation can be specified as </w:t>
      </w:r>
      <w:r>
        <w:t xml:space="preserve">EUT </w:t>
      </w:r>
      <w:r w:rsidR="001B2356">
        <w:t xml:space="preserve">length </w:t>
      </w:r>
      <w:r>
        <w:t xml:space="preserve"> +/- 20%.</w:t>
      </w:r>
      <w:r w:rsidR="001B2356">
        <w:t xml:space="preserve"> </w:t>
      </w:r>
      <w:bookmarkStart w:id="2" w:name="_GoBack"/>
      <w:bookmarkEnd w:id="2"/>
    </w:p>
    <w:p w:rsidR="00CC4A79" w:rsidRDefault="00CC4A79" w:rsidP="0062745C">
      <w:pPr>
        <w:pStyle w:val="BodyText"/>
      </w:pPr>
    </w:p>
    <w:p w:rsidR="00CC4A79" w:rsidRDefault="00CC4A79" w:rsidP="00CC4A79">
      <w:pPr>
        <w:pStyle w:val="BodyText"/>
      </w:pPr>
      <w:r>
        <w:t xml:space="preserve">For other requirements where the CRA is used to measure emission (Spurious emission, TDD OFF power) the size of the CRA is also crucial parameter to guarantee the measurement uncertainty.  </w:t>
      </w:r>
    </w:p>
    <w:p w:rsidR="00CC4A79" w:rsidRDefault="00CC4A79" w:rsidP="00CC4A79">
      <w:pPr>
        <w:pStyle w:val="BodyText"/>
      </w:pPr>
      <w:r>
        <w:t xml:space="preserve">To be able to establish a solid foundation for co-location requirements, the selected CRA used during conformance testing must be carefully defined. Currently, the alignment of the EUT and CRA and CRA characteristics is described in detail in TS 37.145-2, sub-clause 4.15. The description is common for all co-location requirements. However, the impact of the CRA length is different for requirements where the CRA is used to inject an interferer signal than for requirements where the CRA is used to measure emission. Also, the frequency version length aspect will matter in the out-of-band region. </w:t>
      </w:r>
    </w:p>
    <w:p w:rsidR="003B61A8" w:rsidRDefault="00CC4A79" w:rsidP="00CC4A79">
      <w:pPr>
        <w:pStyle w:val="BodyText"/>
      </w:pPr>
      <w:r>
        <w:t xml:space="preserve">Additional information to sub-clause 4.15 to be add is required to include alignment aspects and guidance on flexibility related to the selection of </w:t>
      </w:r>
      <w:r w:rsidRPr="00CC4A79">
        <w:rPr>
          <w:i/>
        </w:rPr>
        <w:t>test CRA</w:t>
      </w:r>
      <w:r>
        <w:t xml:space="preserve">. </w:t>
      </w:r>
    </w:p>
    <w:p w:rsidR="00B66342" w:rsidRDefault="00B66342"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Conclusion</w:t>
      </w:r>
    </w:p>
    <w:p w:rsidR="003B61A8" w:rsidRDefault="00B13A74" w:rsidP="003B61A8">
      <w:pPr>
        <w:pStyle w:val="BodyText"/>
      </w:pPr>
      <w:r>
        <w:t xml:space="preserve">In this contribution the </w:t>
      </w:r>
      <w:r w:rsidR="00410F65">
        <w:t xml:space="preserve">aspects related to alignment of EUT length and CRA length is studied using a simple coupling model. The result shows that the port-to-port isolation will depend on the length of the CRA. The implications for co-location requirement will be different, but in common for all requirements the CRA length aspect must be settled before starting the measurement uncertainty evaluation. </w:t>
      </w:r>
      <w:r w:rsidR="003B61A8">
        <w:t xml:space="preserve">  </w:t>
      </w:r>
    </w:p>
    <w:p w:rsidR="00410F65" w:rsidRPr="007D610C" w:rsidRDefault="00410F65" w:rsidP="003B61A8">
      <w:pPr>
        <w:pStyle w:val="BodyText"/>
      </w:pPr>
      <w:r>
        <w:t>In this contribution, t</w:t>
      </w:r>
      <w:r w:rsidR="005606AF">
        <w:t>hree</w:t>
      </w:r>
      <w:r>
        <w:t xml:space="preserve"> options for how the </w:t>
      </w:r>
      <w:r w:rsidR="00247A16">
        <w:t xml:space="preserve">test </w:t>
      </w:r>
      <w:r w:rsidR="00451CA3">
        <w:t xml:space="preserve">CRA </w:t>
      </w:r>
      <w:r>
        <w:t>length issue can be resolved is presented</w:t>
      </w:r>
      <w:r w:rsidR="0045017C">
        <w:t xml:space="preserve"> for further consideration</w:t>
      </w:r>
      <w:r>
        <w:t xml:space="preserve">. </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References</w:t>
      </w:r>
    </w:p>
    <w:p w:rsidR="004C2687" w:rsidRDefault="00B537B3" w:rsidP="003B61A8">
      <w:pPr>
        <w:ind w:left="709" w:hanging="709"/>
      </w:pPr>
      <w:r>
        <w:t>[</w:t>
      </w:r>
      <w:r w:rsidR="00A06897">
        <w:t>1</w:t>
      </w:r>
      <w:r>
        <w:t>]</w:t>
      </w:r>
      <w:r>
        <w:tab/>
      </w:r>
      <w:r w:rsidR="004C2687">
        <w:t>R4-180</w:t>
      </w:r>
      <w:r>
        <w:t>6908, “</w:t>
      </w:r>
      <w:r w:rsidRPr="00B537B3">
        <w:t>On conformance testing of co-location requirements</w:t>
      </w:r>
      <w:r>
        <w:t>”, Ericsson, RAN4#87</w:t>
      </w:r>
    </w:p>
    <w:p w:rsidR="00DF3825" w:rsidRDefault="00DF3825" w:rsidP="003B61A8">
      <w:pPr>
        <w:ind w:left="709" w:hanging="709"/>
      </w:pPr>
      <w:r>
        <w:t>[</w:t>
      </w:r>
      <w:r w:rsidR="00A06897">
        <w:t>2</w:t>
      </w:r>
      <w:r>
        <w:t>]</w:t>
      </w:r>
      <w:r>
        <w:tab/>
      </w:r>
      <w:r w:rsidR="00A06897" w:rsidRPr="00A06897">
        <w:t>R4-1807563</w:t>
      </w:r>
      <w:r w:rsidR="00A06897">
        <w:t>, “</w:t>
      </w:r>
      <w:r w:rsidR="00A06897" w:rsidRPr="00A06897">
        <w:t xml:space="preserve">Open issues in co-location </w:t>
      </w:r>
      <w:proofErr w:type="gramStart"/>
      <w:r w:rsidR="00A06897" w:rsidRPr="00A06897">
        <w:t>method based</w:t>
      </w:r>
      <w:proofErr w:type="gramEnd"/>
      <w:r w:rsidR="00A06897" w:rsidRPr="00A06897">
        <w:t xml:space="preserve"> measurements</w:t>
      </w:r>
      <w:r w:rsidR="00A06897">
        <w:t xml:space="preserve">”, </w:t>
      </w:r>
      <w:r w:rsidR="00A06897" w:rsidRPr="00A06897">
        <w:t>Nokia, Nokia Shanghai Bell</w:t>
      </w:r>
      <w:r w:rsidR="00A06897">
        <w:t>, RAN4#87</w:t>
      </w:r>
    </w:p>
    <w:p w:rsidR="00A06897" w:rsidRDefault="00A06897" w:rsidP="003B61A8">
      <w:pPr>
        <w:ind w:left="709" w:hanging="709"/>
      </w:pPr>
      <w:r>
        <w:t>[3]</w:t>
      </w:r>
      <w:r>
        <w:tab/>
      </w:r>
      <w:r w:rsidRPr="00A06897">
        <w:t>R4-1807564</w:t>
      </w:r>
      <w:r>
        <w:t>, “</w:t>
      </w:r>
      <w:r w:rsidRPr="00A06897">
        <w:t>On co-location reference antenna</w:t>
      </w:r>
      <w:r>
        <w:t xml:space="preserve">”, </w:t>
      </w:r>
      <w:r w:rsidRPr="00A06897">
        <w:t>Nokia, Nokia Shanghai Bell</w:t>
      </w:r>
      <w:r>
        <w:t xml:space="preserve">, </w:t>
      </w:r>
      <w:r w:rsidRPr="00A06897">
        <w:t>RAN4#87</w:t>
      </w:r>
    </w:p>
    <w:p w:rsidR="00A06897" w:rsidRDefault="00A06897" w:rsidP="003B61A8">
      <w:pPr>
        <w:ind w:left="709" w:hanging="709"/>
      </w:pPr>
      <w:r>
        <w:t>[4]</w:t>
      </w:r>
      <w:r>
        <w:tab/>
      </w:r>
      <w:r w:rsidRPr="00A06897">
        <w:t>R4-1807614</w:t>
      </w:r>
      <w:r>
        <w:t>, “</w:t>
      </w:r>
      <w:r w:rsidRPr="00A06897">
        <w:t>Measuring spurious levels close to the noise floor</w:t>
      </w:r>
      <w:r>
        <w:t xml:space="preserve">”, </w:t>
      </w:r>
      <w:r w:rsidRPr="00A06897">
        <w:t>Huawei</w:t>
      </w:r>
      <w:r>
        <w:t xml:space="preserve">, </w:t>
      </w:r>
      <w:r w:rsidRPr="00A06897">
        <w:t>RAN4#87</w:t>
      </w:r>
    </w:p>
    <w:p w:rsidR="00DE3DCD" w:rsidRDefault="00DE3DCD" w:rsidP="003B61A8">
      <w:pPr>
        <w:ind w:left="709" w:hanging="709"/>
      </w:pPr>
      <w:r>
        <w:t>[5]</w:t>
      </w:r>
      <w:r>
        <w:tab/>
        <w:t>R4-1806917, “</w:t>
      </w:r>
      <w:r w:rsidRPr="00DE3DCD">
        <w:t>On noise rise measurement method for co-location spurious emission</w:t>
      </w:r>
      <w:r>
        <w:t>”, Ericsson, RAN4#87</w:t>
      </w:r>
    </w:p>
    <w:p w:rsidR="00A06897" w:rsidRDefault="00A06897" w:rsidP="00197669"/>
    <w:p w:rsidR="00A06897" w:rsidRDefault="00A06897" w:rsidP="003B61A8">
      <w:pPr>
        <w:ind w:left="709" w:hanging="709"/>
      </w:pPr>
      <w:r>
        <w:t>[</w:t>
      </w:r>
      <w:r w:rsidR="00DE3DCD">
        <w:t>6</w:t>
      </w:r>
      <w:r>
        <w:t>]</w:t>
      </w:r>
      <w:r>
        <w:tab/>
      </w:r>
      <w:r w:rsidRPr="00A06897">
        <w:t>R4-1808415</w:t>
      </w:r>
      <w:r>
        <w:t>, “</w:t>
      </w:r>
      <w:r w:rsidRPr="00A06897">
        <w:t>Draft CR for TS 37.145-2: Adding requirement text for OTA TX IMD in sub-clause 6.8 and D1.7</w:t>
      </w:r>
      <w:r>
        <w:t>”, Ericsson, RAN4#87</w:t>
      </w:r>
    </w:p>
    <w:p w:rsidR="00A06897" w:rsidRDefault="00A06897" w:rsidP="003B61A8">
      <w:pPr>
        <w:ind w:left="709" w:hanging="709"/>
      </w:pPr>
      <w:r>
        <w:t>[</w:t>
      </w:r>
      <w:r w:rsidR="00DE3DCD">
        <w:t>7</w:t>
      </w:r>
      <w:r>
        <w:t>]</w:t>
      </w:r>
      <w:r>
        <w:tab/>
      </w:r>
      <w:r w:rsidRPr="00A06897">
        <w:t>R4-180691</w:t>
      </w:r>
      <w:r>
        <w:t>6, “</w:t>
      </w:r>
      <w:r w:rsidRPr="00A06897">
        <w:t>Draft CR for TS 37.145-2: Adding requirement text for OTA co-location blocking in sub-clause 7.6 and Annex D2.4.2</w:t>
      </w:r>
      <w:r>
        <w:t>”, Ericsson, RAN4#87</w:t>
      </w:r>
    </w:p>
    <w:p w:rsidR="00DE3DCD" w:rsidRDefault="00DE3DCD" w:rsidP="003B61A8">
      <w:pPr>
        <w:ind w:left="709" w:hanging="709"/>
      </w:pPr>
      <w:r>
        <w:t>[8]</w:t>
      </w:r>
      <w:r>
        <w:tab/>
      </w:r>
      <w:r w:rsidRPr="00DE3DCD">
        <w:t>R4-1808418</w:t>
      </w:r>
      <w:r>
        <w:t>, “</w:t>
      </w:r>
      <w:r w:rsidRPr="00DE3DCD">
        <w:t>Draft CR for TR37.843 - Indoor anechoic chamber test method procedure and MU for transmitter intermodulation</w:t>
      </w:r>
      <w:r>
        <w:t xml:space="preserve">”, </w:t>
      </w:r>
      <w:r w:rsidRPr="00DE3DCD">
        <w:t>NTT DOCOMO INC</w:t>
      </w:r>
      <w:r>
        <w:t>, RAN4#87</w:t>
      </w:r>
    </w:p>
    <w:p w:rsidR="00A06897" w:rsidRDefault="00A06897" w:rsidP="003B61A8">
      <w:pPr>
        <w:ind w:left="709" w:hanging="709"/>
      </w:pPr>
      <w:r>
        <w:t>[</w:t>
      </w:r>
      <w:r w:rsidR="00DE3DCD">
        <w:t>9</w:t>
      </w:r>
      <w:r>
        <w:t>]</w:t>
      </w:r>
      <w:r>
        <w:tab/>
      </w:r>
      <w:r w:rsidRPr="00A06897">
        <w:t>R4-1808417</w:t>
      </w:r>
      <w:r>
        <w:t>, “</w:t>
      </w:r>
      <w:r w:rsidRPr="00A06897">
        <w:t>Draft CR for TS 37.145-2: Adding requirement text for OTA co-location spurious emission in sub-clause 6.7.6 and Annex D1.6.2</w:t>
      </w:r>
      <w:r>
        <w:t>”, Ericsson, RAN4#87</w:t>
      </w:r>
    </w:p>
    <w:p w:rsidR="00A06897" w:rsidRDefault="00A06897" w:rsidP="003B61A8">
      <w:pPr>
        <w:ind w:left="709" w:hanging="709"/>
      </w:pPr>
      <w:r>
        <w:t>[</w:t>
      </w:r>
      <w:r w:rsidR="00DE3DCD">
        <w:t>10</w:t>
      </w:r>
      <w:r>
        <w:t>]</w:t>
      </w:r>
      <w:r w:rsidR="00DE3DCD">
        <w:tab/>
      </w:r>
      <w:r w:rsidR="00DE3DCD" w:rsidRPr="00DE3DCD">
        <w:t>R4-1808419</w:t>
      </w:r>
      <w:r w:rsidR="00DE3DCD">
        <w:t>, “</w:t>
      </w:r>
      <w:r w:rsidR="00DE3DCD" w:rsidRPr="00DE3DCD">
        <w:t>Draft CR to TR 37.843: Co-location spurious emissions test method</w:t>
      </w:r>
      <w:r w:rsidR="00DE3DCD">
        <w:t xml:space="preserve">”, </w:t>
      </w:r>
      <w:r w:rsidR="00DE3DCD" w:rsidRPr="00DE3DCD">
        <w:t>Source: Nokia, Nokia Shanghai Bell</w:t>
      </w:r>
      <w:r w:rsidR="00DE3DCD">
        <w:t>, RAN4#87</w:t>
      </w:r>
    </w:p>
    <w:p w:rsidR="00DE3DCD" w:rsidRDefault="00DE3DCD" w:rsidP="003B61A8">
      <w:pPr>
        <w:ind w:left="709" w:hanging="709"/>
      </w:pPr>
      <w:r>
        <w:t>[11]</w:t>
      </w:r>
      <w:r>
        <w:tab/>
        <w:t>R4-1808421, “WF on co-location testing”, Nokia, Nokia Shanghai Bell, RAN4#87</w:t>
      </w:r>
    </w:p>
    <w:p w:rsidR="00A06897" w:rsidRDefault="00FE67B2" w:rsidP="003B61A8">
      <w:pPr>
        <w:ind w:left="709" w:hanging="709"/>
      </w:pPr>
      <w:r>
        <w:t>[12]</w:t>
      </w:r>
      <w:r>
        <w:tab/>
        <w:t>R4-</w:t>
      </w:r>
      <w:r w:rsidR="00271038">
        <w:t>1808875</w:t>
      </w:r>
      <w:r>
        <w:t>, “</w:t>
      </w:r>
      <w:r w:rsidR="009636B6" w:rsidRPr="009636B6">
        <w:t>On co-location reference antenna definitions including practical measurements</w:t>
      </w:r>
      <w:r>
        <w:t>”, Ericsson</w:t>
      </w:r>
    </w:p>
    <w:p w:rsidR="00A06897" w:rsidRDefault="00A06897" w:rsidP="00A06897">
      <w:pPr>
        <w:ind w:left="709" w:hanging="709"/>
      </w:pPr>
      <w:r>
        <w:t>[1</w:t>
      </w:r>
      <w:r w:rsidR="00FE3CD2">
        <w:t>3</w:t>
      </w:r>
      <w:r>
        <w:t>]</w:t>
      </w:r>
      <w:r>
        <w:tab/>
        <w:t>R4-1804504, “</w:t>
      </w:r>
      <w:r w:rsidRPr="00B537B3">
        <w:t>Alignment of co-location reference antenna</w:t>
      </w:r>
      <w:r>
        <w:t>”, Ericsson, RAN4#86-bis</w:t>
      </w:r>
    </w:p>
    <w:p w:rsidR="00A06897" w:rsidRDefault="00A06897" w:rsidP="003B61A8">
      <w:pPr>
        <w:ind w:left="709" w:hanging="709"/>
      </w:pPr>
    </w:p>
    <w:bookmarkEnd w:id="0"/>
    <w:p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0C9" w:rsidRDefault="008350C9">
      <w:r>
        <w:separator/>
      </w:r>
    </w:p>
  </w:endnote>
  <w:endnote w:type="continuationSeparator" w:id="0">
    <w:p w:rsidR="008350C9" w:rsidRDefault="0083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0C9" w:rsidRDefault="008350C9">
      <w:r>
        <w:separator/>
      </w:r>
    </w:p>
  </w:footnote>
  <w:footnote w:type="continuationSeparator" w:id="0">
    <w:p w:rsidR="008350C9" w:rsidRDefault="0083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framePr w:h="284" w:hRule="exact" w:wrap="around" w:vAnchor="text" w:hAnchor="margin" w:xAlign="right" w:y="1"/>
      <w:rPr>
        <w:rFonts w:ascii="Arial" w:hAnsi="Arial" w:cs="Arial"/>
        <w:b/>
        <w:sz w:val="18"/>
        <w:szCs w:val="18"/>
      </w:rPr>
    </w:pPr>
  </w:p>
  <w:p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2E65">
      <w:rPr>
        <w:rFonts w:ascii="Arial" w:hAnsi="Arial" w:cs="Arial"/>
        <w:b/>
        <w:noProof/>
        <w:sz w:val="18"/>
        <w:szCs w:val="18"/>
      </w:rPr>
      <w:t>3</w:t>
    </w:r>
    <w:r>
      <w:rPr>
        <w:rFonts w:ascii="Arial" w:hAnsi="Arial" w:cs="Arial"/>
        <w:b/>
        <w:sz w:val="18"/>
        <w:szCs w:val="18"/>
      </w:rPr>
      <w:fldChar w:fldCharType="end"/>
    </w:r>
  </w:p>
  <w:p w:rsidR="00EF1FC5" w:rsidRDefault="00EF1FC5">
    <w:pPr>
      <w:framePr w:h="284" w:hRule="exact" w:wrap="around" w:vAnchor="text" w:hAnchor="margin" w:y="7"/>
      <w:rPr>
        <w:rFonts w:ascii="Arial" w:hAnsi="Arial" w:cs="Arial"/>
        <w:b/>
        <w:sz w:val="18"/>
        <w:szCs w:val="18"/>
      </w:rPr>
    </w:pPr>
  </w:p>
  <w:p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EF35E2"/>
    <w:multiLevelType w:val="hybridMultilevel"/>
    <w:tmpl w:val="DBFC0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CCE"/>
    <w:rsid w:val="00040095"/>
    <w:rsid w:val="00051834"/>
    <w:rsid w:val="00054A22"/>
    <w:rsid w:val="000560CC"/>
    <w:rsid w:val="000655A6"/>
    <w:rsid w:val="00080512"/>
    <w:rsid w:val="000821E6"/>
    <w:rsid w:val="00094D53"/>
    <w:rsid w:val="00096009"/>
    <w:rsid w:val="000C7190"/>
    <w:rsid w:val="000D58AB"/>
    <w:rsid w:val="000D696C"/>
    <w:rsid w:val="000E1DEA"/>
    <w:rsid w:val="000E632F"/>
    <w:rsid w:val="000F0805"/>
    <w:rsid w:val="001018A8"/>
    <w:rsid w:val="00106F91"/>
    <w:rsid w:val="00155B44"/>
    <w:rsid w:val="001709FF"/>
    <w:rsid w:val="00176C71"/>
    <w:rsid w:val="001862BC"/>
    <w:rsid w:val="00197669"/>
    <w:rsid w:val="001B2356"/>
    <w:rsid w:val="001C1DF4"/>
    <w:rsid w:val="001C2BAB"/>
    <w:rsid w:val="001D02C2"/>
    <w:rsid w:val="001E62AA"/>
    <w:rsid w:val="001F0C8A"/>
    <w:rsid w:val="001F168B"/>
    <w:rsid w:val="001F33FD"/>
    <w:rsid w:val="00214DBD"/>
    <w:rsid w:val="002209CB"/>
    <w:rsid w:val="00231DE5"/>
    <w:rsid w:val="0023254C"/>
    <w:rsid w:val="002342AE"/>
    <w:rsid w:val="002347A2"/>
    <w:rsid w:val="00241D8F"/>
    <w:rsid w:val="00247A16"/>
    <w:rsid w:val="00255394"/>
    <w:rsid w:val="00271038"/>
    <w:rsid w:val="00282B80"/>
    <w:rsid w:val="002A0978"/>
    <w:rsid w:val="002B067D"/>
    <w:rsid w:val="002B0AA9"/>
    <w:rsid w:val="002E2D39"/>
    <w:rsid w:val="002F1E03"/>
    <w:rsid w:val="003172DC"/>
    <w:rsid w:val="003348D7"/>
    <w:rsid w:val="0035462D"/>
    <w:rsid w:val="00361E87"/>
    <w:rsid w:val="003760C3"/>
    <w:rsid w:val="003845AE"/>
    <w:rsid w:val="003A0793"/>
    <w:rsid w:val="003B1D4A"/>
    <w:rsid w:val="003B61A8"/>
    <w:rsid w:val="003C3971"/>
    <w:rsid w:val="00410F65"/>
    <w:rsid w:val="004239C7"/>
    <w:rsid w:val="0044156C"/>
    <w:rsid w:val="0044218F"/>
    <w:rsid w:val="0045017C"/>
    <w:rsid w:val="00451CA3"/>
    <w:rsid w:val="004A4210"/>
    <w:rsid w:val="004B180D"/>
    <w:rsid w:val="004B372C"/>
    <w:rsid w:val="004B5078"/>
    <w:rsid w:val="004C0C1D"/>
    <w:rsid w:val="004C2687"/>
    <w:rsid w:val="004D3578"/>
    <w:rsid w:val="004E0C1D"/>
    <w:rsid w:val="004E213A"/>
    <w:rsid w:val="004E29CC"/>
    <w:rsid w:val="004F4D5A"/>
    <w:rsid w:val="00525F3F"/>
    <w:rsid w:val="00543E6C"/>
    <w:rsid w:val="005606AF"/>
    <w:rsid w:val="00565087"/>
    <w:rsid w:val="00574FD8"/>
    <w:rsid w:val="00583298"/>
    <w:rsid w:val="00592A9D"/>
    <w:rsid w:val="00594E26"/>
    <w:rsid w:val="00597F17"/>
    <w:rsid w:val="005B3C73"/>
    <w:rsid w:val="005B4A0A"/>
    <w:rsid w:val="005C2897"/>
    <w:rsid w:val="005C7173"/>
    <w:rsid w:val="005D2E01"/>
    <w:rsid w:val="005D3EE8"/>
    <w:rsid w:val="005F0A04"/>
    <w:rsid w:val="00607CF7"/>
    <w:rsid w:val="00612061"/>
    <w:rsid w:val="00614FDF"/>
    <w:rsid w:val="0062745C"/>
    <w:rsid w:val="006437A9"/>
    <w:rsid w:val="00674E7D"/>
    <w:rsid w:val="006D1100"/>
    <w:rsid w:val="006E3621"/>
    <w:rsid w:val="006E5C86"/>
    <w:rsid w:val="006F6298"/>
    <w:rsid w:val="007148E4"/>
    <w:rsid w:val="00722DD1"/>
    <w:rsid w:val="00734A5B"/>
    <w:rsid w:val="00744E76"/>
    <w:rsid w:val="00752E65"/>
    <w:rsid w:val="00752FDF"/>
    <w:rsid w:val="007577CB"/>
    <w:rsid w:val="00771315"/>
    <w:rsid w:val="00781F0F"/>
    <w:rsid w:val="007C4C45"/>
    <w:rsid w:val="007D06CB"/>
    <w:rsid w:val="007F52D4"/>
    <w:rsid w:val="008028A4"/>
    <w:rsid w:val="00805820"/>
    <w:rsid w:val="0081456F"/>
    <w:rsid w:val="008350C9"/>
    <w:rsid w:val="00841C98"/>
    <w:rsid w:val="00843454"/>
    <w:rsid w:val="00872E34"/>
    <w:rsid w:val="008768CA"/>
    <w:rsid w:val="008877E6"/>
    <w:rsid w:val="008B735F"/>
    <w:rsid w:val="008C0085"/>
    <w:rsid w:val="008C2529"/>
    <w:rsid w:val="008D3E16"/>
    <w:rsid w:val="008E372D"/>
    <w:rsid w:val="008F6912"/>
    <w:rsid w:val="0090271F"/>
    <w:rsid w:val="00902E23"/>
    <w:rsid w:val="0090598A"/>
    <w:rsid w:val="00907978"/>
    <w:rsid w:val="00912A18"/>
    <w:rsid w:val="0091348E"/>
    <w:rsid w:val="00917CCB"/>
    <w:rsid w:val="009228DF"/>
    <w:rsid w:val="0092774C"/>
    <w:rsid w:val="00933EEB"/>
    <w:rsid w:val="00942EC2"/>
    <w:rsid w:val="00943AAD"/>
    <w:rsid w:val="00944C13"/>
    <w:rsid w:val="009636B6"/>
    <w:rsid w:val="00974355"/>
    <w:rsid w:val="00982796"/>
    <w:rsid w:val="00986756"/>
    <w:rsid w:val="009A2D2D"/>
    <w:rsid w:val="009A324B"/>
    <w:rsid w:val="009B13F6"/>
    <w:rsid w:val="009B5100"/>
    <w:rsid w:val="009F37B7"/>
    <w:rsid w:val="00A01138"/>
    <w:rsid w:val="00A06897"/>
    <w:rsid w:val="00A10F02"/>
    <w:rsid w:val="00A164B4"/>
    <w:rsid w:val="00A31D50"/>
    <w:rsid w:val="00A53724"/>
    <w:rsid w:val="00A60708"/>
    <w:rsid w:val="00A82346"/>
    <w:rsid w:val="00A96B56"/>
    <w:rsid w:val="00AB5035"/>
    <w:rsid w:val="00AC0669"/>
    <w:rsid w:val="00AC17A1"/>
    <w:rsid w:val="00AD1AFC"/>
    <w:rsid w:val="00AD7E09"/>
    <w:rsid w:val="00B059AE"/>
    <w:rsid w:val="00B13A74"/>
    <w:rsid w:val="00B14246"/>
    <w:rsid w:val="00B15449"/>
    <w:rsid w:val="00B33FC8"/>
    <w:rsid w:val="00B476B7"/>
    <w:rsid w:val="00B537B3"/>
    <w:rsid w:val="00B57386"/>
    <w:rsid w:val="00B66342"/>
    <w:rsid w:val="00BB3261"/>
    <w:rsid w:val="00BC0F7D"/>
    <w:rsid w:val="00BF1095"/>
    <w:rsid w:val="00BF596C"/>
    <w:rsid w:val="00C17A60"/>
    <w:rsid w:val="00C33079"/>
    <w:rsid w:val="00C371B3"/>
    <w:rsid w:val="00C45231"/>
    <w:rsid w:val="00C6035E"/>
    <w:rsid w:val="00C72833"/>
    <w:rsid w:val="00C72C62"/>
    <w:rsid w:val="00C92C8B"/>
    <w:rsid w:val="00C93F40"/>
    <w:rsid w:val="00C942AF"/>
    <w:rsid w:val="00CA3B1D"/>
    <w:rsid w:val="00CA3D0C"/>
    <w:rsid w:val="00CA3D41"/>
    <w:rsid w:val="00CA47BF"/>
    <w:rsid w:val="00CA75EE"/>
    <w:rsid w:val="00CC3F7F"/>
    <w:rsid w:val="00CC4A79"/>
    <w:rsid w:val="00CC71A4"/>
    <w:rsid w:val="00D11B3A"/>
    <w:rsid w:val="00D228C2"/>
    <w:rsid w:val="00D2544C"/>
    <w:rsid w:val="00D31AC1"/>
    <w:rsid w:val="00D56778"/>
    <w:rsid w:val="00D738D6"/>
    <w:rsid w:val="00D755EB"/>
    <w:rsid w:val="00D87E00"/>
    <w:rsid w:val="00D9134D"/>
    <w:rsid w:val="00DA6DF6"/>
    <w:rsid w:val="00DA7A03"/>
    <w:rsid w:val="00DB1818"/>
    <w:rsid w:val="00DB6D51"/>
    <w:rsid w:val="00DC309B"/>
    <w:rsid w:val="00DC4DA2"/>
    <w:rsid w:val="00DE3DCD"/>
    <w:rsid w:val="00DF2B1F"/>
    <w:rsid w:val="00DF33A4"/>
    <w:rsid w:val="00DF3825"/>
    <w:rsid w:val="00DF62CD"/>
    <w:rsid w:val="00E13370"/>
    <w:rsid w:val="00E41C4A"/>
    <w:rsid w:val="00E4315F"/>
    <w:rsid w:val="00E54060"/>
    <w:rsid w:val="00E77645"/>
    <w:rsid w:val="00EA0C66"/>
    <w:rsid w:val="00EA7C61"/>
    <w:rsid w:val="00EC4A25"/>
    <w:rsid w:val="00EF1994"/>
    <w:rsid w:val="00EF1FC5"/>
    <w:rsid w:val="00EF4C58"/>
    <w:rsid w:val="00F025A2"/>
    <w:rsid w:val="00F04712"/>
    <w:rsid w:val="00F13393"/>
    <w:rsid w:val="00F22EC7"/>
    <w:rsid w:val="00F26CEE"/>
    <w:rsid w:val="00F45371"/>
    <w:rsid w:val="00F653B8"/>
    <w:rsid w:val="00F7643D"/>
    <w:rsid w:val="00F86CD3"/>
    <w:rsid w:val="00F907B3"/>
    <w:rsid w:val="00FA1266"/>
    <w:rsid w:val="00FA7BE8"/>
    <w:rsid w:val="00FC1192"/>
    <w:rsid w:val="00FD25AF"/>
    <w:rsid w:val="00FE11B9"/>
    <w:rsid w:val="00FE181B"/>
    <w:rsid w:val="00FE3CD2"/>
    <w:rsid w:val="00FE67B2"/>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1F869"/>
  <w15:chartTrackingRefBased/>
  <w15:docId w15:val="{28FDF45B-E92B-4308-AE13-22F593FA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FD29-913B-4695-A36B-56FCB7BF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cp:lastPrinted>2018-06-05T12:51:00Z</cp:lastPrinted>
  <dcterms:created xsi:type="dcterms:W3CDTF">2018-06-07T07:23:00Z</dcterms:created>
  <dcterms:modified xsi:type="dcterms:W3CDTF">2018-06-25T07:47:00Z</dcterms:modified>
</cp:coreProperties>
</file>