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E5C" w:rsidRPr="00841BCD" w:rsidRDefault="00AA1E5C" w:rsidP="00AA1E5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AH-1807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1B57DE" w:rsidRPr="001B57DE">
        <w:rPr>
          <w:rFonts w:ascii="Arial" w:eastAsia="宋体" w:hAnsi="Arial" w:cs="Times New Roman"/>
          <w:b/>
          <w:bCs/>
          <w:sz w:val="24"/>
          <w:szCs w:val="20"/>
          <w:lang w:val="en-GB" w:eastAsia="ja-JP"/>
        </w:rPr>
        <w:t>R4-1808787</w:t>
      </w:r>
      <w:bookmarkStart w:id="3" w:name="_GoBack"/>
      <w:bookmarkEnd w:id="3"/>
    </w:p>
    <w:p w:rsidR="00841BCD" w:rsidRPr="00841BCD" w:rsidRDefault="00AA1E5C" w:rsidP="00AA1E5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 xml:space="preserve">Montreal, Canada, July 2 – 6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14809">
        <w:rPr>
          <w:rFonts w:ascii="Arial" w:eastAsia="Calibri" w:hAnsi="Arial" w:cs="Arial"/>
          <w:b/>
          <w:bCs/>
          <w:sz w:val="24"/>
          <w:lang w:val="en-GB"/>
        </w:rPr>
        <w:t>Further discussion on requirements for BFR</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54AAA">
        <w:rPr>
          <w:rFonts w:ascii="Arial" w:eastAsia="MS Mincho" w:hAnsi="Arial" w:cs="Arial"/>
          <w:b/>
          <w:bCs/>
          <w:sz w:val="24"/>
          <w:szCs w:val="20"/>
          <w:lang w:val="en-GB"/>
        </w:rPr>
        <w:t>5.2.4.</w:t>
      </w:r>
      <w:r w:rsidR="00F14809">
        <w:rPr>
          <w:rFonts w:ascii="Arial" w:eastAsia="MS Mincho" w:hAnsi="Arial" w:cs="Arial"/>
          <w:b/>
          <w:bCs/>
          <w:sz w:val="24"/>
          <w:szCs w:val="20"/>
          <w:lang w:val="en-GB"/>
        </w:rPr>
        <w:t>4</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013516" w:rsidRPr="00013516" w:rsidRDefault="00013516" w:rsidP="00013516">
      <w:pPr>
        <w:ind w:right="-23"/>
        <w:rPr>
          <w:rFonts w:eastAsia="Calibri" w:cs="Times New Roman"/>
          <w:szCs w:val="20"/>
        </w:rPr>
      </w:pPr>
      <w:bookmarkStart w:id="4" w:name="_Hlk513205245"/>
      <w:bookmarkStart w:id="5" w:name="_Hlk513205847"/>
      <w:r w:rsidRPr="00013516">
        <w:rPr>
          <w:rFonts w:eastAsia="Calibri" w:cs="Times New Roman"/>
          <w:szCs w:val="20"/>
        </w:rPr>
        <w:t>RAN4 has been discussing the RRM requirements for BFR procedure. In RAN4#8</w:t>
      </w:r>
      <w:r>
        <w:rPr>
          <w:rFonts w:eastAsia="Calibri" w:cs="Times New Roman"/>
          <w:szCs w:val="20"/>
        </w:rPr>
        <w:t>7</w:t>
      </w:r>
      <w:r w:rsidRPr="00013516">
        <w:rPr>
          <w:rFonts w:eastAsia="Calibri" w:cs="Times New Roman"/>
          <w:szCs w:val="20"/>
        </w:rPr>
        <w:t xml:space="preserve"> WF </w:t>
      </w:r>
      <w:r w:rsidRPr="00013516">
        <w:rPr>
          <w:rFonts w:eastAsia="Calibri" w:cs="Times New Roman"/>
          <w:szCs w:val="20"/>
        </w:rPr>
        <w:fldChar w:fldCharType="begin"/>
      </w:r>
      <w:r w:rsidRPr="00013516">
        <w:rPr>
          <w:rFonts w:eastAsia="Calibri" w:cs="Times New Roman"/>
          <w:szCs w:val="20"/>
        </w:rPr>
        <w:instrText xml:space="preserve"> REF _Ref431017336 \r \h </w:instrText>
      </w:r>
      <w:r w:rsidRPr="00013516">
        <w:rPr>
          <w:rFonts w:eastAsia="Calibri" w:cs="Times New Roman"/>
          <w:szCs w:val="20"/>
        </w:rPr>
      </w:r>
      <w:r w:rsidRPr="00013516">
        <w:rPr>
          <w:rFonts w:eastAsia="Calibri" w:cs="Times New Roman"/>
          <w:szCs w:val="20"/>
        </w:rPr>
        <w:fldChar w:fldCharType="separate"/>
      </w:r>
      <w:r w:rsidRPr="00013516">
        <w:rPr>
          <w:rFonts w:eastAsia="Calibri" w:cs="Times New Roman"/>
          <w:szCs w:val="20"/>
        </w:rPr>
        <w:t>[1]</w:t>
      </w:r>
      <w:r w:rsidRPr="00013516">
        <w:rPr>
          <w:rFonts w:eastAsia="Calibri" w:cs="Times New Roman"/>
          <w:szCs w:val="20"/>
        </w:rPr>
        <w:fldChar w:fldCharType="end"/>
      </w:r>
      <w:r w:rsidRPr="00013516">
        <w:rPr>
          <w:rFonts w:eastAsia="Calibri" w:cs="Times New Roman"/>
          <w:szCs w:val="20"/>
        </w:rPr>
        <w:t xml:space="preserve"> is agreed and following are for BFR.</w:t>
      </w:r>
    </w:p>
    <w:tbl>
      <w:tblPr>
        <w:tblStyle w:val="TableGrid2"/>
        <w:tblW w:w="0" w:type="auto"/>
        <w:tblLook w:val="04A0" w:firstRow="1" w:lastRow="0" w:firstColumn="1" w:lastColumn="0" w:noHBand="0" w:noVBand="1"/>
      </w:tblPr>
      <w:tblGrid>
        <w:gridCol w:w="9617"/>
      </w:tblGrid>
      <w:tr w:rsidR="00013516" w:rsidRPr="00013516" w:rsidTr="005D3582">
        <w:tc>
          <w:tcPr>
            <w:tcW w:w="9617" w:type="dxa"/>
          </w:tcPr>
          <w:p w:rsidR="00B022FD" w:rsidRPr="00640275" w:rsidRDefault="00BF399A" w:rsidP="00640275">
            <w:pPr>
              <w:numPr>
                <w:ilvl w:val="0"/>
                <w:numId w:val="44"/>
              </w:numPr>
              <w:tabs>
                <w:tab w:val="num" w:pos="1440"/>
              </w:tabs>
              <w:ind w:right="-23"/>
              <w:rPr>
                <w:rFonts w:eastAsia="Calibri" w:cs="Times New Roman"/>
                <w:szCs w:val="20"/>
              </w:rPr>
            </w:pPr>
            <w:r w:rsidRPr="00640275">
              <w:rPr>
                <w:rFonts w:eastAsia="Calibri" w:cs="Times New Roman"/>
                <w:szCs w:val="20"/>
              </w:rPr>
              <w:t>The requirements on both CSI-RS based beam failure detection and SSB based beam failure detection will be introduced, and the following aspects will be specified:</w:t>
            </w:r>
          </w:p>
          <w:p w:rsidR="00B022FD" w:rsidRPr="00640275" w:rsidRDefault="00BF399A" w:rsidP="00640275">
            <w:pPr>
              <w:numPr>
                <w:ilvl w:val="1"/>
                <w:numId w:val="44"/>
              </w:numPr>
              <w:ind w:right="-23"/>
              <w:rPr>
                <w:rFonts w:eastAsia="Calibri" w:cs="Times New Roman"/>
                <w:szCs w:val="20"/>
              </w:rPr>
            </w:pPr>
            <w:r w:rsidRPr="00640275">
              <w:rPr>
                <w:rFonts w:eastAsia="Calibri" w:cs="Times New Roman"/>
                <w:szCs w:val="20"/>
              </w:rPr>
              <w:t>BLER value for the threshold Q</w:t>
            </w:r>
            <w:r w:rsidRPr="00640275">
              <w:rPr>
                <w:rFonts w:eastAsia="Calibri" w:cs="Times New Roman"/>
                <w:szCs w:val="20"/>
                <w:vertAlign w:val="subscript"/>
              </w:rPr>
              <w:t>out_LR</w:t>
            </w:r>
            <w:r w:rsidRPr="00640275">
              <w:rPr>
                <w:rFonts w:eastAsia="Calibri" w:cs="Times New Roman"/>
                <w:szCs w:val="20"/>
              </w:rPr>
              <w:t>.</w:t>
            </w:r>
          </w:p>
          <w:p w:rsidR="00B022FD" w:rsidRPr="00640275" w:rsidRDefault="00BF399A" w:rsidP="00640275">
            <w:pPr>
              <w:numPr>
                <w:ilvl w:val="1"/>
                <w:numId w:val="44"/>
              </w:numPr>
              <w:ind w:right="-23"/>
              <w:rPr>
                <w:rFonts w:eastAsia="Calibri" w:cs="Times New Roman"/>
                <w:szCs w:val="20"/>
              </w:rPr>
            </w:pPr>
            <w:r w:rsidRPr="00640275">
              <w:rPr>
                <w:rFonts w:eastAsia="Calibri" w:cs="Times New Roman"/>
                <w:szCs w:val="20"/>
              </w:rPr>
              <w:t>Maximum number of beam failure detection RS resources, which is defined as 2.</w:t>
            </w:r>
          </w:p>
          <w:p w:rsidR="00B022FD" w:rsidRPr="00640275" w:rsidRDefault="00BF399A" w:rsidP="00640275">
            <w:pPr>
              <w:numPr>
                <w:ilvl w:val="1"/>
                <w:numId w:val="44"/>
              </w:numPr>
              <w:ind w:right="-23"/>
              <w:rPr>
                <w:rFonts w:eastAsia="Calibri" w:cs="Times New Roman"/>
                <w:szCs w:val="20"/>
              </w:rPr>
            </w:pPr>
            <w:r w:rsidRPr="00640275">
              <w:rPr>
                <w:rFonts w:eastAsia="Calibri" w:cs="Times New Roman"/>
                <w:szCs w:val="20"/>
              </w:rPr>
              <w:t>Hypothetic PDCCH parameters for beam failure instance</w:t>
            </w:r>
          </w:p>
          <w:p w:rsidR="00B022FD" w:rsidRPr="00640275" w:rsidRDefault="00BF399A" w:rsidP="00640275">
            <w:pPr>
              <w:numPr>
                <w:ilvl w:val="2"/>
                <w:numId w:val="44"/>
              </w:numPr>
              <w:ind w:right="-23"/>
              <w:rPr>
                <w:rFonts w:eastAsia="Calibri" w:cs="Times New Roman"/>
                <w:szCs w:val="20"/>
              </w:rPr>
            </w:pPr>
            <w:r w:rsidRPr="00640275">
              <w:rPr>
                <w:rFonts w:eastAsia="Calibri" w:cs="Times New Roman"/>
                <w:szCs w:val="20"/>
                <w:lang w:val="en-GB"/>
              </w:rPr>
              <w:t xml:space="preserve">Reuse the parameters for RLM out-of-sync without power boosting for PDCCH/PDCCH-DMRS, which means that the corresponding SINR level of </w:t>
            </w:r>
            <w:r w:rsidRPr="00640275">
              <w:rPr>
                <w:rFonts w:eastAsia="Calibri" w:cs="Times New Roman"/>
                <w:szCs w:val="20"/>
              </w:rPr>
              <w:t>Q</w:t>
            </w:r>
            <w:r w:rsidRPr="00640275">
              <w:rPr>
                <w:rFonts w:eastAsia="Calibri" w:cs="Times New Roman"/>
                <w:szCs w:val="20"/>
                <w:vertAlign w:val="subscript"/>
              </w:rPr>
              <w:t>out_LR</w:t>
            </w:r>
            <w:r w:rsidRPr="00640275">
              <w:rPr>
                <w:rFonts w:eastAsia="Calibri" w:cs="Times New Roman"/>
                <w:szCs w:val="20"/>
                <w:lang w:val="en-GB"/>
              </w:rPr>
              <w:t xml:space="preserve"> will be 4dB higher than the corresponding SINR level of </w:t>
            </w:r>
            <w:r w:rsidRPr="00640275">
              <w:rPr>
                <w:rFonts w:eastAsia="Calibri" w:cs="Times New Roman"/>
                <w:szCs w:val="20"/>
              </w:rPr>
              <w:t>Q</w:t>
            </w:r>
            <w:r w:rsidRPr="00640275">
              <w:rPr>
                <w:rFonts w:eastAsia="Calibri" w:cs="Times New Roman"/>
                <w:szCs w:val="20"/>
                <w:vertAlign w:val="subscript"/>
              </w:rPr>
              <w:t>out</w:t>
            </w:r>
            <w:r w:rsidRPr="00640275">
              <w:rPr>
                <w:rFonts w:eastAsia="Calibri" w:cs="Times New Roman"/>
                <w:szCs w:val="20"/>
                <w:lang w:val="en-GB"/>
              </w:rPr>
              <w:t xml:space="preserve"> and slightly lower than the corresponding SINR level of </w:t>
            </w:r>
            <w:r w:rsidRPr="00640275">
              <w:rPr>
                <w:rFonts w:eastAsia="Calibri" w:cs="Times New Roman"/>
                <w:szCs w:val="20"/>
              </w:rPr>
              <w:t>Q</w:t>
            </w:r>
            <w:r w:rsidRPr="00640275">
              <w:rPr>
                <w:rFonts w:eastAsia="Calibri" w:cs="Times New Roman"/>
                <w:szCs w:val="20"/>
                <w:vertAlign w:val="subscript"/>
              </w:rPr>
              <w:t>in</w:t>
            </w:r>
            <w:r w:rsidRPr="00640275">
              <w:rPr>
                <w:rFonts w:eastAsia="Calibri" w:cs="Times New Roman"/>
                <w:szCs w:val="20"/>
                <w:lang w:val="en-GB"/>
              </w:rPr>
              <w:t xml:space="preserve"> .</w:t>
            </w:r>
          </w:p>
          <w:p w:rsidR="00B022FD" w:rsidRPr="00640275" w:rsidRDefault="00BF399A" w:rsidP="00640275">
            <w:pPr>
              <w:numPr>
                <w:ilvl w:val="1"/>
                <w:numId w:val="44"/>
              </w:numPr>
              <w:ind w:right="-23"/>
              <w:rPr>
                <w:rFonts w:eastAsia="Calibri" w:cs="Times New Roman"/>
                <w:szCs w:val="20"/>
              </w:rPr>
            </w:pPr>
            <w:r w:rsidRPr="00640275">
              <w:rPr>
                <w:rFonts w:eastAsia="Calibri" w:cs="Times New Roman"/>
                <w:szCs w:val="20"/>
              </w:rPr>
              <w:t>L1 indication interval of two successive beam failure instance, which can be defined as the maximum values between the shortest periodicity of BFD-RS resources and 2ms</w:t>
            </w:r>
          </w:p>
          <w:p w:rsidR="00B022FD" w:rsidRPr="00640275" w:rsidRDefault="00BF399A" w:rsidP="00640275">
            <w:pPr>
              <w:numPr>
                <w:ilvl w:val="1"/>
                <w:numId w:val="44"/>
              </w:numPr>
              <w:ind w:right="-23"/>
              <w:rPr>
                <w:rFonts w:eastAsia="Calibri" w:cs="Times New Roman"/>
                <w:szCs w:val="20"/>
              </w:rPr>
            </w:pPr>
            <w:r w:rsidRPr="00640275">
              <w:rPr>
                <w:rFonts w:eastAsia="Calibri" w:cs="Times New Roman"/>
                <w:szCs w:val="20"/>
              </w:rPr>
              <w:t>L1 evaluation period for beam failure instance evaluation</w:t>
            </w:r>
          </w:p>
          <w:p w:rsidR="00B022FD" w:rsidRPr="00640275" w:rsidRDefault="00BF399A" w:rsidP="00640275">
            <w:pPr>
              <w:numPr>
                <w:ilvl w:val="2"/>
                <w:numId w:val="44"/>
              </w:numPr>
              <w:ind w:right="-23"/>
              <w:rPr>
                <w:rFonts w:eastAsia="Calibri" w:cs="Times New Roman"/>
                <w:szCs w:val="20"/>
              </w:rPr>
            </w:pPr>
            <w:r w:rsidRPr="00640275">
              <w:rPr>
                <w:rFonts w:eastAsia="Calibri" w:cs="Times New Roman"/>
                <w:szCs w:val="20"/>
              </w:rPr>
              <w:t xml:space="preserve">Reuse the requirements for RLM in-sync evaluation, since the </w:t>
            </w:r>
            <w:r w:rsidRPr="00640275">
              <w:rPr>
                <w:rFonts w:eastAsia="Calibri" w:cs="Times New Roman"/>
                <w:szCs w:val="20"/>
                <w:lang w:val="en-GB"/>
              </w:rPr>
              <w:t xml:space="preserve">corresponding SINR level of </w:t>
            </w:r>
            <w:r w:rsidRPr="00640275">
              <w:rPr>
                <w:rFonts w:eastAsia="Calibri" w:cs="Times New Roman"/>
                <w:szCs w:val="20"/>
              </w:rPr>
              <w:t>Q</w:t>
            </w:r>
            <w:r w:rsidRPr="00640275">
              <w:rPr>
                <w:rFonts w:eastAsia="Calibri" w:cs="Times New Roman"/>
                <w:szCs w:val="20"/>
                <w:vertAlign w:val="subscript"/>
              </w:rPr>
              <w:t xml:space="preserve">out_LR </w:t>
            </w:r>
            <w:r w:rsidRPr="00640275">
              <w:rPr>
                <w:rFonts w:eastAsia="Calibri" w:cs="Times New Roman"/>
                <w:szCs w:val="20"/>
                <w:lang w:val="en-GB"/>
              </w:rPr>
              <w:t xml:space="preserve">and </w:t>
            </w:r>
            <w:r w:rsidRPr="00640275">
              <w:rPr>
                <w:rFonts w:eastAsia="Calibri" w:cs="Times New Roman"/>
                <w:szCs w:val="20"/>
              </w:rPr>
              <w:t>Q</w:t>
            </w:r>
            <w:r w:rsidRPr="00640275">
              <w:rPr>
                <w:rFonts w:eastAsia="Calibri" w:cs="Times New Roman"/>
                <w:szCs w:val="20"/>
                <w:vertAlign w:val="subscript"/>
              </w:rPr>
              <w:t xml:space="preserve">in </w:t>
            </w:r>
            <w:r w:rsidRPr="00640275">
              <w:rPr>
                <w:rFonts w:eastAsia="Calibri" w:cs="Times New Roman"/>
                <w:szCs w:val="20"/>
              </w:rPr>
              <w:t>are quite close.</w:t>
            </w:r>
          </w:p>
          <w:p w:rsidR="00B022FD" w:rsidRPr="00640275" w:rsidRDefault="00BF399A" w:rsidP="00640275">
            <w:pPr>
              <w:numPr>
                <w:ilvl w:val="2"/>
                <w:numId w:val="44"/>
              </w:numPr>
              <w:ind w:right="-23"/>
              <w:rPr>
                <w:rFonts w:eastAsia="Calibri" w:cs="Times New Roman"/>
                <w:szCs w:val="20"/>
              </w:rPr>
            </w:pPr>
            <w:r w:rsidRPr="00640275">
              <w:rPr>
                <w:rFonts w:eastAsia="Calibri" w:cs="Times New Roman"/>
                <w:szCs w:val="20"/>
              </w:rPr>
              <w:t>Low boundary is not applied for BFD evaluation period, since the low boundary for L1 indication interval is defined as 2ms and will be always shorter than the shortest periodicity of BFD RS resource (i.e. 5ms)</w:t>
            </w:r>
          </w:p>
          <w:p w:rsidR="00B022FD" w:rsidRPr="00640275" w:rsidRDefault="00BF399A" w:rsidP="00640275">
            <w:pPr>
              <w:numPr>
                <w:ilvl w:val="3"/>
                <w:numId w:val="44"/>
              </w:numPr>
              <w:ind w:right="-23"/>
              <w:rPr>
                <w:rFonts w:eastAsia="Calibri" w:cs="Times New Roman"/>
                <w:szCs w:val="20"/>
              </w:rPr>
            </w:pPr>
            <w:r w:rsidRPr="00640275">
              <w:rPr>
                <w:rFonts w:eastAsia="Calibri" w:cs="Times New Roman"/>
                <w:szCs w:val="20"/>
              </w:rPr>
              <w:t>When CSI-RS</w:t>
            </w:r>
          </w:p>
          <w:p w:rsidR="00B022FD" w:rsidRPr="00640275" w:rsidRDefault="00BF399A" w:rsidP="00640275">
            <w:pPr>
              <w:numPr>
                <w:ilvl w:val="2"/>
                <w:numId w:val="44"/>
              </w:numPr>
              <w:ind w:right="-23"/>
              <w:rPr>
                <w:rFonts w:eastAsia="Calibri" w:cs="Times New Roman"/>
                <w:szCs w:val="20"/>
              </w:rPr>
            </w:pPr>
            <w:r w:rsidRPr="00640275">
              <w:rPr>
                <w:rFonts w:eastAsia="Calibri" w:cs="Times New Roman"/>
                <w:szCs w:val="20"/>
              </w:rPr>
              <w:t>The conditions on Rx beam sweeping operation for RLM are reused for beam failure detection.</w:t>
            </w:r>
          </w:p>
          <w:p w:rsidR="00B022FD" w:rsidRPr="00640275" w:rsidRDefault="00BF399A" w:rsidP="00640275">
            <w:pPr>
              <w:numPr>
                <w:ilvl w:val="0"/>
                <w:numId w:val="44"/>
              </w:numPr>
              <w:tabs>
                <w:tab w:val="num" w:pos="1440"/>
              </w:tabs>
              <w:ind w:right="-23"/>
              <w:rPr>
                <w:rFonts w:eastAsia="Calibri" w:cs="Times New Roman"/>
                <w:szCs w:val="20"/>
              </w:rPr>
            </w:pPr>
            <w:r w:rsidRPr="00640275">
              <w:rPr>
                <w:rFonts w:eastAsia="Calibri" w:cs="Times New Roman"/>
                <w:szCs w:val="20"/>
              </w:rPr>
              <w:t>The requirements on both CSI-RS based candidate beam detection and SSB based candidate beam detection will be introduced, and the following aspects will be specified:</w:t>
            </w:r>
          </w:p>
          <w:p w:rsidR="00B022FD" w:rsidRPr="00640275" w:rsidRDefault="00BF399A" w:rsidP="00640275">
            <w:pPr>
              <w:numPr>
                <w:ilvl w:val="1"/>
                <w:numId w:val="44"/>
              </w:numPr>
              <w:ind w:right="-23"/>
              <w:rPr>
                <w:rFonts w:eastAsia="Calibri" w:cs="Times New Roman"/>
                <w:szCs w:val="20"/>
              </w:rPr>
            </w:pPr>
            <w:r w:rsidRPr="00640275">
              <w:rPr>
                <w:rFonts w:eastAsia="Calibri" w:cs="Times New Roman"/>
                <w:szCs w:val="20"/>
              </w:rPr>
              <w:t>The L1-RSRP measurement period  for each configured RS resource in set q1, which will be specified in core requirements.</w:t>
            </w:r>
          </w:p>
          <w:p w:rsidR="00B022FD" w:rsidRPr="00640275" w:rsidRDefault="00BF399A" w:rsidP="00640275">
            <w:pPr>
              <w:numPr>
                <w:ilvl w:val="2"/>
                <w:numId w:val="44"/>
              </w:numPr>
              <w:ind w:right="-23"/>
              <w:rPr>
                <w:rFonts w:eastAsia="Calibri" w:cs="Times New Roman"/>
                <w:szCs w:val="20"/>
              </w:rPr>
            </w:pPr>
            <w:r w:rsidRPr="00640275">
              <w:rPr>
                <w:rFonts w:eastAsia="Calibri" w:cs="Times New Roman"/>
                <w:szCs w:val="20"/>
              </w:rPr>
              <w:t xml:space="preserve">FFS how many samples are assumed. </w:t>
            </w:r>
          </w:p>
          <w:p w:rsidR="00B022FD" w:rsidRPr="00640275" w:rsidRDefault="00BF399A" w:rsidP="00640275">
            <w:pPr>
              <w:numPr>
                <w:ilvl w:val="2"/>
                <w:numId w:val="44"/>
              </w:numPr>
              <w:ind w:right="-23"/>
              <w:rPr>
                <w:rFonts w:eastAsia="Calibri" w:cs="Times New Roman"/>
                <w:szCs w:val="20"/>
              </w:rPr>
            </w:pPr>
            <w:r w:rsidRPr="00640275">
              <w:rPr>
                <w:rFonts w:eastAsia="Calibri" w:cs="Times New Roman"/>
                <w:szCs w:val="20"/>
              </w:rPr>
              <w:t>FFS whether to reflect Rx beam sweeping in FR2</w:t>
            </w:r>
          </w:p>
          <w:p w:rsidR="00B022FD" w:rsidRPr="00640275" w:rsidRDefault="00BF399A" w:rsidP="00640275">
            <w:pPr>
              <w:numPr>
                <w:ilvl w:val="0"/>
                <w:numId w:val="44"/>
              </w:numPr>
              <w:tabs>
                <w:tab w:val="num" w:pos="1440"/>
              </w:tabs>
              <w:ind w:right="-23"/>
              <w:rPr>
                <w:rFonts w:eastAsia="Calibri" w:cs="Times New Roman"/>
                <w:szCs w:val="20"/>
              </w:rPr>
            </w:pPr>
            <w:r w:rsidRPr="00640275">
              <w:rPr>
                <w:rFonts w:eastAsia="Calibri" w:cs="Times New Roman"/>
                <w:szCs w:val="20"/>
              </w:rPr>
              <w:t>The measurement accuracy of L1-RSRP for candidate beam detection will be studied in performance part.</w:t>
            </w:r>
          </w:p>
          <w:p w:rsidR="00B022FD" w:rsidRPr="00640275" w:rsidRDefault="00BF399A" w:rsidP="00640275">
            <w:pPr>
              <w:numPr>
                <w:ilvl w:val="1"/>
                <w:numId w:val="44"/>
              </w:numPr>
              <w:ind w:right="-23"/>
              <w:rPr>
                <w:rFonts w:eastAsia="Calibri" w:cs="Times New Roman"/>
                <w:szCs w:val="20"/>
              </w:rPr>
            </w:pPr>
            <w:r w:rsidRPr="00640275">
              <w:rPr>
                <w:rFonts w:eastAsia="Calibri" w:cs="Times New Roman"/>
                <w:szCs w:val="20"/>
              </w:rPr>
              <w:t>Requirements on accuracy and its side condition for L1-RSRP should be specified as a package.</w:t>
            </w:r>
          </w:p>
          <w:p w:rsidR="00013516" w:rsidRPr="00013516" w:rsidRDefault="00BF399A" w:rsidP="00640275">
            <w:pPr>
              <w:numPr>
                <w:ilvl w:val="1"/>
                <w:numId w:val="44"/>
              </w:numPr>
              <w:ind w:right="-23"/>
              <w:rPr>
                <w:rFonts w:eastAsia="Calibri" w:cs="Times New Roman"/>
                <w:szCs w:val="20"/>
              </w:rPr>
            </w:pPr>
            <w:r w:rsidRPr="00640275">
              <w:rPr>
                <w:rFonts w:eastAsia="Calibri" w:cs="Times New Roman"/>
                <w:szCs w:val="20"/>
              </w:rPr>
              <w:t>FFS whether to use the same L1-RSRP accuracy requirements of for both candidate beam detection and beam reporting.</w:t>
            </w:r>
          </w:p>
        </w:tc>
      </w:tr>
    </w:tbl>
    <w:bookmarkEnd w:id="4"/>
    <w:p w:rsidR="00013516" w:rsidRPr="00013516" w:rsidRDefault="00013516" w:rsidP="00013516">
      <w:pPr>
        <w:ind w:right="-23"/>
        <w:rPr>
          <w:rFonts w:eastAsia="Calibri" w:cs="Times New Roman"/>
          <w:szCs w:val="20"/>
        </w:rPr>
      </w:pPr>
      <w:r w:rsidRPr="00013516">
        <w:rPr>
          <w:rFonts w:eastAsia="Calibri" w:cs="Times New Roman"/>
          <w:szCs w:val="20"/>
        </w:rPr>
        <w:t xml:space="preserve">In this paper, we will provide our views on RRM requirements for BFR. </w:t>
      </w:r>
    </w:p>
    <w:p w:rsidR="00126990" w:rsidRPr="00126990" w:rsidRDefault="00126990" w:rsidP="00C74935">
      <w:pPr>
        <w:ind w:right="-23"/>
        <w:rPr>
          <w:rFonts w:eastAsia="Calibri" w:cs="Times New Roman"/>
          <w:szCs w:val="20"/>
        </w:rPr>
      </w:pPr>
    </w:p>
    <w:bookmarkEnd w:id="5"/>
    <w:p w:rsidR="003B659E" w:rsidRDefault="003B659E" w:rsidP="00AE56B1">
      <w:pPr>
        <w:pStyle w:val="RAN4H1"/>
      </w:pPr>
      <w:r w:rsidRPr="00AE56B1">
        <w:t>Discussion</w:t>
      </w:r>
    </w:p>
    <w:p w:rsidR="00274FE4" w:rsidRDefault="00640275" w:rsidP="00E246CE">
      <w:pPr>
        <w:pStyle w:val="RAN4H2"/>
      </w:pPr>
      <w:r>
        <w:t>BFD</w:t>
      </w:r>
    </w:p>
    <w:p w:rsidR="00640275" w:rsidRDefault="00640275" w:rsidP="001625F8">
      <w:pPr>
        <w:ind w:right="-23"/>
        <w:rPr>
          <w:rFonts w:eastAsia="Calibri" w:cs="Times New Roman"/>
          <w:szCs w:val="20"/>
        </w:rPr>
      </w:pPr>
      <w:r>
        <w:rPr>
          <w:rFonts w:eastAsia="Calibri" w:cs="Times New Roman"/>
          <w:szCs w:val="20"/>
        </w:rPr>
        <w:t>For BFD, most of the open issues are concluded i</w:t>
      </w:r>
      <w:r w:rsidR="00E52560">
        <w:rPr>
          <w:rFonts w:eastAsia="Calibri" w:cs="Times New Roman"/>
          <w:szCs w:val="20"/>
        </w:rPr>
        <w:t xml:space="preserve">n RAN4#87, </w:t>
      </w:r>
    </w:p>
    <w:p w:rsidR="00640275" w:rsidRDefault="00640275" w:rsidP="00640275">
      <w:pPr>
        <w:pStyle w:val="ListParagraph"/>
        <w:numPr>
          <w:ilvl w:val="0"/>
          <w:numId w:val="47"/>
        </w:numPr>
        <w:ind w:right="-23"/>
        <w:rPr>
          <w:rFonts w:eastAsia="Calibri" w:cs="Times New Roman"/>
          <w:szCs w:val="20"/>
        </w:rPr>
      </w:pPr>
      <w:r>
        <w:rPr>
          <w:rFonts w:eastAsia="Calibri" w:cs="Times New Roman"/>
          <w:szCs w:val="20"/>
        </w:rPr>
        <w:t>BLER for Qout_LR: 10% (the default BLER for RLM OOS)</w:t>
      </w:r>
    </w:p>
    <w:p w:rsidR="00640275" w:rsidRDefault="00640275" w:rsidP="00640275">
      <w:pPr>
        <w:pStyle w:val="ListParagraph"/>
        <w:numPr>
          <w:ilvl w:val="0"/>
          <w:numId w:val="47"/>
        </w:numPr>
        <w:ind w:right="-23"/>
        <w:rPr>
          <w:rFonts w:eastAsia="Calibri" w:cs="Times New Roman"/>
          <w:szCs w:val="20"/>
        </w:rPr>
      </w:pPr>
      <w:r>
        <w:rPr>
          <w:rFonts w:eastAsia="Calibri" w:cs="Times New Roman"/>
          <w:szCs w:val="20"/>
        </w:rPr>
        <w:t>Hypothetical PDCCH parameters: same as for RLM OOS but without power boosting on PDCCH DMRS/data</w:t>
      </w:r>
    </w:p>
    <w:p w:rsidR="00397593" w:rsidRDefault="00397593" w:rsidP="00640275">
      <w:pPr>
        <w:pStyle w:val="ListParagraph"/>
        <w:numPr>
          <w:ilvl w:val="0"/>
          <w:numId w:val="47"/>
        </w:numPr>
        <w:ind w:right="-23"/>
        <w:rPr>
          <w:rFonts w:eastAsia="Calibri" w:cs="Times New Roman"/>
          <w:szCs w:val="20"/>
        </w:rPr>
      </w:pPr>
      <w:r>
        <w:rPr>
          <w:rFonts w:eastAsia="Calibri" w:cs="Times New Roman"/>
          <w:szCs w:val="20"/>
        </w:rPr>
        <w:t>Evaluation period: same as for RLM IS without lower boundary</w:t>
      </w:r>
    </w:p>
    <w:p w:rsidR="00397593" w:rsidRDefault="00397593" w:rsidP="00397593">
      <w:pPr>
        <w:pStyle w:val="ListParagraph"/>
        <w:numPr>
          <w:ilvl w:val="0"/>
          <w:numId w:val="47"/>
        </w:numPr>
        <w:ind w:right="-23"/>
        <w:rPr>
          <w:rFonts w:eastAsia="Calibri" w:cs="Times New Roman"/>
          <w:szCs w:val="20"/>
        </w:rPr>
      </w:pPr>
      <w:r>
        <w:rPr>
          <w:rFonts w:eastAsia="Calibri" w:cs="Times New Roman"/>
          <w:szCs w:val="20"/>
        </w:rPr>
        <w:t xml:space="preserve">L1 indication interval: </w:t>
      </w:r>
      <w:r w:rsidRPr="00397593">
        <w:rPr>
          <w:rFonts w:eastAsia="Calibri" w:cs="Times New Roman"/>
          <w:szCs w:val="20"/>
        </w:rPr>
        <w:t>maximum values between the shortest periodicity of BFD-RS resources and 2ms</w:t>
      </w:r>
    </w:p>
    <w:p w:rsidR="00397593" w:rsidRDefault="00397593" w:rsidP="00397593">
      <w:pPr>
        <w:pStyle w:val="ListParagraph"/>
        <w:numPr>
          <w:ilvl w:val="0"/>
          <w:numId w:val="47"/>
        </w:numPr>
        <w:ind w:right="-23"/>
        <w:rPr>
          <w:rFonts w:eastAsia="Calibri" w:cs="Times New Roman"/>
          <w:szCs w:val="20"/>
        </w:rPr>
      </w:pPr>
      <w:r w:rsidRPr="00397593">
        <w:rPr>
          <w:rFonts w:eastAsia="Calibri" w:cs="Times New Roman"/>
          <w:szCs w:val="20"/>
        </w:rPr>
        <w:t>Maximum number of beam failure detection RS resources</w:t>
      </w:r>
      <w:r>
        <w:rPr>
          <w:rFonts w:eastAsia="Calibri" w:cs="Times New Roman"/>
          <w:szCs w:val="20"/>
        </w:rPr>
        <w:t>: 2</w:t>
      </w:r>
    </w:p>
    <w:p w:rsidR="00E52560" w:rsidRPr="00640275" w:rsidRDefault="00397593" w:rsidP="00397593">
      <w:pPr>
        <w:pStyle w:val="ListParagraph"/>
        <w:numPr>
          <w:ilvl w:val="0"/>
          <w:numId w:val="47"/>
        </w:numPr>
        <w:ind w:right="-23"/>
        <w:rPr>
          <w:rFonts w:eastAsia="Calibri" w:cs="Times New Roman"/>
          <w:szCs w:val="20"/>
        </w:rPr>
      </w:pPr>
      <w:r>
        <w:rPr>
          <w:rFonts w:eastAsia="Calibri" w:cs="Times New Roman"/>
          <w:szCs w:val="20"/>
        </w:rPr>
        <w:t>Scheduling restriction: same as for RLM</w:t>
      </w:r>
      <w:r w:rsidR="00640275" w:rsidRPr="00640275">
        <w:rPr>
          <w:rFonts w:eastAsia="Calibri" w:cs="Times New Roman"/>
          <w:szCs w:val="20"/>
        </w:rPr>
        <w:tab/>
      </w:r>
      <w:r w:rsidR="00E53F93" w:rsidRPr="00640275">
        <w:rPr>
          <w:rFonts w:eastAsia="Calibri" w:cs="Times New Roman"/>
          <w:szCs w:val="20"/>
        </w:rPr>
        <w:t xml:space="preserve"> </w:t>
      </w:r>
    </w:p>
    <w:p w:rsidR="00050494" w:rsidRDefault="00050494" w:rsidP="001625F8">
      <w:pPr>
        <w:ind w:right="-23"/>
        <w:rPr>
          <w:rFonts w:eastAsia="Calibri" w:cs="Times New Roman"/>
          <w:szCs w:val="20"/>
        </w:rPr>
      </w:pPr>
      <w:r>
        <w:rPr>
          <w:rFonts w:eastAsia="Calibri" w:cs="Times New Roman"/>
          <w:szCs w:val="20"/>
        </w:rPr>
        <w:t xml:space="preserve">In our view, some further discussions are still needed on the evaluation period. </w:t>
      </w:r>
    </w:p>
    <w:p w:rsidR="00E53F93" w:rsidRDefault="00050494" w:rsidP="001625F8">
      <w:pPr>
        <w:ind w:right="-23"/>
        <w:rPr>
          <w:rFonts w:eastAsia="Calibri" w:cs="Times New Roman"/>
          <w:szCs w:val="20"/>
        </w:rPr>
      </w:pPr>
      <w:r>
        <w:rPr>
          <w:rFonts w:eastAsia="Calibri" w:cs="Times New Roman"/>
          <w:szCs w:val="20"/>
        </w:rPr>
        <w:t xml:space="preserve">One issue is the need for lower boundary. In </w:t>
      </w:r>
      <w:r w:rsidRPr="00013516">
        <w:rPr>
          <w:rFonts w:eastAsia="Calibri" w:cs="Times New Roman"/>
          <w:szCs w:val="20"/>
        </w:rPr>
        <w:fldChar w:fldCharType="begin"/>
      </w:r>
      <w:r w:rsidRPr="00013516">
        <w:rPr>
          <w:rFonts w:eastAsia="Calibri" w:cs="Times New Roman"/>
          <w:szCs w:val="20"/>
        </w:rPr>
        <w:instrText xml:space="preserve"> REF _Ref431017336 \r \h </w:instrText>
      </w:r>
      <w:r w:rsidRPr="00013516">
        <w:rPr>
          <w:rFonts w:eastAsia="Calibri" w:cs="Times New Roman"/>
          <w:szCs w:val="20"/>
        </w:rPr>
      </w:r>
      <w:r w:rsidRPr="00013516">
        <w:rPr>
          <w:rFonts w:eastAsia="Calibri" w:cs="Times New Roman"/>
          <w:szCs w:val="20"/>
        </w:rPr>
        <w:fldChar w:fldCharType="separate"/>
      </w:r>
      <w:r w:rsidRPr="00013516">
        <w:rPr>
          <w:rFonts w:eastAsia="Calibri" w:cs="Times New Roman"/>
          <w:szCs w:val="20"/>
        </w:rPr>
        <w:t>[1]</w:t>
      </w:r>
      <w:r w:rsidRPr="00013516">
        <w:rPr>
          <w:rFonts w:eastAsia="Calibri" w:cs="Times New Roman"/>
          <w:szCs w:val="20"/>
        </w:rPr>
        <w:fldChar w:fldCharType="end"/>
      </w:r>
      <w:r>
        <w:rPr>
          <w:rFonts w:eastAsia="Calibri" w:cs="Times New Roman"/>
          <w:szCs w:val="20"/>
        </w:rPr>
        <w:t>, the reason not to have the lower boundary is that “</w:t>
      </w:r>
      <w:r w:rsidRPr="00050494">
        <w:rPr>
          <w:rFonts w:eastAsia="Calibri" w:cs="Times New Roman"/>
          <w:szCs w:val="20"/>
        </w:rPr>
        <w:t>the low boundary for L1 indication interval is defined as 2ms and will be always shorter than the shortest periodicity of BFD RS resource (i.e. 5ms)</w:t>
      </w:r>
      <w:r>
        <w:rPr>
          <w:rFonts w:eastAsia="Calibri" w:cs="Times New Roman"/>
          <w:szCs w:val="20"/>
        </w:rPr>
        <w:t>”. However, if we look at the RLM requirements, the lower boundary of 200ms for OOS and 100ms IS are derived assuming 20ms RLM-RS period. The motivation is to allow UE not to sample the RLM-RS more frequently than once per 20ms, even the RLM-RS period is 5ms or 10ms. We see the same motivation still holds for BFD, and the lower boundary is not related to L1 indication interval. Therefore, we think the evaluation period for BFD should be defined with lower boundary of 100ms.</w:t>
      </w:r>
    </w:p>
    <w:p w:rsidR="00050494" w:rsidRDefault="00050494" w:rsidP="00050494">
      <w:pPr>
        <w:pStyle w:val="RAN4proposal"/>
      </w:pPr>
      <w:bookmarkStart w:id="6" w:name="_Ref517609168"/>
      <w:r>
        <w:t>E</w:t>
      </w:r>
      <w:r w:rsidRPr="00050494">
        <w:t>valuation period for BFD should be defined with lower boundary of 100ms.</w:t>
      </w:r>
      <w:bookmarkEnd w:id="6"/>
    </w:p>
    <w:p w:rsidR="00050494" w:rsidRDefault="00050494" w:rsidP="00E53F93">
      <w:pPr>
        <w:ind w:right="-23"/>
        <w:rPr>
          <w:rFonts w:eastAsia="Calibri" w:cs="Times New Roman"/>
          <w:szCs w:val="20"/>
        </w:rPr>
      </w:pPr>
      <w:r>
        <w:rPr>
          <w:rFonts w:eastAsia="Calibri" w:cs="Times New Roman"/>
          <w:szCs w:val="20"/>
        </w:rPr>
        <w:t xml:space="preserve">Another issue is the </w:t>
      </w:r>
      <w:r w:rsidR="00B651EE">
        <w:rPr>
          <w:rFonts w:eastAsia="Calibri" w:cs="Times New Roman"/>
          <w:szCs w:val="20"/>
        </w:rPr>
        <w:t xml:space="preserve">whether the same scaling of N and P applies for BFD. </w:t>
      </w:r>
      <w:r w:rsidR="00DB0297">
        <w:rPr>
          <w:rFonts w:eastAsia="Calibri" w:cs="Times New Roman"/>
          <w:szCs w:val="20"/>
        </w:rPr>
        <w:t>In RLM evaluation period, scaling factor N is applied for FR2, when RLM-RS is not QCL-ed and TDM-ed with BM-RS.</w:t>
      </w:r>
      <w:r w:rsidR="00662740">
        <w:rPr>
          <w:rFonts w:eastAsia="Calibri" w:cs="Times New Roman"/>
          <w:szCs w:val="20"/>
        </w:rPr>
        <w:t xml:space="preserve"> Scaling factor of P is applied for collision among RLM-RS, SMTC and MG. For BFD, we think the same scaling factors can apply, as UE is suing same Rx beam for RLM and BFD. In addition, if same RS is configured for both RLM and BFD, UE should be able to perform both measurement at the same time.</w:t>
      </w:r>
    </w:p>
    <w:p w:rsidR="00050494" w:rsidRDefault="00662740" w:rsidP="00662740">
      <w:pPr>
        <w:pStyle w:val="RAN4proposal"/>
      </w:pPr>
      <w:bookmarkStart w:id="7" w:name="_Ref517609170"/>
      <w:r>
        <w:t>Scaling factors N and P defined for RLM also apply for BFD. I</w:t>
      </w:r>
      <w:r w:rsidRPr="00662740">
        <w:t>f same RS is configured for both RLM and BFD, UE should perform both measurement at the same time.</w:t>
      </w:r>
      <w:bookmarkEnd w:id="7"/>
    </w:p>
    <w:p w:rsidR="00662740" w:rsidRDefault="00662740" w:rsidP="00662740">
      <w:pPr>
        <w:pStyle w:val="RAN4H2"/>
        <w:rPr>
          <w:rFonts w:eastAsia="Calibri"/>
        </w:rPr>
      </w:pPr>
      <w:r>
        <w:rPr>
          <w:rFonts w:eastAsia="Calibri"/>
        </w:rPr>
        <w:t xml:space="preserve">Candidate beam detection </w:t>
      </w:r>
    </w:p>
    <w:p w:rsidR="00662740" w:rsidRPr="00662740" w:rsidRDefault="00662740" w:rsidP="00662740">
      <w:pPr>
        <w:rPr>
          <w:rFonts w:eastAsiaTheme="minorHAnsi"/>
        </w:rPr>
      </w:pPr>
      <w:r w:rsidRPr="00662740">
        <w:rPr>
          <w:rFonts w:eastAsiaTheme="minorHAnsi"/>
        </w:rPr>
        <w:t xml:space="preserve">For beam recovery UE monitor the L1-RSRP on RSes indicated in </w:t>
      </w:r>
      <w:r w:rsidRPr="00662740">
        <w:rPr>
          <w:rFonts w:eastAsiaTheme="minorHAnsi"/>
          <w:i/>
        </w:rPr>
        <w:t>candidateBeamRSList</w:t>
      </w:r>
      <w:r w:rsidRPr="00662740">
        <w:rPr>
          <w:rFonts w:eastAsiaTheme="minorHAnsi"/>
        </w:rPr>
        <w:t>. There two RSRP measurement requirements under ongoing discussion in RAN4</w:t>
      </w:r>
    </w:p>
    <w:p w:rsidR="00662740" w:rsidRPr="00662740" w:rsidRDefault="00662740" w:rsidP="00662740">
      <w:pPr>
        <w:numPr>
          <w:ilvl w:val="0"/>
          <w:numId w:val="48"/>
        </w:numPr>
        <w:contextualSpacing/>
        <w:rPr>
          <w:rFonts w:eastAsiaTheme="minorHAnsi"/>
        </w:rPr>
      </w:pPr>
      <w:r w:rsidRPr="00662740">
        <w:rPr>
          <w:rFonts w:eastAsiaTheme="minorHAnsi"/>
        </w:rPr>
        <w:t xml:space="preserve">L1-RSRP measurement for beam management: </w:t>
      </w:r>
    </w:p>
    <w:p w:rsidR="00662740" w:rsidRPr="00662740" w:rsidRDefault="00662740" w:rsidP="00662740">
      <w:pPr>
        <w:numPr>
          <w:ilvl w:val="0"/>
          <w:numId w:val="48"/>
        </w:numPr>
        <w:contextualSpacing/>
        <w:rPr>
          <w:rFonts w:eastAsiaTheme="minorHAnsi"/>
        </w:rPr>
      </w:pPr>
      <w:r w:rsidRPr="00662740">
        <w:rPr>
          <w:rFonts w:eastAsiaTheme="minorHAnsi"/>
        </w:rPr>
        <w:t>L3 RSRP for mobility</w:t>
      </w:r>
    </w:p>
    <w:p w:rsidR="00662740" w:rsidRPr="00662740" w:rsidRDefault="00662740" w:rsidP="00662740">
      <w:pPr>
        <w:rPr>
          <w:rFonts w:eastAsiaTheme="minorHAnsi"/>
        </w:rPr>
      </w:pPr>
      <w:r w:rsidRPr="00662740">
        <w:rPr>
          <w:rFonts w:eastAsiaTheme="minorHAnsi"/>
        </w:rPr>
        <w:t>So far, RAN4 has not concluded on what kind of requirements are defined for L1-RSRP for beam management, so it is hard to say at this stage whether the requirements for beam management can be re-used for beam recovery or not. There are proposals from some companies that L1-RSRP for beam management could be based on one-shot, and since the reporting is periodical, there would be no delay requirement (like we do not have delay requirement for CQI).</w:t>
      </w:r>
    </w:p>
    <w:p w:rsidR="00110A1D" w:rsidRDefault="00662740" w:rsidP="00662740">
      <w:pPr>
        <w:rPr>
          <w:rFonts w:eastAsiaTheme="minorHAnsi"/>
        </w:rPr>
      </w:pPr>
      <w:r w:rsidRPr="00662740">
        <w:rPr>
          <w:rFonts w:eastAsiaTheme="minorHAnsi"/>
        </w:rPr>
        <w:t xml:space="preserve">If that’s the case, we may need to define </w:t>
      </w:r>
      <w:r w:rsidR="00110A1D">
        <w:rPr>
          <w:rFonts w:eastAsiaTheme="minorHAnsi"/>
        </w:rPr>
        <w:t>different</w:t>
      </w:r>
      <w:r w:rsidRPr="00662740">
        <w:rPr>
          <w:rFonts w:eastAsiaTheme="minorHAnsi"/>
        </w:rPr>
        <w:t xml:space="preserve"> requirements for L1-RSRP measurement for beam recovery, which is more like mobility measurement. We see a need to define both delay and accuracy requirements so that UE can timely report the selected RSes once requested by higher layer, and the report RSes and the associated L1-RSRP can be stable enough based on certain averaging</w:t>
      </w:r>
      <w:r w:rsidR="00110A1D">
        <w:rPr>
          <w:rFonts w:eastAsiaTheme="minorHAnsi"/>
        </w:rPr>
        <w:t xml:space="preserve">. In our view, the current requirements for L3 measurement can be re-used, in terms of both measurement period and measurement accuracy. </w:t>
      </w:r>
    </w:p>
    <w:p w:rsidR="00110A1D" w:rsidRPr="00662740" w:rsidRDefault="00110A1D" w:rsidP="00662740">
      <w:pPr>
        <w:rPr>
          <w:rFonts w:eastAsiaTheme="minorHAnsi"/>
        </w:rPr>
      </w:pPr>
      <w:r>
        <w:rPr>
          <w:rFonts w:eastAsiaTheme="minorHAnsi"/>
        </w:rPr>
        <w:t>We understand that it is desirable for UE to report as quickly as possible so to leave the failure status, but it should be also noted that the reporting for recovery is via RACH, and will be used by network to select the Tx beam for scheduling next PDCCH/PDSCH, so the measurement results should be stable enough to avoid reporting a wrong beam.</w:t>
      </w:r>
    </w:p>
    <w:p w:rsidR="00662740" w:rsidRDefault="00110A1D" w:rsidP="00110A1D">
      <w:pPr>
        <w:pStyle w:val="RAN4proposal"/>
      </w:pPr>
      <w:bookmarkStart w:id="8" w:name="_Ref517609172"/>
      <w:r>
        <w:t>Measurement period and accuracy requirements for candidate beam detection are defined by re-using the requirements for L3 measurement.</w:t>
      </w:r>
      <w:bookmarkEnd w:id="8"/>
      <w:r>
        <w:t xml:space="preserve"> </w:t>
      </w:r>
    </w:p>
    <w:p w:rsidR="00E53F93" w:rsidRDefault="0047067B" w:rsidP="00E53F93">
      <w:pPr>
        <w:ind w:right="-23"/>
        <w:rPr>
          <w:rFonts w:eastAsia="Calibri" w:cs="Times New Roman"/>
          <w:szCs w:val="20"/>
        </w:rPr>
      </w:pPr>
      <w:r>
        <w:rPr>
          <w:rFonts w:eastAsia="Calibri" w:cs="Times New Roman"/>
          <w:szCs w:val="20"/>
        </w:rPr>
        <w:lastRenderedPageBreak/>
        <w:t>Another open issue is whether the measurement period requirement for candidate beam detection should</w:t>
      </w:r>
      <w:r w:rsidRPr="0047067B">
        <w:rPr>
          <w:rFonts w:eastAsia="Calibri" w:cs="Times New Roman"/>
          <w:szCs w:val="20"/>
        </w:rPr>
        <w:t xml:space="preserve"> reflect Rx beam sweeping in FR2</w:t>
      </w:r>
      <w:r w:rsidR="00E53F93">
        <w:rPr>
          <w:rFonts w:eastAsia="Calibri" w:cs="Times New Roman"/>
          <w:szCs w:val="20"/>
        </w:rPr>
        <w:t xml:space="preserve">. </w:t>
      </w:r>
      <w:r>
        <w:rPr>
          <w:rFonts w:eastAsia="Calibri" w:cs="Times New Roman"/>
          <w:szCs w:val="20"/>
        </w:rPr>
        <w:t xml:space="preserve">In our view, UE may need to sweep its Rx beam directions for candidate beam detection, in order to find the best Rx beam direction for each potential candidate. This is same as for L1-RSRP measurement for BM, and it means the requirements in FR2 </w:t>
      </w:r>
      <w:r w:rsidR="000B050A">
        <w:rPr>
          <w:rFonts w:eastAsia="Calibri" w:cs="Times New Roman"/>
          <w:szCs w:val="20"/>
        </w:rPr>
        <w:t>would be scaled with number of Rx beam directions.</w:t>
      </w:r>
    </w:p>
    <w:p w:rsidR="007F649C" w:rsidRDefault="007F649C" w:rsidP="007F649C">
      <w:pPr>
        <w:pStyle w:val="RAN4proposal"/>
      </w:pPr>
      <w:bookmarkStart w:id="9" w:name="_Ref517609173"/>
      <w:r>
        <w:t>Rx beam sweeping is assumed for candidate beam detection measurement.</w:t>
      </w:r>
      <w:bookmarkEnd w:id="9"/>
      <w:r>
        <w:t xml:space="preserve"> </w:t>
      </w:r>
    </w:p>
    <w:p w:rsidR="000B050A" w:rsidRDefault="000B050A" w:rsidP="00E53F93">
      <w:pPr>
        <w:ind w:right="-23"/>
        <w:rPr>
          <w:rFonts w:eastAsia="Calibri" w:cs="Times New Roman"/>
          <w:szCs w:val="20"/>
        </w:rPr>
      </w:pPr>
      <w:r>
        <w:rPr>
          <w:rFonts w:eastAsia="Calibri" w:cs="Times New Roman"/>
          <w:szCs w:val="20"/>
        </w:rPr>
        <w:t>There are some other issues for candidate beam detection that are not addressed in RAN4#87.</w:t>
      </w:r>
    </w:p>
    <w:p w:rsidR="000B050A" w:rsidRDefault="000B050A" w:rsidP="00E53F93">
      <w:pPr>
        <w:ind w:right="-23"/>
        <w:rPr>
          <w:rFonts w:eastAsia="Calibri" w:cs="Times New Roman"/>
          <w:szCs w:val="20"/>
        </w:rPr>
      </w:pPr>
      <w:r>
        <w:rPr>
          <w:rFonts w:eastAsia="Calibri" w:cs="Times New Roman"/>
          <w:szCs w:val="20"/>
        </w:rPr>
        <w:t xml:space="preserve">One issue is the collision among recovery RS, MG and SMTC. In our view, when a recovery RS occasion is overlapping a MG occasion, MG should be prioritized, i.e. UE should perform RRM measurement with MG. </w:t>
      </w:r>
      <w:r w:rsidR="00BE2196">
        <w:rPr>
          <w:rFonts w:eastAsia="Calibri" w:cs="Times New Roman"/>
          <w:szCs w:val="20"/>
        </w:rPr>
        <w:t xml:space="preserve">When recovery RS occasions (outside MG) are partially overlapping SMTC, same as for RLM, measurement for candidate beam detection should be only performed outside SMTC. </w:t>
      </w:r>
      <w:r w:rsidR="00BE2196" w:rsidRPr="00BE2196">
        <w:rPr>
          <w:rFonts w:eastAsia="Calibri" w:cs="Times New Roman"/>
          <w:szCs w:val="20"/>
        </w:rPr>
        <w:t xml:space="preserve">When recovery RS occasions (outside MG) are </w:t>
      </w:r>
      <w:r w:rsidR="00BE2196">
        <w:rPr>
          <w:rFonts w:eastAsia="Calibri" w:cs="Times New Roman"/>
          <w:szCs w:val="20"/>
        </w:rPr>
        <w:t>fully</w:t>
      </w:r>
      <w:r w:rsidR="00BE2196" w:rsidRPr="00BE2196">
        <w:rPr>
          <w:rFonts w:eastAsia="Calibri" w:cs="Times New Roman"/>
          <w:szCs w:val="20"/>
        </w:rPr>
        <w:t xml:space="preserve"> overlapping SMTC</w:t>
      </w:r>
      <w:r w:rsidR="00BE2196">
        <w:rPr>
          <w:rFonts w:eastAsia="Calibri" w:cs="Times New Roman"/>
          <w:szCs w:val="20"/>
        </w:rPr>
        <w:t>, the time sharing factor should be used so that UE can perform both L3 RRM measurement and candidate beam detection measurement (with relaxed requirements).</w:t>
      </w:r>
    </w:p>
    <w:p w:rsidR="00BE2196" w:rsidRDefault="00BE2196" w:rsidP="00BE2196">
      <w:pPr>
        <w:pStyle w:val="RAN4proposal"/>
      </w:pPr>
      <w:bookmarkStart w:id="10" w:name="_Ref517609174"/>
      <w:r>
        <w:t>The collision of recovery RS with MG and SMTC is handled in the same way as RLM-RS.</w:t>
      </w:r>
      <w:bookmarkEnd w:id="10"/>
    </w:p>
    <w:p w:rsidR="000B050A" w:rsidRDefault="00BE2196" w:rsidP="00E53F93">
      <w:pPr>
        <w:ind w:right="-23"/>
        <w:rPr>
          <w:rFonts w:eastAsia="Calibri" w:cs="Times New Roman"/>
          <w:szCs w:val="20"/>
        </w:rPr>
      </w:pPr>
      <w:r>
        <w:rPr>
          <w:rFonts w:eastAsia="Calibri" w:cs="Times New Roman"/>
          <w:szCs w:val="20"/>
        </w:rPr>
        <w:t>Another issue is the candidate beam detection on other beams than q1. In our understanding, q1 are the set of candidate beams that can be reported with dedicated RA resources. If q1 is not configured or no beam in q1 can satisfy the threshold of Qin_LR, UE should perform candidate beam detection on other beams that can be reported via contention based RA resources, e.g. SSB beams. The requirements for candidate beam detection should also be defined for the measurement on beam</w:t>
      </w:r>
      <w:r w:rsidR="007F649C">
        <w:rPr>
          <w:rFonts w:eastAsia="Calibri" w:cs="Times New Roman"/>
          <w:szCs w:val="20"/>
        </w:rPr>
        <w:t>s</w:t>
      </w:r>
      <w:r>
        <w:rPr>
          <w:rFonts w:eastAsia="Calibri" w:cs="Times New Roman"/>
          <w:szCs w:val="20"/>
        </w:rPr>
        <w:t xml:space="preserve"> that can be reported via CBRA.</w:t>
      </w:r>
    </w:p>
    <w:p w:rsidR="007F649C" w:rsidRDefault="007F649C" w:rsidP="007F649C">
      <w:pPr>
        <w:pStyle w:val="RAN4proposal"/>
      </w:pPr>
      <w:bookmarkStart w:id="11" w:name="_Ref517609176"/>
      <w:r w:rsidRPr="007F649C">
        <w:t>The requirements for candidate beam detection should also be defined for the measurement on beam</w:t>
      </w:r>
      <w:r>
        <w:t>s</w:t>
      </w:r>
      <w:r w:rsidRPr="007F649C">
        <w:t xml:space="preserve"> </w:t>
      </w:r>
      <w:r>
        <w:t xml:space="preserve">other than q1 </w:t>
      </w:r>
      <w:r w:rsidRPr="007F649C">
        <w:t>that can be reported via CBRA</w:t>
      </w:r>
      <w:r>
        <w:t>.</w:t>
      </w:r>
      <w:bookmarkEnd w:id="11"/>
    </w:p>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410C1C" w:rsidRPr="00410C1C">
        <w:rPr>
          <w:lang w:val="en-GB"/>
        </w:rPr>
        <w:t xml:space="preserve">on </w:t>
      </w:r>
      <w:r w:rsidR="007F649C" w:rsidRPr="007F649C">
        <w:rPr>
          <w:lang w:val="en-GB"/>
        </w:rPr>
        <w:t>our views on RRM requirements for BFR</w:t>
      </w:r>
      <w:r w:rsidRPr="00B8606D">
        <w:rPr>
          <w:lang w:val="en-GB"/>
        </w:rPr>
        <w:t>.</w:t>
      </w:r>
    </w:p>
    <w:p w:rsidR="007F649C" w:rsidRPr="007F649C" w:rsidRDefault="007F649C" w:rsidP="004F3D3B">
      <w:pPr>
        <w:rPr>
          <w:b/>
          <w:lang w:val="en-GB"/>
        </w:rPr>
      </w:pPr>
      <w:r w:rsidRPr="007F649C">
        <w:rPr>
          <w:b/>
          <w:lang w:val="en-GB"/>
        </w:rPr>
        <w:fldChar w:fldCharType="begin"/>
      </w:r>
      <w:r w:rsidRPr="007F649C">
        <w:rPr>
          <w:b/>
          <w:lang w:val="en-GB"/>
        </w:rPr>
        <w:instrText xml:space="preserve"> REF _Ref517609168 \r \h  \* MERGEFORMAT </w:instrText>
      </w:r>
      <w:r w:rsidRPr="007F649C">
        <w:rPr>
          <w:b/>
          <w:lang w:val="en-GB"/>
        </w:rPr>
      </w:r>
      <w:r w:rsidRPr="007F649C">
        <w:rPr>
          <w:b/>
          <w:lang w:val="en-GB"/>
        </w:rPr>
        <w:fldChar w:fldCharType="separate"/>
      </w:r>
      <w:r w:rsidRPr="007F649C">
        <w:rPr>
          <w:b/>
          <w:lang w:val="en-GB"/>
        </w:rPr>
        <w:t>Proposal 1:</w:t>
      </w:r>
      <w:r w:rsidRPr="007F649C">
        <w:rPr>
          <w:b/>
          <w:lang w:val="en-GB"/>
        </w:rPr>
        <w:fldChar w:fldCharType="end"/>
      </w:r>
      <w:r w:rsidRPr="007F649C">
        <w:rPr>
          <w:b/>
          <w:lang w:val="en-GB"/>
        </w:rPr>
        <w:t xml:space="preserve"> </w:t>
      </w:r>
      <w:r w:rsidRPr="007F649C">
        <w:rPr>
          <w:b/>
          <w:lang w:val="en-GB"/>
        </w:rPr>
        <w:fldChar w:fldCharType="begin"/>
      </w:r>
      <w:r w:rsidRPr="007F649C">
        <w:rPr>
          <w:b/>
          <w:lang w:val="en-GB"/>
        </w:rPr>
        <w:instrText xml:space="preserve"> REF _Ref517609168 \h  \* MERGEFORMAT </w:instrText>
      </w:r>
      <w:r w:rsidRPr="007F649C">
        <w:rPr>
          <w:b/>
          <w:lang w:val="en-GB"/>
        </w:rPr>
      </w:r>
      <w:r w:rsidRPr="007F649C">
        <w:rPr>
          <w:b/>
          <w:lang w:val="en-GB"/>
        </w:rPr>
        <w:fldChar w:fldCharType="separate"/>
      </w:r>
      <w:r w:rsidRPr="007F649C">
        <w:rPr>
          <w:b/>
        </w:rPr>
        <w:t>Evaluation period for BFD should be defined with lower boundary of 100ms.</w:t>
      </w:r>
      <w:r w:rsidRPr="007F649C">
        <w:rPr>
          <w:b/>
          <w:lang w:val="en-GB"/>
        </w:rPr>
        <w:fldChar w:fldCharType="end"/>
      </w:r>
    </w:p>
    <w:p w:rsidR="007F649C" w:rsidRPr="007F649C" w:rsidRDefault="007F649C" w:rsidP="004F3D3B">
      <w:pPr>
        <w:rPr>
          <w:b/>
          <w:lang w:val="en-GB"/>
        </w:rPr>
      </w:pPr>
      <w:r w:rsidRPr="007F649C">
        <w:rPr>
          <w:b/>
          <w:lang w:val="en-GB"/>
        </w:rPr>
        <w:fldChar w:fldCharType="begin"/>
      </w:r>
      <w:r w:rsidRPr="007F649C">
        <w:rPr>
          <w:b/>
          <w:lang w:val="en-GB"/>
        </w:rPr>
        <w:instrText xml:space="preserve"> REF _Ref517609170 \r \h  \* MERGEFORMAT </w:instrText>
      </w:r>
      <w:r w:rsidRPr="007F649C">
        <w:rPr>
          <w:b/>
          <w:lang w:val="en-GB"/>
        </w:rPr>
      </w:r>
      <w:r w:rsidRPr="007F649C">
        <w:rPr>
          <w:b/>
          <w:lang w:val="en-GB"/>
        </w:rPr>
        <w:fldChar w:fldCharType="separate"/>
      </w:r>
      <w:r w:rsidRPr="007F649C">
        <w:rPr>
          <w:b/>
          <w:lang w:val="en-GB"/>
        </w:rPr>
        <w:t>Proposal 2:</w:t>
      </w:r>
      <w:r w:rsidRPr="007F649C">
        <w:rPr>
          <w:b/>
          <w:lang w:val="en-GB"/>
        </w:rPr>
        <w:fldChar w:fldCharType="end"/>
      </w:r>
      <w:r w:rsidRPr="007F649C">
        <w:rPr>
          <w:b/>
          <w:lang w:val="en-GB"/>
        </w:rPr>
        <w:t xml:space="preserve"> </w:t>
      </w:r>
      <w:r w:rsidRPr="007F649C">
        <w:rPr>
          <w:b/>
          <w:lang w:val="en-GB"/>
        </w:rPr>
        <w:fldChar w:fldCharType="begin"/>
      </w:r>
      <w:r w:rsidRPr="007F649C">
        <w:rPr>
          <w:b/>
          <w:lang w:val="en-GB"/>
        </w:rPr>
        <w:instrText xml:space="preserve"> REF _Ref517609170 \h  \* MERGEFORMAT </w:instrText>
      </w:r>
      <w:r w:rsidRPr="007F649C">
        <w:rPr>
          <w:b/>
          <w:lang w:val="en-GB"/>
        </w:rPr>
      </w:r>
      <w:r w:rsidRPr="007F649C">
        <w:rPr>
          <w:b/>
          <w:lang w:val="en-GB"/>
        </w:rPr>
        <w:fldChar w:fldCharType="separate"/>
      </w:r>
      <w:r w:rsidRPr="007F649C">
        <w:rPr>
          <w:b/>
        </w:rPr>
        <w:t>Scaling factors N and P defined for RLM also apply for BFD. If same RS is configured for both RLM and BFD, UE should perform both measurement at the same time.</w:t>
      </w:r>
      <w:r w:rsidRPr="007F649C">
        <w:rPr>
          <w:b/>
          <w:lang w:val="en-GB"/>
        </w:rPr>
        <w:fldChar w:fldCharType="end"/>
      </w:r>
    </w:p>
    <w:p w:rsidR="007F649C" w:rsidRPr="007F649C" w:rsidRDefault="007F649C" w:rsidP="004F3D3B">
      <w:pPr>
        <w:rPr>
          <w:b/>
          <w:lang w:val="en-GB"/>
        </w:rPr>
      </w:pPr>
      <w:r w:rsidRPr="007F649C">
        <w:rPr>
          <w:b/>
          <w:lang w:val="en-GB"/>
        </w:rPr>
        <w:fldChar w:fldCharType="begin"/>
      </w:r>
      <w:r w:rsidRPr="007F649C">
        <w:rPr>
          <w:b/>
          <w:lang w:val="en-GB"/>
        </w:rPr>
        <w:instrText xml:space="preserve"> REF _Ref517609172 \r \h  \* MERGEFORMAT </w:instrText>
      </w:r>
      <w:r w:rsidRPr="007F649C">
        <w:rPr>
          <w:b/>
          <w:lang w:val="en-GB"/>
        </w:rPr>
      </w:r>
      <w:r w:rsidRPr="007F649C">
        <w:rPr>
          <w:b/>
          <w:lang w:val="en-GB"/>
        </w:rPr>
        <w:fldChar w:fldCharType="separate"/>
      </w:r>
      <w:r w:rsidRPr="007F649C">
        <w:rPr>
          <w:b/>
          <w:lang w:val="en-GB"/>
        </w:rPr>
        <w:t>Proposal 3:</w:t>
      </w:r>
      <w:r w:rsidRPr="007F649C">
        <w:rPr>
          <w:b/>
          <w:lang w:val="en-GB"/>
        </w:rPr>
        <w:fldChar w:fldCharType="end"/>
      </w:r>
      <w:r w:rsidRPr="007F649C">
        <w:rPr>
          <w:b/>
          <w:lang w:val="en-GB"/>
        </w:rPr>
        <w:t xml:space="preserve"> </w:t>
      </w:r>
      <w:r w:rsidRPr="007F649C">
        <w:rPr>
          <w:b/>
          <w:lang w:val="en-GB"/>
        </w:rPr>
        <w:fldChar w:fldCharType="begin"/>
      </w:r>
      <w:r w:rsidRPr="007F649C">
        <w:rPr>
          <w:b/>
          <w:lang w:val="en-GB"/>
        </w:rPr>
        <w:instrText xml:space="preserve"> REF _Ref517609172 \h  \* MERGEFORMAT </w:instrText>
      </w:r>
      <w:r w:rsidRPr="007F649C">
        <w:rPr>
          <w:b/>
          <w:lang w:val="en-GB"/>
        </w:rPr>
      </w:r>
      <w:r w:rsidRPr="007F649C">
        <w:rPr>
          <w:b/>
          <w:lang w:val="en-GB"/>
        </w:rPr>
        <w:fldChar w:fldCharType="separate"/>
      </w:r>
      <w:r w:rsidRPr="007F649C">
        <w:rPr>
          <w:b/>
        </w:rPr>
        <w:t>Measurement period and accuracy requirements for candidate beam detection are defined by re-using the requirements for L3 measurement.</w:t>
      </w:r>
      <w:r w:rsidRPr="007F649C">
        <w:rPr>
          <w:b/>
          <w:lang w:val="en-GB"/>
        </w:rPr>
        <w:fldChar w:fldCharType="end"/>
      </w:r>
    </w:p>
    <w:p w:rsidR="007F649C" w:rsidRPr="007F649C" w:rsidRDefault="007F649C" w:rsidP="004F3D3B">
      <w:pPr>
        <w:rPr>
          <w:b/>
          <w:lang w:val="en-GB"/>
        </w:rPr>
      </w:pPr>
      <w:r w:rsidRPr="007F649C">
        <w:rPr>
          <w:b/>
          <w:lang w:val="en-GB"/>
        </w:rPr>
        <w:fldChar w:fldCharType="begin"/>
      </w:r>
      <w:r w:rsidRPr="007F649C">
        <w:rPr>
          <w:b/>
          <w:lang w:val="en-GB"/>
        </w:rPr>
        <w:instrText xml:space="preserve"> REF _Ref517609173 \r \h  \* MERGEFORMAT </w:instrText>
      </w:r>
      <w:r w:rsidRPr="007F649C">
        <w:rPr>
          <w:b/>
          <w:lang w:val="en-GB"/>
        </w:rPr>
      </w:r>
      <w:r w:rsidRPr="007F649C">
        <w:rPr>
          <w:b/>
          <w:lang w:val="en-GB"/>
        </w:rPr>
        <w:fldChar w:fldCharType="separate"/>
      </w:r>
      <w:r w:rsidRPr="007F649C">
        <w:rPr>
          <w:b/>
          <w:lang w:val="en-GB"/>
        </w:rPr>
        <w:t>Proposal 4:</w:t>
      </w:r>
      <w:r w:rsidRPr="007F649C">
        <w:rPr>
          <w:b/>
          <w:lang w:val="en-GB"/>
        </w:rPr>
        <w:fldChar w:fldCharType="end"/>
      </w:r>
      <w:r w:rsidRPr="007F649C">
        <w:rPr>
          <w:b/>
          <w:lang w:val="en-GB"/>
        </w:rPr>
        <w:t xml:space="preserve"> </w:t>
      </w:r>
      <w:r w:rsidRPr="007F649C">
        <w:rPr>
          <w:b/>
          <w:lang w:val="en-GB"/>
        </w:rPr>
        <w:fldChar w:fldCharType="begin"/>
      </w:r>
      <w:r w:rsidRPr="007F649C">
        <w:rPr>
          <w:b/>
          <w:lang w:val="en-GB"/>
        </w:rPr>
        <w:instrText xml:space="preserve"> REF _Ref517609173 \h  \* MERGEFORMAT </w:instrText>
      </w:r>
      <w:r w:rsidRPr="007F649C">
        <w:rPr>
          <w:b/>
          <w:lang w:val="en-GB"/>
        </w:rPr>
      </w:r>
      <w:r w:rsidRPr="007F649C">
        <w:rPr>
          <w:b/>
          <w:lang w:val="en-GB"/>
        </w:rPr>
        <w:fldChar w:fldCharType="separate"/>
      </w:r>
      <w:r w:rsidRPr="007F649C">
        <w:rPr>
          <w:b/>
        </w:rPr>
        <w:t>Rx beam sweeping is assumed for candidate beam detection measurement.</w:t>
      </w:r>
      <w:r w:rsidRPr="007F649C">
        <w:rPr>
          <w:b/>
          <w:lang w:val="en-GB"/>
        </w:rPr>
        <w:fldChar w:fldCharType="end"/>
      </w:r>
    </w:p>
    <w:p w:rsidR="007F649C" w:rsidRPr="007F649C" w:rsidRDefault="007F649C" w:rsidP="004F3D3B">
      <w:pPr>
        <w:rPr>
          <w:b/>
          <w:lang w:val="en-GB"/>
        </w:rPr>
      </w:pPr>
      <w:r w:rsidRPr="007F649C">
        <w:rPr>
          <w:b/>
          <w:lang w:val="en-GB"/>
        </w:rPr>
        <w:fldChar w:fldCharType="begin"/>
      </w:r>
      <w:r w:rsidRPr="007F649C">
        <w:rPr>
          <w:b/>
          <w:lang w:val="en-GB"/>
        </w:rPr>
        <w:instrText xml:space="preserve"> REF _Ref517609174 \r \h  \* MERGEFORMAT </w:instrText>
      </w:r>
      <w:r w:rsidRPr="007F649C">
        <w:rPr>
          <w:b/>
          <w:lang w:val="en-GB"/>
        </w:rPr>
      </w:r>
      <w:r w:rsidRPr="007F649C">
        <w:rPr>
          <w:b/>
          <w:lang w:val="en-GB"/>
        </w:rPr>
        <w:fldChar w:fldCharType="separate"/>
      </w:r>
      <w:r w:rsidRPr="007F649C">
        <w:rPr>
          <w:b/>
          <w:lang w:val="en-GB"/>
        </w:rPr>
        <w:t>Proposal 5:</w:t>
      </w:r>
      <w:r w:rsidRPr="007F649C">
        <w:rPr>
          <w:b/>
          <w:lang w:val="en-GB"/>
        </w:rPr>
        <w:fldChar w:fldCharType="end"/>
      </w:r>
      <w:r w:rsidRPr="007F649C">
        <w:rPr>
          <w:b/>
          <w:lang w:val="en-GB"/>
        </w:rPr>
        <w:t xml:space="preserve"> </w:t>
      </w:r>
      <w:r w:rsidRPr="007F649C">
        <w:rPr>
          <w:b/>
          <w:lang w:val="en-GB"/>
        </w:rPr>
        <w:fldChar w:fldCharType="begin"/>
      </w:r>
      <w:r w:rsidRPr="007F649C">
        <w:rPr>
          <w:b/>
          <w:lang w:val="en-GB"/>
        </w:rPr>
        <w:instrText xml:space="preserve"> REF _Ref517609174 \h  \* MERGEFORMAT </w:instrText>
      </w:r>
      <w:r w:rsidRPr="007F649C">
        <w:rPr>
          <w:b/>
          <w:lang w:val="en-GB"/>
        </w:rPr>
      </w:r>
      <w:r w:rsidRPr="007F649C">
        <w:rPr>
          <w:b/>
          <w:lang w:val="en-GB"/>
        </w:rPr>
        <w:fldChar w:fldCharType="separate"/>
      </w:r>
      <w:r w:rsidRPr="007F649C">
        <w:rPr>
          <w:b/>
        </w:rPr>
        <w:t>The collision of recovery RS with MG and SMTC is handled in the same way as RLM-RS.</w:t>
      </w:r>
      <w:r w:rsidRPr="007F649C">
        <w:rPr>
          <w:b/>
          <w:lang w:val="en-GB"/>
        </w:rPr>
        <w:fldChar w:fldCharType="end"/>
      </w:r>
    </w:p>
    <w:p w:rsidR="00410C1C" w:rsidRPr="007F649C" w:rsidRDefault="007F649C" w:rsidP="004F3D3B">
      <w:pPr>
        <w:rPr>
          <w:b/>
          <w:lang w:val="en-GB"/>
        </w:rPr>
      </w:pPr>
      <w:r w:rsidRPr="007F649C">
        <w:rPr>
          <w:b/>
          <w:lang w:val="en-GB"/>
        </w:rPr>
        <w:fldChar w:fldCharType="begin"/>
      </w:r>
      <w:r w:rsidRPr="007F649C">
        <w:rPr>
          <w:b/>
          <w:lang w:val="en-GB"/>
        </w:rPr>
        <w:instrText xml:space="preserve"> REF _Ref517609176 \r \h  \* MERGEFORMAT </w:instrText>
      </w:r>
      <w:r w:rsidRPr="007F649C">
        <w:rPr>
          <w:b/>
          <w:lang w:val="en-GB"/>
        </w:rPr>
      </w:r>
      <w:r w:rsidRPr="007F649C">
        <w:rPr>
          <w:b/>
          <w:lang w:val="en-GB"/>
        </w:rPr>
        <w:fldChar w:fldCharType="separate"/>
      </w:r>
      <w:r w:rsidRPr="007F649C">
        <w:rPr>
          <w:b/>
          <w:lang w:val="en-GB"/>
        </w:rPr>
        <w:t>Proposal 6:</w:t>
      </w:r>
      <w:r w:rsidRPr="007F649C">
        <w:rPr>
          <w:b/>
          <w:lang w:val="en-GB"/>
        </w:rPr>
        <w:fldChar w:fldCharType="end"/>
      </w:r>
      <w:r w:rsidRPr="007F649C">
        <w:rPr>
          <w:b/>
          <w:lang w:val="en-GB"/>
        </w:rPr>
        <w:t xml:space="preserve"> </w:t>
      </w:r>
      <w:r w:rsidRPr="007F649C">
        <w:rPr>
          <w:b/>
          <w:lang w:val="en-GB"/>
        </w:rPr>
        <w:fldChar w:fldCharType="begin"/>
      </w:r>
      <w:r w:rsidRPr="007F649C">
        <w:rPr>
          <w:b/>
          <w:lang w:val="en-GB"/>
        </w:rPr>
        <w:instrText xml:space="preserve"> REF _Ref517609176 \h  \* MERGEFORMAT </w:instrText>
      </w:r>
      <w:r w:rsidRPr="007F649C">
        <w:rPr>
          <w:b/>
          <w:lang w:val="en-GB"/>
        </w:rPr>
      </w:r>
      <w:r w:rsidRPr="007F649C">
        <w:rPr>
          <w:b/>
          <w:lang w:val="en-GB"/>
        </w:rPr>
        <w:fldChar w:fldCharType="separate"/>
      </w:r>
      <w:r w:rsidRPr="007F649C">
        <w:rPr>
          <w:b/>
        </w:rPr>
        <w:t>The requirements for candidate beam detection should also be defined for the measurement on beams other than q1 that can be reported via CBRA.</w:t>
      </w:r>
      <w:r w:rsidRPr="007F649C">
        <w:rPr>
          <w:b/>
          <w:lang w:val="en-GB"/>
        </w:rPr>
        <w:fldChar w:fldCharType="end"/>
      </w:r>
    </w:p>
    <w:p w:rsidR="003B659E" w:rsidRPr="0095295C" w:rsidRDefault="003B659E" w:rsidP="0008612A">
      <w:pPr>
        <w:pStyle w:val="RAN4H1"/>
      </w:pPr>
      <w:r w:rsidRPr="0095295C">
        <w:t>References</w:t>
      </w:r>
    </w:p>
    <w:p w:rsidR="00FC7B92" w:rsidRPr="00FC7B92" w:rsidRDefault="00FC7B92" w:rsidP="00640275">
      <w:pPr>
        <w:pStyle w:val="ListParagraph"/>
        <w:numPr>
          <w:ilvl w:val="0"/>
          <w:numId w:val="1"/>
        </w:numPr>
        <w:rPr>
          <w:szCs w:val="20"/>
        </w:rPr>
      </w:pPr>
      <w:bookmarkStart w:id="12" w:name="_Ref517446342"/>
      <w:bookmarkStart w:id="13" w:name="_Ref431017336"/>
      <w:bookmarkStart w:id="14" w:name="_Ref513196612"/>
      <w:bookmarkStart w:id="15" w:name="_Ref513710934"/>
      <w:bookmarkStart w:id="16" w:name="_Ref513723949"/>
      <w:bookmarkStart w:id="17" w:name="_Ref513728762"/>
      <w:r w:rsidRPr="00FC7B92">
        <w:rPr>
          <w:szCs w:val="20"/>
        </w:rPr>
        <w:t>R4-180</w:t>
      </w:r>
      <w:r w:rsidR="00640275">
        <w:rPr>
          <w:szCs w:val="20"/>
        </w:rPr>
        <w:t>8444</w:t>
      </w:r>
      <w:r w:rsidRPr="00FC7B92">
        <w:rPr>
          <w:szCs w:val="20"/>
        </w:rPr>
        <w:t xml:space="preserve">, </w:t>
      </w:r>
      <w:r w:rsidR="00640275" w:rsidRPr="00640275">
        <w:rPr>
          <w:szCs w:val="20"/>
        </w:rPr>
        <w:t>Way forward on Beam management requirements in NR</w:t>
      </w:r>
      <w:r w:rsidRPr="00FC7B92">
        <w:rPr>
          <w:szCs w:val="20"/>
        </w:rPr>
        <w:t xml:space="preserve">, </w:t>
      </w:r>
      <w:bookmarkEnd w:id="12"/>
      <w:r w:rsidR="00640275" w:rsidRPr="00640275">
        <w:rPr>
          <w:szCs w:val="20"/>
        </w:rPr>
        <w:t>Huawei, HiSilicon</w:t>
      </w:r>
    </w:p>
    <w:bookmarkEnd w:id="13"/>
    <w:bookmarkEnd w:id="14"/>
    <w:bookmarkEnd w:id="15"/>
    <w:bookmarkEnd w:id="16"/>
    <w:bookmarkEnd w:id="17"/>
    <w:p w:rsidR="00E20ED2" w:rsidRPr="00E52560" w:rsidRDefault="00E20ED2" w:rsidP="00E52560">
      <w:pPr>
        <w:overflowPunct w:val="0"/>
        <w:autoSpaceDE w:val="0"/>
        <w:autoSpaceDN w:val="0"/>
        <w:adjustRightInd w:val="0"/>
        <w:ind w:left="360" w:right="-22"/>
        <w:jc w:val="both"/>
        <w:textAlignment w:val="baseline"/>
        <w:rPr>
          <w:szCs w:val="20"/>
        </w:rPr>
      </w:pPr>
    </w:p>
    <w:sectPr w:rsidR="00E20ED2" w:rsidRPr="00E5256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CD2" w:rsidRDefault="00FE2CD2" w:rsidP="00001C9B">
      <w:pPr>
        <w:spacing w:after="0" w:line="240" w:lineRule="auto"/>
      </w:pPr>
      <w:r>
        <w:separator/>
      </w:r>
    </w:p>
  </w:endnote>
  <w:endnote w:type="continuationSeparator" w:id="0">
    <w:p w:rsidR="00FE2CD2" w:rsidRDefault="00FE2CD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CD2" w:rsidRDefault="00FE2CD2" w:rsidP="00001C9B">
      <w:pPr>
        <w:spacing w:after="0" w:line="240" w:lineRule="auto"/>
      </w:pPr>
      <w:r>
        <w:separator/>
      </w:r>
    </w:p>
  </w:footnote>
  <w:footnote w:type="continuationSeparator" w:id="0">
    <w:p w:rsidR="00FE2CD2" w:rsidRDefault="00FE2CD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F21C0"/>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542E8"/>
    <w:multiLevelType w:val="hybridMultilevel"/>
    <w:tmpl w:val="0FBC2122"/>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D11FC"/>
    <w:multiLevelType w:val="hybridMultilevel"/>
    <w:tmpl w:val="40B02B06"/>
    <w:lvl w:ilvl="0" w:tplc="03C0466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97AA2"/>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C120E"/>
    <w:multiLevelType w:val="hybridMultilevel"/>
    <w:tmpl w:val="2918C6A2"/>
    <w:lvl w:ilvl="0" w:tplc="04090001">
      <w:start w:val="1"/>
      <w:numFmt w:val="bullet"/>
      <w:lvlText w:val=""/>
      <w:lvlJc w:val="left"/>
      <w:pPr>
        <w:ind w:left="704" w:hanging="420"/>
      </w:pPr>
      <w:rPr>
        <w:rFonts w:ascii="Symbol" w:hAnsi="Symbol" w:hint="default"/>
      </w:rPr>
    </w:lvl>
    <w:lvl w:ilvl="1" w:tplc="9C1A3C9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3313D4"/>
    <w:multiLevelType w:val="hybridMultilevel"/>
    <w:tmpl w:val="DD8254C8"/>
    <w:lvl w:ilvl="0" w:tplc="F33E1B26">
      <w:start w:val="1"/>
      <w:numFmt w:val="bullet"/>
      <w:lvlText w:val="•"/>
      <w:lvlJc w:val="left"/>
      <w:pPr>
        <w:tabs>
          <w:tab w:val="num" w:pos="720"/>
        </w:tabs>
        <w:ind w:left="720" w:hanging="360"/>
      </w:pPr>
      <w:rPr>
        <w:rFonts w:ascii="Arial" w:hAnsi="Arial" w:hint="default"/>
      </w:rPr>
    </w:lvl>
    <w:lvl w:ilvl="1" w:tplc="D32E0D7C">
      <w:numFmt w:val="bullet"/>
      <w:lvlText w:val="–"/>
      <w:lvlJc w:val="left"/>
      <w:pPr>
        <w:tabs>
          <w:tab w:val="num" w:pos="1440"/>
        </w:tabs>
        <w:ind w:left="1440" w:hanging="360"/>
      </w:pPr>
      <w:rPr>
        <w:rFonts w:ascii="Arial" w:hAnsi="Arial" w:hint="default"/>
      </w:rPr>
    </w:lvl>
    <w:lvl w:ilvl="2" w:tplc="D36EA2FE">
      <w:numFmt w:val="bullet"/>
      <w:lvlText w:val="•"/>
      <w:lvlJc w:val="left"/>
      <w:pPr>
        <w:tabs>
          <w:tab w:val="num" w:pos="2160"/>
        </w:tabs>
        <w:ind w:left="2160" w:hanging="360"/>
      </w:pPr>
      <w:rPr>
        <w:rFonts w:ascii="Arial" w:hAnsi="Arial" w:hint="default"/>
      </w:rPr>
    </w:lvl>
    <w:lvl w:ilvl="3" w:tplc="5DB0ACE4" w:tentative="1">
      <w:start w:val="1"/>
      <w:numFmt w:val="bullet"/>
      <w:lvlText w:val="•"/>
      <w:lvlJc w:val="left"/>
      <w:pPr>
        <w:tabs>
          <w:tab w:val="num" w:pos="2880"/>
        </w:tabs>
        <w:ind w:left="2880" w:hanging="360"/>
      </w:pPr>
      <w:rPr>
        <w:rFonts w:ascii="Arial" w:hAnsi="Arial" w:hint="default"/>
      </w:rPr>
    </w:lvl>
    <w:lvl w:ilvl="4" w:tplc="3CD889C0" w:tentative="1">
      <w:start w:val="1"/>
      <w:numFmt w:val="bullet"/>
      <w:lvlText w:val="•"/>
      <w:lvlJc w:val="left"/>
      <w:pPr>
        <w:tabs>
          <w:tab w:val="num" w:pos="3600"/>
        </w:tabs>
        <w:ind w:left="3600" w:hanging="360"/>
      </w:pPr>
      <w:rPr>
        <w:rFonts w:ascii="Arial" w:hAnsi="Arial" w:hint="default"/>
      </w:rPr>
    </w:lvl>
    <w:lvl w:ilvl="5" w:tplc="2BA25E44" w:tentative="1">
      <w:start w:val="1"/>
      <w:numFmt w:val="bullet"/>
      <w:lvlText w:val="•"/>
      <w:lvlJc w:val="left"/>
      <w:pPr>
        <w:tabs>
          <w:tab w:val="num" w:pos="4320"/>
        </w:tabs>
        <w:ind w:left="4320" w:hanging="360"/>
      </w:pPr>
      <w:rPr>
        <w:rFonts w:ascii="Arial" w:hAnsi="Arial" w:hint="default"/>
      </w:rPr>
    </w:lvl>
    <w:lvl w:ilvl="6" w:tplc="C3D098B8" w:tentative="1">
      <w:start w:val="1"/>
      <w:numFmt w:val="bullet"/>
      <w:lvlText w:val="•"/>
      <w:lvlJc w:val="left"/>
      <w:pPr>
        <w:tabs>
          <w:tab w:val="num" w:pos="5040"/>
        </w:tabs>
        <w:ind w:left="5040" w:hanging="360"/>
      </w:pPr>
      <w:rPr>
        <w:rFonts w:ascii="Arial" w:hAnsi="Arial" w:hint="default"/>
      </w:rPr>
    </w:lvl>
    <w:lvl w:ilvl="7" w:tplc="4B487534" w:tentative="1">
      <w:start w:val="1"/>
      <w:numFmt w:val="bullet"/>
      <w:lvlText w:val="•"/>
      <w:lvlJc w:val="left"/>
      <w:pPr>
        <w:tabs>
          <w:tab w:val="num" w:pos="5760"/>
        </w:tabs>
        <w:ind w:left="5760" w:hanging="360"/>
      </w:pPr>
      <w:rPr>
        <w:rFonts w:ascii="Arial" w:hAnsi="Arial" w:hint="default"/>
      </w:rPr>
    </w:lvl>
    <w:lvl w:ilvl="8" w:tplc="AC7A5C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364E9"/>
    <w:multiLevelType w:val="hybridMultilevel"/>
    <w:tmpl w:val="F7040724"/>
    <w:lvl w:ilvl="0" w:tplc="66FC345A">
      <w:start w:val="1"/>
      <w:numFmt w:val="bullet"/>
      <w:lvlText w:val="•"/>
      <w:lvlJc w:val="left"/>
      <w:pPr>
        <w:tabs>
          <w:tab w:val="num" w:pos="720"/>
        </w:tabs>
        <w:ind w:left="720" w:hanging="360"/>
      </w:pPr>
      <w:rPr>
        <w:rFonts w:ascii="Arial" w:hAnsi="Arial" w:hint="default"/>
      </w:rPr>
    </w:lvl>
    <w:lvl w:ilvl="1" w:tplc="BB5083AE">
      <w:numFmt w:val="bullet"/>
      <w:lvlText w:val="•"/>
      <w:lvlJc w:val="left"/>
      <w:pPr>
        <w:tabs>
          <w:tab w:val="num" w:pos="1440"/>
        </w:tabs>
        <w:ind w:left="1440" w:hanging="360"/>
      </w:pPr>
      <w:rPr>
        <w:rFonts w:ascii="Arial" w:hAnsi="Arial" w:hint="default"/>
      </w:rPr>
    </w:lvl>
    <w:lvl w:ilvl="2" w:tplc="22D48486">
      <w:numFmt w:val="bullet"/>
      <w:lvlText w:val="•"/>
      <w:lvlJc w:val="left"/>
      <w:pPr>
        <w:tabs>
          <w:tab w:val="num" w:pos="2160"/>
        </w:tabs>
        <w:ind w:left="2160" w:hanging="360"/>
      </w:pPr>
      <w:rPr>
        <w:rFonts w:ascii="Arial" w:hAnsi="Arial" w:hint="default"/>
      </w:rPr>
    </w:lvl>
    <w:lvl w:ilvl="3" w:tplc="85882664">
      <w:start w:val="1"/>
      <w:numFmt w:val="bullet"/>
      <w:lvlText w:val="•"/>
      <w:lvlJc w:val="left"/>
      <w:pPr>
        <w:tabs>
          <w:tab w:val="num" w:pos="2880"/>
        </w:tabs>
        <w:ind w:left="2880" w:hanging="360"/>
      </w:pPr>
      <w:rPr>
        <w:rFonts w:ascii="Arial" w:hAnsi="Arial" w:hint="default"/>
      </w:rPr>
    </w:lvl>
    <w:lvl w:ilvl="4" w:tplc="42308032" w:tentative="1">
      <w:start w:val="1"/>
      <w:numFmt w:val="bullet"/>
      <w:lvlText w:val="•"/>
      <w:lvlJc w:val="left"/>
      <w:pPr>
        <w:tabs>
          <w:tab w:val="num" w:pos="3600"/>
        </w:tabs>
        <w:ind w:left="3600" w:hanging="360"/>
      </w:pPr>
      <w:rPr>
        <w:rFonts w:ascii="Arial" w:hAnsi="Arial" w:hint="default"/>
      </w:rPr>
    </w:lvl>
    <w:lvl w:ilvl="5" w:tplc="91E6C05E" w:tentative="1">
      <w:start w:val="1"/>
      <w:numFmt w:val="bullet"/>
      <w:lvlText w:val="•"/>
      <w:lvlJc w:val="left"/>
      <w:pPr>
        <w:tabs>
          <w:tab w:val="num" w:pos="4320"/>
        </w:tabs>
        <w:ind w:left="4320" w:hanging="360"/>
      </w:pPr>
      <w:rPr>
        <w:rFonts w:ascii="Arial" w:hAnsi="Arial" w:hint="default"/>
      </w:rPr>
    </w:lvl>
    <w:lvl w:ilvl="6" w:tplc="5A92EEF4" w:tentative="1">
      <w:start w:val="1"/>
      <w:numFmt w:val="bullet"/>
      <w:lvlText w:val="•"/>
      <w:lvlJc w:val="left"/>
      <w:pPr>
        <w:tabs>
          <w:tab w:val="num" w:pos="5040"/>
        </w:tabs>
        <w:ind w:left="5040" w:hanging="360"/>
      </w:pPr>
      <w:rPr>
        <w:rFonts w:ascii="Arial" w:hAnsi="Arial" w:hint="default"/>
      </w:rPr>
    </w:lvl>
    <w:lvl w:ilvl="7" w:tplc="95AA1772" w:tentative="1">
      <w:start w:val="1"/>
      <w:numFmt w:val="bullet"/>
      <w:lvlText w:val="•"/>
      <w:lvlJc w:val="left"/>
      <w:pPr>
        <w:tabs>
          <w:tab w:val="num" w:pos="5760"/>
        </w:tabs>
        <w:ind w:left="5760" w:hanging="360"/>
      </w:pPr>
      <w:rPr>
        <w:rFonts w:ascii="Arial" w:hAnsi="Arial" w:hint="default"/>
      </w:rPr>
    </w:lvl>
    <w:lvl w:ilvl="8" w:tplc="F2F65F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60C82"/>
    <w:multiLevelType w:val="hybridMultilevel"/>
    <w:tmpl w:val="FB9C573E"/>
    <w:lvl w:ilvl="0" w:tplc="6C6CEF06">
      <w:start w:val="1"/>
      <w:numFmt w:val="bullet"/>
      <w:lvlText w:val="•"/>
      <w:lvlJc w:val="left"/>
      <w:pPr>
        <w:tabs>
          <w:tab w:val="num" w:pos="720"/>
        </w:tabs>
        <w:ind w:left="720" w:hanging="360"/>
      </w:pPr>
      <w:rPr>
        <w:rFonts w:ascii="Arial" w:hAnsi="Arial" w:hint="default"/>
      </w:rPr>
    </w:lvl>
    <w:lvl w:ilvl="1" w:tplc="5880C220">
      <w:numFmt w:val="bullet"/>
      <w:lvlText w:val="–"/>
      <w:lvlJc w:val="left"/>
      <w:pPr>
        <w:tabs>
          <w:tab w:val="num" w:pos="1440"/>
        </w:tabs>
        <w:ind w:left="1440" w:hanging="360"/>
      </w:pPr>
      <w:rPr>
        <w:rFonts w:ascii="Arial" w:hAnsi="Arial" w:hint="default"/>
      </w:rPr>
    </w:lvl>
    <w:lvl w:ilvl="2" w:tplc="D1FA0284">
      <w:numFmt w:val="bullet"/>
      <w:lvlText w:val="•"/>
      <w:lvlJc w:val="left"/>
      <w:pPr>
        <w:tabs>
          <w:tab w:val="num" w:pos="2160"/>
        </w:tabs>
        <w:ind w:left="2160" w:hanging="360"/>
      </w:pPr>
      <w:rPr>
        <w:rFonts w:ascii="Arial" w:hAnsi="Arial" w:hint="default"/>
      </w:rPr>
    </w:lvl>
    <w:lvl w:ilvl="3" w:tplc="FCD62F28">
      <w:numFmt w:val="bullet"/>
      <w:lvlText w:val="–"/>
      <w:lvlJc w:val="left"/>
      <w:pPr>
        <w:tabs>
          <w:tab w:val="num" w:pos="2880"/>
        </w:tabs>
        <w:ind w:left="2880" w:hanging="360"/>
      </w:pPr>
      <w:rPr>
        <w:rFonts w:ascii="Arial" w:hAnsi="Arial" w:hint="default"/>
      </w:rPr>
    </w:lvl>
    <w:lvl w:ilvl="4" w:tplc="5C6AE512" w:tentative="1">
      <w:start w:val="1"/>
      <w:numFmt w:val="bullet"/>
      <w:lvlText w:val="•"/>
      <w:lvlJc w:val="left"/>
      <w:pPr>
        <w:tabs>
          <w:tab w:val="num" w:pos="3600"/>
        </w:tabs>
        <w:ind w:left="3600" w:hanging="360"/>
      </w:pPr>
      <w:rPr>
        <w:rFonts w:ascii="Arial" w:hAnsi="Arial" w:hint="default"/>
      </w:rPr>
    </w:lvl>
    <w:lvl w:ilvl="5" w:tplc="69D4855C" w:tentative="1">
      <w:start w:val="1"/>
      <w:numFmt w:val="bullet"/>
      <w:lvlText w:val="•"/>
      <w:lvlJc w:val="left"/>
      <w:pPr>
        <w:tabs>
          <w:tab w:val="num" w:pos="4320"/>
        </w:tabs>
        <w:ind w:left="4320" w:hanging="360"/>
      </w:pPr>
      <w:rPr>
        <w:rFonts w:ascii="Arial" w:hAnsi="Arial" w:hint="default"/>
      </w:rPr>
    </w:lvl>
    <w:lvl w:ilvl="6" w:tplc="AE161E7E" w:tentative="1">
      <w:start w:val="1"/>
      <w:numFmt w:val="bullet"/>
      <w:lvlText w:val="•"/>
      <w:lvlJc w:val="left"/>
      <w:pPr>
        <w:tabs>
          <w:tab w:val="num" w:pos="5040"/>
        </w:tabs>
        <w:ind w:left="5040" w:hanging="360"/>
      </w:pPr>
      <w:rPr>
        <w:rFonts w:ascii="Arial" w:hAnsi="Arial" w:hint="default"/>
      </w:rPr>
    </w:lvl>
    <w:lvl w:ilvl="7" w:tplc="1DAA87A6" w:tentative="1">
      <w:start w:val="1"/>
      <w:numFmt w:val="bullet"/>
      <w:lvlText w:val="•"/>
      <w:lvlJc w:val="left"/>
      <w:pPr>
        <w:tabs>
          <w:tab w:val="num" w:pos="5760"/>
        </w:tabs>
        <w:ind w:left="5760" w:hanging="360"/>
      </w:pPr>
      <w:rPr>
        <w:rFonts w:ascii="Arial" w:hAnsi="Arial" w:hint="default"/>
      </w:rPr>
    </w:lvl>
    <w:lvl w:ilvl="8" w:tplc="78E66A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3016FA"/>
    <w:multiLevelType w:val="hybridMultilevel"/>
    <w:tmpl w:val="2800D95C"/>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2D4AF22E">
      <w:numFmt w:val="bullet"/>
      <w:lvlText w:val="-"/>
      <w:lvlJc w:val="left"/>
      <w:pPr>
        <w:ind w:left="2880" w:hanging="360"/>
      </w:pPr>
      <w:rPr>
        <w:rFonts w:ascii="Times New Roman" w:eastAsia="Calibri" w:hAnsi="Times New Roman" w:cs="Times New Roman"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D67FE"/>
    <w:multiLevelType w:val="hybridMultilevel"/>
    <w:tmpl w:val="A0CAFB9C"/>
    <w:lvl w:ilvl="0" w:tplc="33686614">
      <w:start w:val="1"/>
      <w:numFmt w:val="bullet"/>
      <w:lvlText w:val="•"/>
      <w:lvlJc w:val="left"/>
      <w:pPr>
        <w:tabs>
          <w:tab w:val="num" w:pos="720"/>
        </w:tabs>
        <w:ind w:left="720" w:hanging="360"/>
      </w:pPr>
      <w:rPr>
        <w:rFonts w:ascii="Arial" w:hAnsi="Arial" w:hint="default"/>
      </w:rPr>
    </w:lvl>
    <w:lvl w:ilvl="1" w:tplc="76483A16">
      <w:start w:val="1"/>
      <w:numFmt w:val="bullet"/>
      <w:lvlText w:val="•"/>
      <w:lvlJc w:val="left"/>
      <w:pPr>
        <w:tabs>
          <w:tab w:val="num" w:pos="1440"/>
        </w:tabs>
        <w:ind w:left="1440" w:hanging="360"/>
      </w:pPr>
      <w:rPr>
        <w:rFonts w:ascii="Arial" w:hAnsi="Arial" w:hint="default"/>
      </w:rPr>
    </w:lvl>
    <w:lvl w:ilvl="2" w:tplc="AFC21FFA">
      <w:numFmt w:val="bullet"/>
      <w:lvlText w:val="•"/>
      <w:lvlJc w:val="left"/>
      <w:pPr>
        <w:tabs>
          <w:tab w:val="num" w:pos="2160"/>
        </w:tabs>
        <w:ind w:left="2160" w:hanging="360"/>
      </w:pPr>
      <w:rPr>
        <w:rFonts w:ascii="Arial" w:hAnsi="Arial" w:hint="default"/>
      </w:rPr>
    </w:lvl>
    <w:lvl w:ilvl="3" w:tplc="FF3E7E16">
      <w:numFmt w:val="bullet"/>
      <w:lvlText w:val="•"/>
      <w:lvlJc w:val="left"/>
      <w:pPr>
        <w:tabs>
          <w:tab w:val="num" w:pos="2880"/>
        </w:tabs>
        <w:ind w:left="2880" w:hanging="360"/>
      </w:pPr>
      <w:rPr>
        <w:rFonts w:ascii="Arial" w:hAnsi="Arial" w:hint="default"/>
      </w:rPr>
    </w:lvl>
    <w:lvl w:ilvl="4" w:tplc="7072542A" w:tentative="1">
      <w:start w:val="1"/>
      <w:numFmt w:val="bullet"/>
      <w:lvlText w:val="•"/>
      <w:lvlJc w:val="left"/>
      <w:pPr>
        <w:tabs>
          <w:tab w:val="num" w:pos="3600"/>
        </w:tabs>
        <w:ind w:left="3600" w:hanging="360"/>
      </w:pPr>
      <w:rPr>
        <w:rFonts w:ascii="Arial" w:hAnsi="Arial" w:hint="default"/>
      </w:rPr>
    </w:lvl>
    <w:lvl w:ilvl="5" w:tplc="59F69F60" w:tentative="1">
      <w:start w:val="1"/>
      <w:numFmt w:val="bullet"/>
      <w:lvlText w:val="•"/>
      <w:lvlJc w:val="left"/>
      <w:pPr>
        <w:tabs>
          <w:tab w:val="num" w:pos="4320"/>
        </w:tabs>
        <w:ind w:left="4320" w:hanging="360"/>
      </w:pPr>
      <w:rPr>
        <w:rFonts w:ascii="Arial" w:hAnsi="Arial" w:hint="default"/>
      </w:rPr>
    </w:lvl>
    <w:lvl w:ilvl="6" w:tplc="D4C05DE4" w:tentative="1">
      <w:start w:val="1"/>
      <w:numFmt w:val="bullet"/>
      <w:lvlText w:val="•"/>
      <w:lvlJc w:val="left"/>
      <w:pPr>
        <w:tabs>
          <w:tab w:val="num" w:pos="5040"/>
        </w:tabs>
        <w:ind w:left="5040" w:hanging="360"/>
      </w:pPr>
      <w:rPr>
        <w:rFonts w:ascii="Arial" w:hAnsi="Arial" w:hint="default"/>
      </w:rPr>
    </w:lvl>
    <w:lvl w:ilvl="7" w:tplc="7D3867D4" w:tentative="1">
      <w:start w:val="1"/>
      <w:numFmt w:val="bullet"/>
      <w:lvlText w:val="•"/>
      <w:lvlJc w:val="left"/>
      <w:pPr>
        <w:tabs>
          <w:tab w:val="num" w:pos="5760"/>
        </w:tabs>
        <w:ind w:left="5760" w:hanging="360"/>
      </w:pPr>
      <w:rPr>
        <w:rFonts w:ascii="Arial" w:hAnsi="Arial" w:hint="default"/>
      </w:rPr>
    </w:lvl>
    <w:lvl w:ilvl="8" w:tplc="B440B1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5369DF"/>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718A0"/>
    <w:multiLevelType w:val="hybridMultilevel"/>
    <w:tmpl w:val="F412DB3C"/>
    <w:lvl w:ilvl="0" w:tplc="3716D262">
      <w:start w:val="1"/>
      <w:numFmt w:val="bullet"/>
      <w:lvlText w:val="•"/>
      <w:lvlJc w:val="left"/>
      <w:pPr>
        <w:tabs>
          <w:tab w:val="num" w:pos="720"/>
        </w:tabs>
        <w:ind w:left="720" w:hanging="360"/>
      </w:pPr>
      <w:rPr>
        <w:rFonts w:ascii="Arial" w:hAnsi="Arial" w:hint="default"/>
      </w:rPr>
    </w:lvl>
    <w:lvl w:ilvl="1" w:tplc="8B28F5F6">
      <w:start w:val="1"/>
      <w:numFmt w:val="bullet"/>
      <w:lvlText w:val="•"/>
      <w:lvlJc w:val="left"/>
      <w:pPr>
        <w:tabs>
          <w:tab w:val="num" w:pos="1440"/>
        </w:tabs>
        <w:ind w:left="1440" w:hanging="360"/>
      </w:pPr>
      <w:rPr>
        <w:rFonts w:ascii="Arial" w:hAnsi="Arial" w:hint="default"/>
      </w:rPr>
    </w:lvl>
    <w:lvl w:ilvl="2" w:tplc="73F26882">
      <w:numFmt w:val="bullet"/>
      <w:lvlText w:val="•"/>
      <w:lvlJc w:val="left"/>
      <w:pPr>
        <w:tabs>
          <w:tab w:val="num" w:pos="2160"/>
        </w:tabs>
        <w:ind w:left="2160" w:hanging="360"/>
      </w:pPr>
      <w:rPr>
        <w:rFonts w:ascii="Arial" w:hAnsi="Arial" w:hint="default"/>
      </w:rPr>
    </w:lvl>
    <w:lvl w:ilvl="3" w:tplc="AFD872C2">
      <w:start w:val="1"/>
      <w:numFmt w:val="bullet"/>
      <w:lvlText w:val="•"/>
      <w:lvlJc w:val="left"/>
      <w:pPr>
        <w:tabs>
          <w:tab w:val="num" w:pos="2880"/>
        </w:tabs>
        <w:ind w:left="2880" w:hanging="360"/>
      </w:pPr>
      <w:rPr>
        <w:rFonts w:ascii="Arial" w:hAnsi="Arial" w:hint="default"/>
      </w:rPr>
    </w:lvl>
    <w:lvl w:ilvl="4" w:tplc="0338B6CC" w:tentative="1">
      <w:start w:val="1"/>
      <w:numFmt w:val="bullet"/>
      <w:lvlText w:val="•"/>
      <w:lvlJc w:val="left"/>
      <w:pPr>
        <w:tabs>
          <w:tab w:val="num" w:pos="3600"/>
        </w:tabs>
        <w:ind w:left="3600" w:hanging="360"/>
      </w:pPr>
      <w:rPr>
        <w:rFonts w:ascii="Arial" w:hAnsi="Arial" w:hint="default"/>
      </w:rPr>
    </w:lvl>
    <w:lvl w:ilvl="5" w:tplc="6450AB2A" w:tentative="1">
      <w:start w:val="1"/>
      <w:numFmt w:val="bullet"/>
      <w:lvlText w:val="•"/>
      <w:lvlJc w:val="left"/>
      <w:pPr>
        <w:tabs>
          <w:tab w:val="num" w:pos="4320"/>
        </w:tabs>
        <w:ind w:left="4320" w:hanging="360"/>
      </w:pPr>
      <w:rPr>
        <w:rFonts w:ascii="Arial" w:hAnsi="Arial" w:hint="default"/>
      </w:rPr>
    </w:lvl>
    <w:lvl w:ilvl="6" w:tplc="FB0E0922" w:tentative="1">
      <w:start w:val="1"/>
      <w:numFmt w:val="bullet"/>
      <w:lvlText w:val="•"/>
      <w:lvlJc w:val="left"/>
      <w:pPr>
        <w:tabs>
          <w:tab w:val="num" w:pos="5040"/>
        </w:tabs>
        <w:ind w:left="5040" w:hanging="360"/>
      </w:pPr>
      <w:rPr>
        <w:rFonts w:ascii="Arial" w:hAnsi="Arial" w:hint="default"/>
      </w:rPr>
    </w:lvl>
    <w:lvl w:ilvl="7" w:tplc="9F8AEB72" w:tentative="1">
      <w:start w:val="1"/>
      <w:numFmt w:val="bullet"/>
      <w:lvlText w:val="•"/>
      <w:lvlJc w:val="left"/>
      <w:pPr>
        <w:tabs>
          <w:tab w:val="num" w:pos="5760"/>
        </w:tabs>
        <w:ind w:left="5760" w:hanging="360"/>
      </w:pPr>
      <w:rPr>
        <w:rFonts w:ascii="Arial" w:hAnsi="Arial" w:hint="default"/>
      </w:rPr>
    </w:lvl>
    <w:lvl w:ilvl="8" w:tplc="1ACC64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D24A8E"/>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9A81F80"/>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427EA"/>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CD2971"/>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5A0E20"/>
    <w:multiLevelType w:val="hybridMultilevel"/>
    <w:tmpl w:val="23303774"/>
    <w:lvl w:ilvl="0" w:tplc="E76CE1B6">
      <w:start w:val="1"/>
      <w:numFmt w:val="bullet"/>
      <w:lvlText w:val="•"/>
      <w:lvlJc w:val="left"/>
      <w:pPr>
        <w:tabs>
          <w:tab w:val="num" w:pos="360"/>
        </w:tabs>
        <w:ind w:left="360" w:hanging="360"/>
      </w:pPr>
      <w:rPr>
        <w:rFonts w:ascii="Arial" w:hAnsi="Arial" w:hint="default"/>
      </w:rPr>
    </w:lvl>
    <w:lvl w:ilvl="1" w:tplc="9892B0C2">
      <w:start w:val="1"/>
      <w:numFmt w:val="bullet"/>
      <w:lvlText w:val="•"/>
      <w:lvlJc w:val="left"/>
      <w:pPr>
        <w:tabs>
          <w:tab w:val="num" w:pos="1080"/>
        </w:tabs>
        <w:ind w:left="1080" w:hanging="360"/>
      </w:pPr>
      <w:rPr>
        <w:rFonts w:ascii="Arial" w:hAnsi="Arial" w:hint="default"/>
      </w:rPr>
    </w:lvl>
    <w:lvl w:ilvl="2" w:tplc="B6B830E0">
      <w:numFmt w:val="bullet"/>
      <w:lvlText w:val="•"/>
      <w:lvlJc w:val="left"/>
      <w:pPr>
        <w:tabs>
          <w:tab w:val="num" w:pos="1800"/>
        </w:tabs>
        <w:ind w:left="1800" w:hanging="360"/>
      </w:pPr>
      <w:rPr>
        <w:rFonts w:ascii="Arial" w:hAnsi="Arial" w:hint="default"/>
      </w:rPr>
    </w:lvl>
    <w:lvl w:ilvl="3" w:tplc="9008F49E">
      <w:numFmt w:val="bullet"/>
      <w:lvlText w:val="•"/>
      <w:lvlJc w:val="left"/>
      <w:pPr>
        <w:tabs>
          <w:tab w:val="num" w:pos="2520"/>
        </w:tabs>
        <w:ind w:left="2520" w:hanging="360"/>
      </w:pPr>
      <w:rPr>
        <w:rFonts w:ascii="Arial" w:hAnsi="Arial" w:hint="default"/>
      </w:rPr>
    </w:lvl>
    <w:lvl w:ilvl="4" w:tplc="D3701D7C" w:tentative="1">
      <w:start w:val="1"/>
      <w:numFmt w:val="bullet"/>
      <w:lvlText w:val="•"/>
      <w:lvlJc w:val="left"/>
      <w:pPr>
        <w:tabs>
          <w:tab w:val="num" w:pos="3240"/>
        </w:tabs>
        <w:ind w:left="3240" w:hanging="360"/>
      </w:pPr>
      <w:rPr>
        <w:rFonts w:ascii="Arial" w:hAnsi="Arial" w:hint="default"/>
      </w:rPr>
    </w:lvl>
    <w:lvl w:ilvl="5" w:tplc="96FEF514" w:tentative="1">
      <w:start w:val="1"/>
      <w:numFmt w:val="bullet"/>
      <w:lvlText w:val="•"/>
      <w:lvlJc w:val="left"/>
      <w:pPr>
        <w:tabs>
          <w:tab w:val="num" w:pos="3960"/>
        </w:tabs>
        <w:ind w:left="3960" w:hanging="360"/>
      </w:pPr>
      <w:rPr>
        <w:rFonts w:ascii="Arial" w:hAnsi="Arial" w:hint="default"/>
      </w:rPr>
    </w:lvl>
    <w:lvl w:ilvl="6" w:tplc="85187EB8" w:tentative="1">
      <w:start w:val="1"/>
      <w:numFmt w:val="bullet"/>
      <w:lvlText w:val="•"/>
      <w:lvlJc w:val="left"/>
      <w:pPr>
        <w:tabs>
          <w:tab w:val="num" w:pos="4680"/>
        </w:tabs>
        <w:ind w:left="4680" w:hanging="360"/>
      </w:pPr>
      <w:rPr>
        <w:rFonts w:ascii="Arial" w:hAnsi="Arial" w:hint="default"/>
      </w:rPr>
    </w:lvl>
    <w:lvl w:ilvl="7" w:tplc="B52A95D2" w:tentative="1">
      <w:start w:val="1"/>
      <w:numFmt w:val="bullet"/>
      <w:lvlText w:val="•"/>
      <w:lvlJc w:val="left"/>
      <w:pPr>
        <w:tabs>
          <w:tab w:val="num" w:pos="5400"/>
        </w:tabs>
        <w:ind w:left="5400" w:hanging="360"/>
      </w:pPr>
      <w:rPr>
        <w:rFonts w:ascii="Arial" w:hAnsi="Arial" w:hint="default"/>
      </w:rPr>
    </w:lvl>
    <w:lvl w:ilvl="8" w:tplc="0C18395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23"/>
  </w:num>
  <w:num w:numId="4">
    <w:abstractNumId w:val="12"/>
  </w:num>
  <w:num w:numId="5">
    <w:abstractNumId w:val="28"/>
  </w:num>
  <w:num w:numId="6">
    <w:abstractNumId w:val="20"/>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20"/>
    <w:lvlOverride w:ilvl="0">
      <w:startOverride w:val="1"/>
    </w:lvlOverride>
  </w:num>
  <w:num w:numId="12">
    <w:abstractNumId w:val="22"/>
    <w:lvlOverride w:ilvl="0">
      <w:startOverride w:val="1"/>
    </w:lvlOverride>
  </w:num>
  <w:num w:numId="13">
    <w:abstractNumId w:val="20"/>
    <w:lvlOverride w:ilvl="0">
      <w:startOverride w:val="1"/>
    </w:lvlOverride>
  </w:num>
  <w:num w:numId="14">
    <w:abstractNumId w:val="22"/>
    <w:lvlOverride w:ilvl="0">
      <w:startOverride w:val="1"/>
    </w:lvlOverride>
  </w:num>
  <w:num w:numId="15">
    <w:abstractNumId w:val="36"/>
  </w:num>
  <w:num w:numId="16">
    <w:abstractNumId w:val="9"/>
  </w:num>
  <w:num w:numId="17">
    <w:abstractNumId w:val="27"/>
  </w:num>
  <w:num w:numId="18">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4"/>
  </w:num>
  <w:num w:numId="22">
    <w:abstractNumId w:val="33"/>
  </w:num>
  <w:num w:numId="23">
    <w:abstractNumId w:val="30"/>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5"/>
  </w:num>
  <w:num w:numId="27">
    <w:abstractNumId w:val="15"/>
  </w:num>
  <w:num w:numId="28">
    <w:abstractNumId w:val="1"/>
  </w:num>
  <w:num w:numId="29">
    <w:abstractNumId w:val="2"/>
  </w:num>
  <w:num w:numId="30">
    <w:abstractNumId w:val="34"/>
  </w:num>
  <w:num w:numId="31">
    <w:abstractNumId w:val="32"/>
  </w:num>
  <w:num w:numId="32">
    <w:abstractNumId w:val="18"/>
  </w:num>
  <w:num w:numId="33">
    <w:abstractNumId w:val="21"/>
  </w:num>
  <w:num w:numId="34">
    <w:abstractNumId w:val="17"/>
  </w:num>
  <w:num w:numId="35">
    <w:abstractNumId w:val="6"/>
  </w:num>
  <w:num w:numId="36">
    <w:abstractNumId w:val="29"/>
  </w:num>
  <w:num w:numId="37">
    <w:abstractNumId w:val="4"/>
  </w:num>
  <w:num w:numId="38">
    <w:abstractNumId w:val="10"/>
  </w:num>
  <w:num w:numId="39">
    <w:abstractNumId w:val="31"/>
  </w:num>
  <w:num w:numId="40">
    <w:abstractNumId w:val="27"/>
  </w:num>
  <w:num w:numId="41">
    <w:abstractNumId w:val="25"/>
  </w:num>
  <w:num w:numId="42">
    <w:abstractNumId w:val="3"/>
  </w:num>
  <w:num w:numId="43">
    <w:abstractNumId w:val="7"/>
  </w:num>
  <w:num w:numId="44">
    <w:abstractNumId w:val="11"/>
  </w:num>
  <w:num w:numId="45">
    <w:abstractNumId w:val="14"/>
  </w:num>
  <w:num w:numId="46">
    <w:abstractNumId w:val="8"/>
  </w:num>
  <w:num w:numId="47">
    <w:abstractNumId w:val="5"/>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13516"/>
    <w:rsid w:val="00050494"/>
    <w:rsid w:val="0007101A"/>
    <w:rsid w:val="00074FED"/>
    <w:rsid w:val="0008612A"/>
    <w:rsid w:val="000B0056"/>
    <w:rsid w:val="000B005F"/>
    <w:rsid w:val="000B050A"/>
    <w:rsid w:val="000D4E89"/>
    <w:rsid w:val="000E0505"/>
    <w:rsid w:val="00100DF1"/>
    <w:rsid w:val="00107708"/>
    <w:rsid w:val="00110A1D"/>
    <w:rsid w:val="00126990"/>
    <w:rsid w:val="001625F8"/>
    <w:rsid w:val="001745F8"/>
    <w:rsid w:val="001754B4"/>
    <w:rsid w:val="00176671"/>
    <w:rsid w:val="001838CF"/>
    <w:rsid w:val="001841C4"/>
    <w:rsid w:val="0019443D"/>
    <w:rsid w:val="001B0034"/>
    <w:rsid w:val="001B57DE"/>
    <w:rsid w:val="001C5304"/>
    <w:rsid w:val="001E30F6"/>
    <w:rsid w:val="00220ED5"/>
    <w:rsid w:val="002316D0"/>
    <w:rsid w:val="00235F5C"/>
    <w:rsid w:val="00256EAB"/>
    <w:rsid w:val="00274FE4"/>
    <w:rsid w:val="002A37E4"/>
    <w:rsid w:val="002A71D5"/>
    <w:rsid w:val="002B020D"/>
    <w:rsid w:val="002B4922"/>
    <w:rsid w:val="002C2D19"/>
    <w:rsid w:val="002D10FA"/>
    <w:rsid w:val="002D4C55"/>
    <w:rsid w:val="0032623A"/>
    <w:rsid w:val="00370383"/>
    <w:rsid w:val="0038214C"/>
    <w:rsid w:val="00397593"/>
    <w:rsid w:val="003B659E"/>
    <w:rsid w:val="003F5269"/>
    <w:rsid w:val="00410C1C"/>
    <w:rsid w:val="00417AA0"/>
    <w:rsid w:val="0043750A"/>
    <w:rsid w:val="00443559"/>
    <w:rsid w:val="00450F5D"/>
    <w:rsid w:val="00463825"/>
    <w:rsid w:val="0047067B"/>
    <w:rsid w:val="004B7B4A"/>
    <w:rsid w:val="004C1EB4"/>
    <w:rsid w:val="004D7F9F"/>
    <w:rsid w:val="004E27A4"/>
    <w:rsid w:val="004E5E66"/>
    <w:rsid w:val="004F3D3B"/>
    <w:rsid w:val="00503B4D"/>
    <w:rsid w:val="00504EE9"/>
    <w:rsid w:val="005240B7"/>
    <w:rsid w:val="0054442C"/>
    <w:rsid w:val="00550285"/>
    <w:rsid w:val="005836F8"/>
    <w:rsid w:val="005918FA"/>
    <w:rsid w:val="005D0338"/>
    <w:rsid w:val="005E61A8"/>
    <w:rsid w:val="005F6419"/>
    <w:rsid w:val="00617400"/>
    <w:rsid w:val="00640275"/>
    <w:rsid w:val="00660DC2"/>
    <w:rsid w:val="00662740"/>
    <w:rsid w:val="00664950"/>
    <w:rsid w:val="006764BB"/>
    <w:rsid w:val="00683220"/>
    <w:rsid w:val="00687FA0"/>
    <w:rsid w:val="006B2AF8"/>
    <w:rsid w:val="006B7010"/>
    <w:rsid w:val="006F4187"/>
    <w:rsid w:val="00702B7D"/>
    <w:rsid w:val="007145FF"/>
    <w:rsid w:val="00751515"/>
    <w:rsid w:val="00754AAA"/>
    <w:rsid w:val="00785232"/>
    <w:rsid w:val="007A6422"/>
    <w:rsid w:val="007C33D9"/>
    <w:rsid w:val="007C3ED0"/>
    <w:rsid w:val="007C4C53"/>
    <w:rsid w:val="007F649C"/>
    <w:rsid w:val="007F6B81"/>
    <w:rsid w:val="00806A76"/>
    <w:rsid w:val="00811C9D"/>
    <w:rsid w:val="00816C80"/>
    <w:rsid w:val="00820C48"/>
    <w:rsid w:val="00835C66"/>
    <w:rsid w:val="00841BCD"/>
    <w:rsid w:val="008826C1"/>
    <w:rsid w:val="008A23C5"/>
    <w:rsid w:val="008C37E4"/>
    <w:rsid w:val="008C6F57"/>
    <w:rsid w:val="009042BD"/>
    <w:rsid w:val="009153D4"/>
    <w:rsid w:val="00921C13"/>
    <w:rsid w:val="009249B4"/>
    <w:rsid w:val="00977E1D"/>
    <w:rsid w:val="009830D1"/>
    <w:rsid w:val="00985EAF"/>
    <w:rsid w:val="0099686D"/>
    <w:rsid w:val="009B2113"/>
    <w:rsid w:val="009C0262"/>
    <w:rsid w:val="009C3226"/>
    <w:rsid w:val="009C4527"/>
    <w:rsid w:val="009E3C11"/>
    <w:rsid w:val="00A0203F"/>
    <w:rsid w:val="00A02AF0"/>
    <w:rsid w:val="00A077CE"/>
    <w:rsid w:val="00A15A9F"/>
    <w:rsid w:val="00A22B78"/>
    <w:rsid w:val="00A25AE5"/>
    <w:rsid w:val="00A37002"/>
    <w:rsid w:val="00A506FD"/>
    <w:rsid w:val="00A7492F"/>
    <w:rsid w:val="00A86E66"/>
    <w:rsid w:val="00A95C98"/>
    <w:rsid w:val="00AA1B0E"/>
    <w:rsid w:val="00AA1C57"/>
    <w:rsid w:val="00AA1E5C"/>
    <w:rsid w:val="00AC1214"/>
    <w:rsid w:val="00AC2B38"/>
    <w:rsid w:val="00AC5CA7"/>
    <w:rsid w:val="00AE56B1"/>
    <w:rsid w:val="00AE6451"/>
    <w:rsid w:val="00B022FD"/>
    <w:rsid w:val="00B16397"/>
    <w:rsid w:val="00B53D00"/>
    <w:rsid w:val="00B5454D"/>
    <w:rsid w:val="00B651EE"/>
    <w:rsid w:val="00B73862"/>
    <w:rsid w:val="00B74C1F"/>
    <w:rsid w:val="00B8606D"/>
    <w:rsid w:val="00BA6E48"/>
    <w:rsid w:val="00BE2196"/>
    <w:rsid w:val="00BF2218"/>
    <w:rsid w:val="00BF399A"/>
    <w:rsid w:val="00C04855"/>
    <w:rsid w:val="00C0541A"/>
    <w:rsid w:val="00C073BD"/>
    <w:rsid w:val="00C203DD"/>
    <w:rsid w:val="00C42272"/>
    <w:rsid w:val="00C42DCE"/>
    <w:rsid w:val="00C74935"/>
    <w:rsid w:val="00C83C46"/>
    <w:rsid w:val="00CB5915"/>
    <w:rsid w:val="00CD5959"/>
    <w:rsid w:val="00CD7492"/>
    <w:rsid w:val="00CE1EBA"/>
    <w:rsid w:val="00CE3A6B"/>
    <w:rsid w:val="00D00211"/>
    <w:rsid w:val="00D03FC6"/>
    <w:rsid w:val="00D06309"/>
    <w:rsid w:val="00D351EA"/>
    <w:rsid w:val="00D43403"/>
    <w:rsid w:val="00D62E71"/>
    <w:rsid w:val="00D718F1"/>
    <w:rsid w:val="00D740CA"/>
    <w:rsid w:val="00D762F2"/>
    <w:rsid w:val="00D82C09"/>
    <w:rsid w:val="00D85728"/>
    <w:rsid w:val="00D90150"/>
    <w:rsid w:val="00DA7616"/>
    <w:rsid w:val="00DB0297"/>
    <w:rsid w:val="00DF2997"/>
    <w:rsid w:val="00E20ED2"/>
    <w:rsid w:val="00E246CE"/>
    <w:rsid w:val="00E31948"/>
    <w:rsid w:val="00E52560"/>
    <w:rsid w:val="00E53F93"/>
    <w:rsid w:val="00E6410D"/>
    <w:rsid w:val="00E80E17"/>
    <w:rsid w:val="00E8297E"/>
    <w:rsid w:val="00E93772"/>
    <w:rsid w:val="00EB55EA"/>
    <w:rsid w:val="00EC7BC3"/>
    <w:rsid w:val="00ED7600"/>
    <w:rsid w:val="00EE15DB"/>
    <w:rsid w:val="00EE7CB7"/>
    <w:rsid w:val="00EF236A"/>
    <w:rsid w:val="00F03CC9"/>
    <w:rsid w:val="00F1362C"/>
    <w:rsid w:val="00F14809"/>
    <w:rsid w:val="00F34499"/>
    <w:rsid w:val="00F44843"/>
    <w:rsid w:val="00F45713"/>
    <w:rsid w:val="00F52735"/>
    <w:rsid w:val="00F64F6E"/>
    <w:rsid w:val="00F824F5"/>
    <w:rsid w:val="00FC29B9"/>
    <w:rsid w:val="00FC3EA3"/>
    <w:rsid w:val="00FC6FD3"/>
    <w:rsid w:val="00FC7B92"/>
    <w:rsid w:val="00FE12A5"/>
    <w:rsid w:val="00FE2CD2"/>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5240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5240B7"/>
    <w:rPr>
      <w:rFonts w:asciiTheme="majorHAnsi" w:eastAsiaTheme="majorEastAsia" w:hAnsiTheme="majorHAnsi" w:cstheme="majorBidi"/>
      <w:i/>
      <w:iCs/>
      <w:color w:val="2F5496" w:themeColor="accent1" w:themeShade="BF"/>
      <w:sz w:val="20"/>
    </w:rPr>
  </w:style>
  <w:style w:type="paragraph" w:customStyle="1" w:styleId="B1">
    <w:name w:val="B1"/>
    <w:basedOn w:val="Normal"/>
    <w:link w:val="B1Char"/>
    <w:rsid w:val="00F64F6E"/>
    <w:pPr>
      <w:spacing w:before="0" w:after="180" w:line="240" w:lineRule="auto"/>
      <w:ind w:left="568" w:hanging="284"/>
    </w:pPr>
    <w:rPr>
      <w:rFonts w:eastAsia="宋体" w:cs="Times New Roman"/>
      <w:szCs w:val="20"/>
      <w:lang w:val="en-GB"/>
    </w:rPr>
  </w:style>
  <w:style w:type="character" w:customStyle="1" w:styleId="B1Char">
    <w:name w:val="B1 Char"/>
    <w:link w:val="B1"/>
    <w:rsid w:val="00F64F6E"/>
    <w:rPr>
      <w:rFonts w:ascii="Times New Roman" w:eastAsia="宋体" w:hAnsi="Times New Roman" w:cs="Times New Roman"/>
      <w:sz w:val="20"/>
      <w:szCs w:val="20"/>
      <w:lang w:val="en-GB"/>
    </w:rPr>
  </w:style>
  <w:style w:type="table" w:customStyle="1" w:styleId="TableGrid2">
    <w:name w:val="Table Grid2"/>
    <w:basedOn w:val="TableNormal"/>
    <w:next w:val="TableGrid"/>
    <w:uiPriority w:val="39"/>
    <w:rsid w:val="00013516"/>
    <w:pPr>
      <w:spacing w:after="0" w:line="240" w:lineRule="auto"/>
    </w:pPr>
    <w:rPr>
      <w:rFonts w:ascii="Arial" w:eastAsiaTheme="minorHAnsi"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622276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44">
          <w:marLeft w:val="547"/>
          <w:marRight w:val="0"/>
          <w:marTop w:val="96"/>
          <w:marBottom w:val="0"/>
          <w:divBdr>
            <w:top w:val="none" w:sz="0" w:space="0" w:color="auto"/>
            <w:left w:val="none" w:sz="0" w:space="0" w:color="auto"/>
            <w:bottom w:val="none" w:sz="0" w:space="0" w:color="auto"/>
            <w:right w:val="none" w:sz="0" w:space="0" w:color="auto"/>
          </w:divBdr>
        </w:div>
        <w:div w:id="496774850">
          <w:marLeft w:val="1166"/>
          <w:marRight w:val="0"/>
          <w:marTop w:val="96"/>
          <w:marBottom w:val="0"/>
          <w:divBdr>
            <w:top w:val="none" w:sz="0" w:space="0" w:color="auto"/>
            <w:left w:val="none" w:sz="0" w:space="0" w:color="auto"/>
            <w:bottom w:val="none" w:sz="0" w:space="0" w:color="auto"/>
            <w:right w:val="none" w:sz="0" w:space="0" w:color="auto"/>
          </w:divBdr>
        </w:div>
        <w:div w:id="1821387091">
          <w:marLeft w:val="1166"/>
          <w:marRight w:val="0"/>
          <w:marTop w:val="96"/>
          <w:marBottom w:val="0"/>
          <w:divBdr>
            <w:top w:val="none" w:sz="0" w:space="0" w:color="auto"/>
            <w:left w:val="none" w:sz="0" w:space="0" w:color="auto"/>
            <w:bottom w:val="none" w:sz="0" w:space="0" w:color="auto"/>
            <w:right w:val="none" w:sz="0" w:space="0" w:color="auto"/>
          </w:divBdr>
        </w:div>
        <w:div w:id="2030794351">
          <w:marLeft w:val="1166"/>
          <w:marRight w:val="0"/>
          <w:marTop w:val="96"/>
          <w:marBottom w:val="0"/>
          <w:divBdr>
            <w:top w:val="none" w:sz="0" w:space="0" w:color="auto"/>
            <w:left w:val="none" w:sz="0" w:space="0" w:color="auto"/>
            <w:bottom w:val="none" w:sz="0" w:space="0" w:color="auto"/>
            <w:right w:val="none" w:sz="0" w:space="0" w:color="auto"/>
          </w:divBdr>
        </w:div>
        <w:div w:id="250772829">
          <w:marLeft w:val="1800"/>
          <w:marRight w:val="0"/>
          <w:marTop w:val="86"/>
          <w:marBottom w:val="0"/>
          <w:divBdr>
            <w:top w:val="none" w:sz="0" w:space="0" w:color="auto"/>
            <w:left w:val="none" w:sz="0" w:space="0" w:color="auto"/>
            <w:bottom w:val="none" w:sz="0" w:space="0" w:color="auto"/>
            <w:right w:val="none" w:sz="0" w:space="0" w:color="auto"/>
          </w:divBdr>
        </w:div>
        <w:div w:id="1549301909">
          <w:marLeft w:val="1166"/>
          <w:marRight w:val="0"/>
          <w:marTop w:val="96"/>
          <w:marBottom w:val="0"/>
          <w:divBdr>
            <w:top w:val="none" w:sz="0" w:space="0" w:color="auto"/>
            <w:left w:val="none" w:sz="0" w:space="0" w:color="auto"/>
            <w:bottom w:val="none" w:sz="0" w:space="0" w:color="auto"/>
            <w:right w:val="none" w:sz="0" w:space="0" w:color="auto"/>
          </w:divBdr>
        </w:div>
        <w:div w:id="254019383">
          <w:marLeft w:val="1166"/>
          <w:marRight w:val="0"/>
          <w:marTop w:val="96"/>
          <w:marBottom w:val="0"/>
          <w:divBdr>
            <w:top w:val="none" w:sz="0" w:space="0" w:color="auto"/>
            <w:left w:val="none" w:sz="0" w:space="0" w:color="auto"/>
            <w:bottom w:val="none" w:sz="0" w:space="0" w:color="auto"/>
            <w:right w:val="none" w:sz="0" w:space="0" w:color="auto"/>
          </w:divBdr>
        </w:div>
        <w:div w:id="821233614">
          <w:marLeft w:val="1800"/>
          <w:marRight w:val="0"/>
          <w:marTop w:val="86"/>
          <w:marBottom w:val="0"/>
          <w:divBdr>
            <w:top w:val="none" w:sz="0" w:space="0" w:color="auto"/>
            <w:left w:val="none" w:sz="0" w:space="0" w:color="auto"/>
            <w:bottom w:val="none" w:sz="0" w:space="0" w:color="auto"/>
            <w:right w:val="none" w:sz="0" w:space="0" w:color="auto"/>
          </w:divBdr>
        </w:div>
        <w:div w:id="207146">
          <w:marLeft w:val="1800"/>
          <w:marRight w:val="0"/>
          <w:marTop w:val="86"/>
          <w:marBottom w:val="0"/>
          <w:divBdr>
            <w:top w:val="none" w:sz="0" w:space="0" w:color="auto"/>
            <w:left w:val="none" w:sz="0" w:space="0" w:color="auto"/>
            <w:bottom w:val="none" w:sz="0" w:space="0" w:color="auto"/>
            <w:right w:val="none" w:sz="0" w:space="0" w:color="auto"/>
          </w:divBdr>
        </w:div>
        <w:div w:id="1335184200">
          <w:marLeft w:val="2520"/>
          <w:marRight w:val="0"/>
          <w:marTop w:val="77"/>
          <w:marBottom w:val="0"/>
          <w:divBdr>
            <w:top w:val="none" w:sz="0" w:space="0" w:color="auto"/>
            <w:left w:val="none" w:sz="0" w:space="0" w:color="auto"/>
            <w:bottom w:val="none" w:sz="0" w:space="0" w:color="auto"/>
            <w:right w:val="none" w:sz="0" w:space="0" w:color="auto"/>
          </w:divBdr>
        </w:div>
        <w:div w:id="352538673">
          <w:marLeft w:val="1800"/>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9832390">
      <w:bodyDiv w:val="1"/>
      <w:marLeft w:val="0"/>
      <w:marRight w:val="0"/>
      <w:marTop w:val="0"/>
      <w:marBottom w:val="0"/>
      <w:divBdr>
        <w:top w:val="none" w:sz="0" w:space="0" w:color="auto"/>
        <w:left w:val="none" w:sz="0" w:space="0" w:color="auto"/>
        <w:bottom w:val="none" w:sz="0" w:space="0" w:color="auto"/>
        <w:right w:val="none" w:sz="0" w:space="0" w:color="auto"/>
      </w:divBdr>
      <w:divsChild>
        <w:div w:id="1288201500">
          <w:marLeft w:val="547"/>
          <w:marRight w:val="0"/>
          <w:marTop w:val="96"/>
          <w:marBottom w:val="0"/>
          <w:divBdr>
            <w:top w:val="none" w:sz="0" w:space="0" w:color="auto"/>
            <w:left w:val="none" w:sz="0" w:space="0" w:color="auto"/>
            <w:bottom w:val="none" w:sz="0" w:space="0" w:color="auto"/>
            <w:right w:val="none" w:sz="0" w:space="0" w:color="auto"/>
          </w:divBdr>
        </w:div>
        <w:div w:id="2027171223">
          <w:marLeft w:val="1166"/>
          <w:marRight w:val="0"/>
          <w:marTop w:val="96"/>
          <w:marBottom w:val="0"/>
          <w:divBdr>
            <w:top w:val="none" w:sz="0" w:space="0" w:color="auto"/>
            <w:left w:val="none" w:sz="0" w:space="0" w:color="auto"/>
            <w:bottom w:val="none" w:sz="0" w:space="0" w:color="auto"/>
            <w:right w:val="none" w:sz="0" w:space="0" w:color="auto"/>
          </w:divBdr>
        </w:div>
        <w:div w:id="1203859470">
          <w:marLeft w:val="1166"/>
          <w:marRight w:val="0"/>
          <w:marTop w:val="96"/>
          <w:marBottom w:val="0"/>
          <w:divBdr>
            <w:top w:val="none" w:sz="0" w:space="0" w:color="auto"/>
            <w:left w:val="none" w:sz="0" w:space="0" w:color="auto"/>
            <w:bottom w:val="none" w:sz="0" w:space="0" w:color="auto"/>
            <w:right w:val="none" w:sz="0" w:space="0" w:color="auto"/>
          </w:divBdr>
        </w:div>
        <w:div w:id="1919170317">
          <w:marLeft w:val="1166"/>
          <w:marRight w:val="0"/>
          <w:marTop w:val="96"/>
          <w:marBottom w:val="0"/>
          <w:divBdr>
            <w:top w:val="none" w:sz="0" w:space="0" w:color="auto"/>
            <w:left w:val="none" w:sz="0" w:space="0" w:color="auto"/>
            <w:bottom w:val="none" w:sz="0" w:space="0" w:color="auto"/>
            <w:right w:val="none" w:sz="0" w:space="0" w:color="auto"/>
          </w:divBdr>
        </w:div>
        <w:div w:id="1980958649">
          <w:marLeft w:val="1800"/>
          <w:marRight w:val="0"/>
          <w:marTop w:val="86"/>
          <w:marBottom w:val="0"/>
          <w:divBdr>
            <w:top w:val="none" w:sz="0" w:space="0" w:color="auto"/>
            <w:left w:val="none" w:sz="0" w:space="0" w:color="auto"/>
            <w:bottom w:val="none" w:sz="0" w:space="0" w:color="auto"/>
            <w:right w:val="none" w:sz="0" w:space="0" w:color="auto"/>
          </w:divBdr>
        </w:div>
        <w:div w:id="166673076">
          <w:marLeft w:val="1166"/>
          <w:marRight w:val="0"/>
          <w:marTop w:val="96"/>
          <w:marBottom w:val="0"/>
          <w:divBdr>
            <w:top w:val="none" w:sz="0" w:space="0" w:color="auto"/>
            <w:left w:val="none" w:sz="0" w:space="0" w:color="auto"/>
            <w:bottom w:val="none" w:sz="0" w:space="0" w:color="auto"/>
            <w:right w:val="none" w:sz="0" w:space="0" w:color="auto"/>
          </w:divBdr>
        </w:div>
        <w:div w:id="903369257">
          <w:marLeft w:val="1166"/>
          <w:marRight w:val="0"/>
          <w:marTop w:val="96"/>
          <w:marBottom w:val="0"/>
          <w:divBdr>
            <w:top w:val="none" w:sz="0" w:space="0" w:color="auto"/>
            <w:left w:val="none" w:sz="0" w:space="0" w:color="auto"/>
            <w:bottom w:val="none" w:sz="0" w:space="0" w:color="auto"/>
            <w:right w:val="none" w:sz="0" w:space="0" w:color="auto"/>
          </w:divBdr>
        </w:div>
        <w:div w:id="1908295526">
          <w:marLeft w:val="1800"/>
          <w:marRight w:val="0"/>
          <w:marTop w:val="86"/>
          <w:marBottom w:val="0"/>
          <w:divBdr>
            <w:top w:val="none" w:sz="0" w:space="0" w:color="auto"/>
            <w:left w:val="none" w:sz="0" w:space="0" w:color="auto"/>
            <w:bottom w:val="none" w:sz="0" w:space="0" w:color="auto"/>
            <w:right w:val="none" w:sz="0" w:space="0" w:color="auto"/>
          </w:divBdr>
        </w:div>
        <w:div w:id="2015953463">
          <w:marLeft w:val="1800"/>
          <w:marRight w:val="0"/>
          <w:marTop w:val="86"/>
          <w:marBottom w:val="0"/>
          <w:divBdr>
            <w:top w:val="none" w:sz="0" w:space="0" w:color="auto"/>
            <w:left w:val="none" w:sz="0" w:space="0" w:color="auto"/>
            <w:bottom w:val="none" w:sz="0" w:space="0" w:color="auto"/>
            <w:right w:val="none" w:sz="0" w:space="0" w:color="auto"/>
          </w:divBdr>
        </w:div>
        <w:div w:id="120419117">
          <w:marLeft w:val="2520"/>
          <w:marRight w:val="0"/>
          <w:marTop w:val="77"/>
          <w:marBottom w:val="0"/>
          <w:divBdr>
            <w:top w:val="none" w:sz="0" w:space="0" w:color="auto"/>
            <w:left w:val="none" w:sz="0" w:space="0" w:color="auto"/>
            <w:bottom w:val="none" w:sz="0" w:space="0" w:color="auto"/>
            <w:right w:val="none" w:sz="0" w:space="0" w:color="auto"/>
          </w:divBdr>
        </w:div>
        <w:div w:id="1971549113">
          <w:marLeft w:val="1800"/>
          <w:marRight w:val="0"/>
          <w:marTop w:val="8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38215373">
      <w:bodyDiv w:val="1"/>
      <w:marLeft w:val="0"/>
      <w:marRight w:val="0"/>
      <w:marTop w:val="0"/>
      <w:marBottom w:val="0"/>
      <w:divBdr>
        <w:top w:val="none" w:sz="0" w:space="0" w:color="auto"/>
        <w:left w:val="none" w:sz="0" w:space="0" w:color="auto"/>
        <w:bottom w:val="none" w:sz="0" w:space="0" w:color="auto"/>
        <w:right w:val="none" w:sz="0" w:space="0" w:color="auto"/>
      </w:divBdr>
      <w:divsChild>
        <w:div w:id="477650647">
          <w:marLeft w:val="547"/>
          <w:marRight w:val="0"/>
          <w:marTop w:val="96"/>
          <w:marBottom w:val="0"/>
          <w:divBdr>
            <w:top w:val="none" w:sz="0" w:space="0" w:color="auto"/>
            <w:left w:val="none" w:sz="0" w:space="0" w:color="auto"/>
            <w:bottom w:val="none" w:sz="0" w:space="0" w:color="auto"/>
            <w:right w:val="none" w:sz="0" w:space="0" w:color="auto"/>
          </w:divBdr>
        </w:div>
        <w:div w:id="830173806">
          <w:marLeft w:val="1166"/>
          <w:marRight w:val="0"/>
          <w:marTop w:val="96"/>
          <w:marBottom w:val="0"/>
          <w:divBdr>
            <w:top w:val="none" w:sz="0" w:space="0" w:color="auto"/>
            <w:left w:val="none" w:sz="0" w:space="0" w:color="auto"/>
            <w:bottom w:val="none" w:sz="0" w:space="0" w:color="auto"/>
            <w:right w:val="none" w:sz="0" w:space="0" w:color="auto"/>
          </w:divBdr>
        </w:div>
        <w:div w:id="336347411">
          <w:marLeft w:val="1166"/>
          <w:marRight w:val="0"/>
          <w:marTop w:val="96"/>
          <w:marBottom w:val="0"/>
          <w:divBdr>
            <w:top w:val="none" w:sz="0" w:space="0" w:color="auto"/>
            <w:left w:val="none" w:sz="0" w:space="0" w:color="auto"/>
            <w:bottom w:val="none" w:sz="0" w:space="0" w:color="auto"/>
            <w:right w:val="none" w:sz="0" w:space="0" w:color="auto"/>
          </w:divBdr>
        </w:div>
        <w:div w:id="2079548210">
          <w:marLeft w:val="1166"/>
          <w:marRight w:val="0"/>
          <w:marTop w:val="96"/>
          <w:marBottom w:val="0"/>
          <w:divBdr>
            <w:top w:val="none" w:sz="0" w:space="0" w:color="auto"/>
            <w:left w:val="none" w:sz="0" w:space="0" w:color="auto"/>
            <w:bottom w:val="none" w:sz="0" w:space="0" w:color="auto"/>
            <w:right w:val="none" w:sz="0" w:space="0" w:color="auto"/>
          </w:divBdr>
        </w:div>
        <w:div w:id="456417664">
          <w:marLeft w:val="1800"/>
          <w:marRight w:val="0"/>
          <w:marTop w:val="86"/>
          <w:marBottom w:val="0"/>
          <w:divBdr>
            <w:top w:val="none" w:sz="0" w:space="0" w:color="auto"/>
            <w:left w:val="none" w:sz="0" w:space="0" w:color="auto"/>
            <w:bottom w:val="none" w:sz="0" w:space="0" w:color="auto"/>
            <w:right w:val="none" w:sz="0" w:space="0" w:color="auto"/>
          </w:divBdr>
        </w:div>
        <w:div w:id="1253048818">
          <w:marLeft w:val="1166"/>
          <w:marRight w:val="0"/>
          <w:marTop w:val="96"/>
          <w:marBottom w:val="0"/>
          <w:divBdr>
            <w:top w:val="none" w:sz="0" w:space="0" w:color="auto"/>
            <w:left w:val="none" w:sz="0" w:space="0" w:color="auto"/>
            <w:bottom w:val="none" w:sz="0" w:space="0" w:color="auto"/>
            <w:right w:val="none" w:sz="0" w:space="0" w:color="auto"/>
          </w:divBdr>
        </w:div>
        <w:div w:id="867110831">
          <w:marLeft w:val="1166"/>
          <w:marRight w:val="0"/>
          <w:marTop w:val="96"/>
          <w:marBottom w:val="0"/>
          <w:divBdr>
            <w:top w:val="none" w:sz="0" w:space="0" w:color="auto"/>
            <w:left w:val="none" w:sz="0" w:space="0" w:color="auto"/>
            <w:bottom w:val="none" w:sz="0" w:space="0" w:color="auto"/>
            <w:right w:val="none" w:sz="0" w:space="0" w:color="auto"/>
          </w:divBdr>
        </w:div>
        <w:div w:id="1601795317">
          <w:marLeft w:val="1800"/>
          <w:marRight w:val="0"/>
          <w:marTop w:val="86"/>
          <w:marBottom w:val="0"/>
          <w:divBdr>
            <w:top w:val="none" w:sz="0" w:space="0" w:color="auto"/>
            <w:left w:val="none" w:sz="0" w:space="0" w:color="auto"/>
            <w:bottom w:val="none" w:sz="0" w:space="0" w:color="auto"/>
            <w:right w:val="none" w:sz="0" w:space="0" w:color="auto"/>
          </w:divBdr>
        </w:div>
        <w:div w:id="783038471">
          <w:marLeft w:val="1800"/>
          <w:marRight w:val="0"/>
          <w:marTop w:val="86"/>
          <w:marBottom w:val="0"/>
          <w:divBdr>
            <w:top w:val="none" w:sz="0" w:space="0" w:color="auto"/>
            <w:left w:val="none" w:sz="0" w:space="0" w:color="auto"/>
            <w:bottom w:val="none" w:sz="0" w:space="0" w:color="auto"/>
            <w:right w:val="none" w:sz="0" w:space="0" w:color="auto"/>
          </w:divBdr>
        </w:div>
        <w:div w:id="786393522">
          <w:marLeft w:val="2520"/>
          <w:marRight w:val="0"/>
          <w:marTop w:val="77"/>
          <w:marBottom w:val="0"/>
          <w:divBdr>
            <w:top w:val="none" w:sz="0" w:space="0" w:color="auto"/>
            <w:left w:val="none" w:sz="0" w:space="0" w:color="auto"/>
            <w:bottom w:val="none" w:sz="0" w:space="0" w:color="auto"/>
            <w:right w:val="none" w:sz="0" w:space="0" w:color="auto"/>
          </w:divBdr>
        </w:div>
        <w:div w:id="1815022784">
          <w:marLeft w:val="1800"/>
          <w:marRight w:val="0"/>
          <w:marTop w:val="86"/>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7567475">
      <w:bodyDiv w:val="1"/>
      <w:marLeft w:val="0"/>
      <w:marRight w:val="0"/>
      <w:marTop w:val="0"/>
      <w:marBottom w:val="0"/>
      <w:divBdr>
        <w:top w:val="none" w:sz="0" w:space="0" w:color="auto"/>
        <w:left w:val="none" w:sz="0" w:space="0" w:color="auto"/>
        <w:bottom w:val="none" w:sz="0" w:space="0" w:color="auto"/>
        <w:right w:val="none" w:sz="0" w:space="0" w:color="auto"/>
      </w:divBdr>
      <w:divsChild>
        <w:div w:id="726759045">
          <w:marLeft w:val="547"/>
          <w:marRight w:val="0"/>
          <w:marTop w:val="96"/>
          <w:marBottom w:val="0"/>
          <w:divBdr>
            <w:top w:val="none" w:sz="0" w:space="0" w:color="auto"/>
            <w:left w:val="none" w:sz="0" w:space="0" w:color="auto"/>
            <w:bottom w:val="none" w:sz="0" w:space="0" w:color="auto"/>
            <w:right w:val="none" w:sz="0" w:space="0" w:color="auto"/>
          </w:divBdr>
        </w:div>
        <w:div w:id="908685700">
          <w:marLeft w:val="1166"/>
          <w:marRight w:val="0"/>
          <w:marTop w:val="96"/>
          <w:marBottom w:val="0"/>
          <w:divBdr>
            <w:top w:val="none" w:sz="0" w:space="0" w:color="auto"/>
            <w:left w:val="none" w:sz="0" w:space="0" w:color="auto"/>
            <w:bottom w:val="none" w:sz="0" w:space="0" w:color="auto"/>
            <w:right w:val="none" w:sz="0" w:space="0" w:color="auto"/>
          </w:divBdr>
        </w:div>
        <w:div w:id="246571922">
          <w:marLeft w:val="1800"/>
          <w:marRight w:val="0"/>
          <w:marTop w:val="86"/>
          <w:marBottom w:val="0"/>
          <w:divBdr>
            <w:top w:val="none" w:sz="0" w:space="0" w:color="auto"/>
            <w:left w:val="none" w:sz="0" w:space="0" w:color="auto"/>
            <w:bottom w:val="none" w:sz="0" w:space="0" w:color="auto"/>
            <w:right w:val="none" w:sz="0" w:space="0" w:color="auto"/>
          </w:divBdr>
        </w:div>
        <w:div w:id="662512190">
          <w:marLeft w:val="1800"/>
          <w:marRight w:val="0"/>
          <w:marTop w:val="86"/>
          <w:marBottom w:val="0"/>
          <w:divBdr>
            <w:top w:val="none" w:sz="0" w:space="0" w:color="auto"/>
            <w:left w:val="none" w:sz="0" w:space="0" w:color="auto"/>
            <w:bottom w:val="none" w:sz="0" w:space="0" w:color="auto"/>
            <w:right w:val="none" w:sz="0" w:space="0" w:color="auto"/>
          </w:divBdr>
        </w:div>
        <w:div w:id="1892226533">
          <w:marLeft w:val="547"/>
          <w:marRight w:val="0"/>
          <w:marTop w:val="96"/>
          <w:marBottom w:val="0"/>
          <w:divBdr>
            <w:top w:val="none" w:sz="0" w:space="0" w:color="auto"/>
            <w:left w:val="none" w:sz="0" w:space="0" w:color="auto"/>
            <w:bottom w:val="none" w:sz="0" w:space="0" w:color="auto"/>
            <w:right w:val="none" w:sz="0" w:space="0" w:color="auto"/>
          </w:divBdr>
        </w:div>
        <w:div w:id="1352495081">
          <w:marLeft w:val="1166"/>
          <w:marRight w:val="0"/>
          <w:marTop w:val="96"/>
          <w:marBottom w:val="0"/>
          <w:divBdr>
            <w:top w:val="none" w:sz="0" w:space="0" w:color="auto"/>
            <w:left w:val="none" w:sz="0" w:space="0" w:color="auto"/>
            <w:bottom w:val="none" w:sz="0" w:space="0" w:color="auto"/>
            <w:right w:val="none" w:sz="0" w:space="0" w:color="auto"/>
          </w:divBdr>
        </w:div>
        <w:div w:id="652371657">
          <w:marLeft w:val="1166"/>
          <w:marRight w:val="0"/>
          <w:marTop w:val="96"/>
          <w:marBottom w:val="0"/>
          <w:divBdr>
            <w:top w:val="none" w:sz="0" w:space="0" w:color="auto"/>
            <w:left w:val="none" w:sz="0" w:space="0" w:color="auto"/>
            <w:bottom w:val="none" w:sz="0" w:space="0" w:color="auto"/>
            <w:right w:val="none" w:sz="0" w:space="0" w:color="auto"/>
          </w:divBdr>
        </w:div>
      </w:divsChild>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50790328">
      <w:bodyDiv w:val="1"/>
      <w:marLeft w:val="0"/>
      <w:marRight w:val="0"/>
      <w:marTop w:val="0"/>
      <w:marBottom w:val="0"/>
      <w:divBdr>
        <w:top w:val="none" w:sz="0" w:space="0" w:color="auto"/>
        <w:left w:val="none" w:sz="0" w:space="0" w:color="auto"/>
        <w:bottom w:val="none" w:sz="0" w:space="0" w:color="auto"/>
        <w:right w:val="none" w:sz="0" w:space="0" w:color="auto"/>
      </w:divBdr>
      <w:divsChild>
        <w:div w:id="1706366727">
          <w:marLeft w:val="547"/>
          <w:marRight w:val="0"/>
          <w:marTop w:val="96"/>
          <w:marBottom w:val="0"/>
          <w:divBdr>
            <w:top w:val="none" w:sz="0" w:space="0" w:color="auto"/>
            <w:left w:val="none" w:sz="0" w:space="0" w:color="auto"/>
            <w:bottom w:val="none" w:sz="0" w:space="0" w:color="auto"/>
            <w:right w:val="none" w:sz="0" w:space="0" w:color="auto"/>
          </w:divBdr>
        </w:div>
        <w:div w:id="1847937700">
          <w:marLeft w:val="1166"/>
          <w:marRight w:val="0"/>
          <w:marTop w:val="96"/>
          <w:marBottom w:val="0"/>
          <w:divBdr>
            <w:top w:val="none" w:sz="0" w:space="0" w:color="auto"/>
            <w:left w:val="none" w:sz="0" w:space="0" w:color="auto"/>
            <w:bottom w:val="none" w:sz="0" w:space="0" w:color="auto"/>
            <w:right w:val="none" w:sz="0" w:space="0" w:color="auto"/>
          </w:divBdr>
        </w:div>
        <w:div w:id="1856772187">
          <w:marLeft w:val="1166"/>
          <w:marRight w:val="0"/>
          <w:marTop w:val="96"/>
          <w:marBottom w:val="0"/>
          <w:divBdr>
            <w:top w:val="none" w:sz="0" w:space="0" w:color="auto"/>
            <w:left w:val="none" w:sz="0" w:space="0" w:color="auto"/>
            <w:bottom w:val="none" w:sz="0" w:space="0" w:color="auto"/>
            <w:right w:val="none" w:sz="0" w:space="0" w:color="auto"/>
          </w:divBdr>
        </w:div>
        <w:div w:id="866336864">
          <w:marLeft w:val="1166"/>
          <w:marRight w:val="0"/>
          <w:marTop w:val="96"/>
          <w:marBottom w:val="0"/>
          <w:divBdr>
            <w:top w:val="none" w:sz="0" w:space="0" w:color="auto"/>
            <w:left w:val="none" w:sz="0" w:space="0" w:color="auto"/>
            <w:bottom w:val="none" w:sz="0" w:space="0" w:color="auto"/>
            <w:right w:val="none" w:sz="0" w:space="0" w:color="auto"/>
          </w:divBdr>
        </w:div>
        <w:div w:id="2145810573">
          <w:marLeft w:val="1800"/>
          <w:marRight w:val="0"/>
          <w:marTop w:val="86"/>
          <w:marBottom w:val="0"/>
          <w:divBdr>
            <w:top w:val="none" w:sz="0" w:space="0" w:color="auto"/>
            <w:left w:val="none" w:sz="0" w:space="0" w:color="auto"/>
            <w:bottom w:val="none" w:sz="0" w:space="0" w:color="auto"/>
            <w:right w:val="none" w:sz="0" w:space="0" w:color="auto"/>
          </w:divBdr>
        </w:div>
        <w:div w:id="1121727188">
          <w:marLeft w:val="1166"/>
          <w:marRight w:val="0"/>
          <w:marTop w:val="96"/>
          <w:marBottom w:val="0"/>
          <w:divBdr>
            <w:top w:val="none" w:sz="0" w:space="0" w:color="auto"/>
            <w:left w:val="none" w:sz="0" w:space="0" w:color="auto"/>
            <w:bottom w:val="none" w:sz="0" w:space="0" w:color="auto"/>
            <w:right w:val="none" w:sz="0" w:space="0" w:color="auto"/>
          </w:divBdr>
        </w:div>
        <w:div w:id="113409170">
          <w:marLeft w:val="1166"/>
          <w:marRight w:val="0"/>
          <w:marTop w:val="96"/>
          <w:marBottom w:val="0"/>
          <w:divBdr>
            <w:top w:val="none" w:sz="0" w:space="0" w:color="auto"/>
            <w:left w:val="none" w:sz="0" w:space="0" w:color="auto"/>
            <w:bottom w:val="none" w:sz="0" w:space="0" w:color="auto"/>
            <w:right w:val="none" w:sz="0" w:space="0" w:color="auto"/>
          </w:divBdr>
        </w:div>
        <w:div w:id="177936824">
          <w:marLeft w:val="1800"/>
          <w:marRight w:val="0"/>
          <w:marTop w:val="86"/>
          <w:marBottom w:val="0"/>
          <w:divBdr>
            <w:top w:val="none" w:sz="0" w:space="0" w:color="auto"/>
            <w:left w:val="none" w:sz="0" w:space="0" w:color="auto"/>
            <w:bottom w:val="none" w:sz="0" w:space="0" w:color="auto"/>
            <w:right w:val="none" w:sz="0" w:space="0" w:color="auto"/>
          </w:divBdr>
        </w:div>
        <w:div w:id="1354308339">
          <w:marLeft w:val="1800"/>
          <w:marRight w:val="0"/>
          <w:marTop w:val="86"/>
          <w:marBottom w:val="0"/>
          <w:divBdr>
            <w:top w:val="none" w:sz="0" w:space="0" w:color="auto"/>
            <w:left w:val="none" w:sz="0" w:space="0" w:color="auto"/>
            <w:bottom w:val="none" w:sz="0" w:space="0" w:color="auto"/>
            <w:right w:val="none" w:sz="0" w:space="0" w:color="auto"/>
          </w:divBdr>
        </w:div>
        <w:div w:id="834880673">
          <w:marLeft w:val="2520"/>
          <w:marRight w:val="0"/>
          <w:marTop w:val="77"/>
          <w:marBottom w:val="0"/>
          <w:divBdr>
            <w:top w:val="none" w:sz="0" w:space="0" w:color="auto"/>
            <w:left w:val="none" w:sz="0" w:space="0" w:color="auto"/>
            <w:bottom w:val="none" w:sz="0" w:space="0" w:color="auto"/>
            <w:right w:val="none" w:sz="0" w:space="0" w:color="auto"/>
          </w:divBdr>
        </w:div>
        <w:div w:id="367143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959602324">
      <w:bodyDiv w:val="1"/>
      <w:marLeft w:val="0"/>
      <w:marRight w:val="0"/>
      <w:marTop w:val="0"/>
      <w:marBottom w:val="0"/>
      <w:divBdr>
        <w:top w:val="none" w:sz="0" w:space="0" w:color="auto"/>
        <w:left w:val="none" w:sz="0" w:space="0" w:color="auto"/>
        <w:bottom w:val="none" w:sz="0" w:space="0" w:color="auto"/>
        <w:right w:val="none" w:sz="0" w:space="0" w:color="auto"/>
      </w:divBdr>
      <w:divsChild>
        <w:div w:id="1704674562">
          <w:marLeft w:val="1800"/>
          <w:marRight w:val="0"/>
          <w:marTop w:val="86"/>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53EA5-17C1-4511-8E4C-45F97E99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3</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36</cp:revision>
  <dcterms:created xsi:type="dcterms:W3CDTF">2018-05-01T11:51:00Z</dcterms:created>
  <dcterms:modified xsi:type="dcterms:W3CDTF">2018-06-25T18:44:00Z</dcterms:modified>
</cp:coreProperties>
</file>