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8D7F4" w14:textId="25059465" w:rsidR="00A67049" w:rsidRPr="005A1E97" w:rsidRDefault="00A67049" w:rsidP="00A67049">
      <w:pPr>
        <w:pStyle w:val="3GPPHeader"/>
        <w:spacing w:after="60"/>
        <w:rPr>
          <w:sz w:val="32"/>
          <w:szCs w:val="32"/>
          <w:lang w:val="en-US"/>
        </w:rPr>
      </w:pPr>
      <w:bookmarkStart w:id="0" w:name="_Hlk487016860"/>
      <w:bookmarkEnd w:id="0"/>
      <w:r w:rsidRPr="005A1E97">
        <w:rPr>
          <w:lang w:val="en-US"/>
        </w:rPr>
        <w:t>3</w:t>
      </w:r>
      <w:r>
        <w:rPr>
          <w:lang w:val="en-US"/>
        </w:rPr>
        <w:t>GPP TSG-RAN WG4 AH1</w:t>
      </w:r>
      <w:r w:rsidRPr="005A1E97">
        <w:rPr>
          <w:lang w:val="en-US"/>
        </w:rPr>
        <w:tab/>
      </w:r>
      <w:r w:rsidRPr="005A1E97">
        <w:rPr>
          <w:sz w:val="32"/>
          <w:szCs w:val="32"/>
          <w:lang w:val="en-US"/>
        </w:rPr>
        <w:t>R4-</w:t>
      </w:r>
      <w:r w:rsidRPr="001E5AE4">
        <w:t xml:space="preserve"> </w:t>
      </w:r>
      <w:r>
        <w:rPr>
          <w:sz w:val="32"/>
          <w:szCs w:val="32"/>
          <w:lang w:val="en-US"/>
        </w:rPr>
        <w:t>18</w:t>
      </w:r>
      <w:r w:rsidR="00F9629D">
        <w:rPr>
          <w:sz w:val="32"/>
          <w:szCs w:val="32"/>
          <w:lang w:val="en-US"/>
        </w:rPr>
        <w:t>00595</w:t>
      </w:r>
    </w:p>
    <w:p w14:paraId="3AA160C4" w14:textId="77777777" w:rsidR="00A67049" w:rsidRPr="00F6302A" w:rsidRDefault="00A67049" w:rsidP="00A67049">
      <w:pPr>
        <w:pStyle w:val="3GPPHeader"/>
        <w:rPr>
          <w:lang w:val="en-US"/>
        </w:rPr>
      </w:pPr>
      <w:r>
        <w:rPr>
          <w:lang w:val="en-US"/>
        </w:rPr>
        <w:t>San Diego, US, 22</w:t>
      </w:r>
      <w:r w:rsidRPr="001A51B2">
        <w:rPr>
          <w:vertAlign w:val="superscript"/>
          <w:lang w:val="en-US"/>
        </w:rPr>
        <w:t>nd</w:t>
      </w:r>
      <w:r>
        <w:rPr>
          <w:lang w:val="en-US"/>
        </w:rPr>
        <w:t xml:space="preserve">  </w:t>
      </w:r>
      <w:r>
        <w:rPr>
          <w:vertAlign w:val="superscript"/>
          <w:lang w:val="en-US"/>
        </w:rPr>
        <w:t xml:space="preserve"> </w:t>
      </w:r>
      <w:r>
        <w:rPr>
          <w:lang w:val="en-US"/>
        </w:rPr>
        <w:t>– 26</w:t>
      </w:r>
      <w:r w:rsidRPr="00AD212F">
        <w:rPr>
          <w:vertAlign w:val="superscript"/>
          <w:lang w:val="en-US"/>
        </w:rPr>
        <w:t>th</w:t>
      </w:r>
      <w:r>
        <w:rPr>
          <w:lang w:val="en-US"/>
        </w:rPr>
        <w:t xml:space="preserve"> January 2018</w:t>
      </w:r>
    </w:p>
    <w:p w14:paraId="5C0A10B9" w14:textId="77777777" w:rsidR="00A67049" w:rsidRPr="00D66155" w:rsidRDefault="00A67049" w:rsidP="00A67049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09307B07" w14:textId="50F1BC9A" w:rsidR="00A67049" w:rsidRDefault="00A67049" w:rsidP="00A67049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On out-of-band blocking for mm-wave bands (FR2)</w:t>
      </w:r>
    </w:p>
    <w:p w14:paraId="23EC6BA6" w14:textId="4AB36892" w:rsidR="00A67049" w:rsidRPr="00A046AC" w:rsidRDefault="00A67049" w:rsidP="00A67049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C86EE6">
        <w:rPr>
          <w:sz w:val="22"/>
          <w:szCs w:val="22"/>
          <w:lang w:val="en-US"/>
        </w:rPr>
        <w:t>4.4.3.4.2</w:t>
      </w:r>
    </w:p>
    <w:p w14:paraId="3FEA8A4F" w14:textId="65331BE6" w:rsidR="00A67049" w:rsidRPr="00D66155" w:rsidRDefault="00A67049" w:rsidP="00A67049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0807C7" w:rsidRPr="00925A3D">
        <w:rPr>
          <w:sz w:val="22"/>
          <w:szCs w:val="22"/>
          <w:lang w:val="en-US"/>
        </w:rPr>
        <w:t>Discussion</w:t>
      </w:r>
    </w:p>
    <w:p w14:paraId="1ABC775D" w14:textId="79D1DD90" w:rsidR="00A9040C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4F65F85D" w14:textId="1EB4F2D4" w:rsidR="009927CB" w:rsidRDefault="00203DEC" w:rsidP="009927CB">
      <w:pPr>
        <w:rPr>
          <w:lang w:val="en-US"/>
        </w:rPr>
      </w:pPr>
      <w:r>
        <w:rPr>
          <w:lang w:val="en-US"/>
        </w:rPr>
        <w:t xml:space="preserve">The </w:t>
      </w:r>
      <w:r w:rsidR="00284314">
        <w:rPr>
          <w:lang w:val="en-US"/>
        </w:rPr>
        <w:t xml:space="preserve">BS </w:t>
      </w:r>
      <w:r>
        <w:rPr>
          <w:lang w:val="en-US"/>
        </w:rPr>
        <w:t xml:space="preserve">in-band blocking requirements </w:t>
      </w:r>
      <w:r w:rsidR="00284314">
        <w:rPr>
          <w:lang w:val="en-US"/>
        </w:rPr>
        <w:t>for FR2 is already settled in the RAN4 NR specifications. The BS out-of-band receiver blocking requirements has been briefly discussed in previous meetings and thus in this paper, we further elaborate on FR2 out-band blocking requirements.</w:t>
      </w:r>
    </w:p>
    <w:p w14:paraId="7723356B" w14:textId="72BB71ED" w:rsidR="00284314" w:rsidRPr="009927CB" w:rsidRDefault="00284314" w:rsidP="009927CB">
      <w:pPr>
        <w:rPr>
          <w:lang w:val="en-US"/>
        </w:rPr>
      </w:pPr>
      <w:r>
        <w:rPr>
          <w:lang w:val="en-US"/>
        </w:rPr>
        <w:t xml:space="preserve">In addition, we </w:t>
      </w:r>
      <w:r w:rsidR="009C4159">
        <w:rPr>
          <w:lang w:val="en-US"/>
        </w:rPr>
        <w:t xml:space="preserve">propose a way forward </w:t>
      </w:r>
      <w:proofErr w:type="gramStart"/>
      <w:r w:rsidR="009C4159">
        <w:rPr>
          <w:lang w:val="en-US"/>
        </w:rPr>
        <w:t xml:space="preserve">and </w:t>
      </w:r>
      <w:r>
        <w:rPr>
          <w:lang w:val="en-US"/>
        </w:rPr>
        <w:t>also</w:t>
      </w:r>
      <w:proofErr w:type="gramEnd"/>
      <w:r>
        <w:rPr>
          <w:lang w:val="en-US"/>
        </w:rPr>
        <w:t xml:space="preserve"> initiate a discussion on out-of-band blocking d</w:t>
      </w:r>
      <w:r w:rsidR="009C4159">
        <w:rPr>
          <w:lang w:val="en-US"/>
        </w:rPr>
        <w:t xml:space="preserve">efinition considering </w:t>
      </w:r>
      <w:r w:rsidR="00BF1811">
        <w:t>impinging interfering si</w:t>
      </w:r>
      <w:r w:rsidR="00B73117">
        <w:t>gnal at the base station.</w:t>
      </w:r>
    </w:p>
    <w:p w14:paraId="134AFCBF" w14:textId="662DC00D"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42D9F73" w14:textId="3CD58EBB" w:rsidR="009C4159" w:rsidRDefault="009C4159" w:rsidP="009C4159">
      <w:pPr>
        <w:rPr>
          <w:lang w:val="en-US"/>
        </w:rPr>
      </w:pPr>
      <w:r>
        <w:rPr>
          <w:lang w:val="en-US"/>
        </w:rPr>
        <w:t xml:space="preserve">In </w:t>
      </w:r>
      <w:proofErr w:type="spellStart"/>
      <w:r w:rsidR="00D605E8">
        <w:rPr>
          <w:lang w:val="en-US"/>
        </w:rPr>
        <w:t>previouse</w:t>
      </w:r>
      <w:proofErr w:type="spellEnd"/>
      <w:r w:rsidR="00D605E8">
        <w:rPr>
          <w:lang w:val="en-US"/>
        </w:rPr>
        <w:t xml:space="preserve"> RAN4 meeting</w:t>
      </w:r>
      <w:r>
        <w:rPr>
          <w:lang w:val="en-US"/>
        </w:rPr>
        <w:t xml:space="preserve">, a brief discussion on FR2 out-of-band </w:t>
      </w:r>
      <w:proofErr w:type="spellStart"/>
      <w:r>
        <w:rPr>
          <w:lang w:val="en-US"/>
        </w:rPr>
        <w:t>bocking</w:t>
      </w:r>
      <w:proofErr w:type="spellEnd"/>
      <w:r>
        <w:rPr>
          <w:lang w:val="en-US"/>
        </w:rPr>
        <w:t xml:space="preserve"> was initiated considering general and band-specific requirements</w:t>
      </w:r>
      <w:r w:rsidR="007424CC">
        <w:rPr>
          <w:lang w:val="en-US"/>
        </w:rPr>
        <w:t xml:space="preserve"> [1 &amp; 2]</w:t>
      </w:r>
      <w:r>
        <w:rPr>
          <w:lang w:val="en-US"/>
        </w:rPr>
        <w:t xml:space="preserve">. In addition, quite many papers investigated the limitations for mm-wave </w:t>
      </w:r>
      <w:r w:rsidR="001B562B">
        <w:rPr>
          <w:lang w:val="en-US"/>
        </w:rPr>
        <w:t xml:space="preserve">technology and </w:t>
      </w:r>
      <w:proofErr w:type="gramStart"/>
      <w:r w:rsidR="001B562B">
        <w:rPr>
          <w:lang w:val="en-US"/>
        </w:rPr>
        <w:t xml:space="preserve">in particular </w:t>
      </w:r>
      <w:r>
        <w:rPr>
          <w:lang w:val="en-US"/>
        </w:rPr>
        <w:t>filtering</w:t>
      </w:r>
      <w:proofErr w:type="gramEnd"/>
      <w:r>
        <w:rPr>
          <w:lang w:val="en-US"/>
        </w:rPr>
        <w:t xml:space="preserve"> capabilities </w:t>
      </w:r>
      <w:r w:rsidR="001B562B">
        <w:rPr>
          <w:lang w:val="en-US"/>
        </w:rPr>
        <w:t>[</w:t>
      </w:r>
      <w:r w:rsidR="007424CC">
        <w:rPr>
          <w:lang w:val="en-US"/>
        </w:rPr>
        <w:t>3</w:t>
      </w:r>
      <w:r w:rsidR="001B562B">
        <w:rPr>
          <w:lang w:val="en-US"/>
        </w:rPr>
        <w:t xml:space="preserve">] </w:t>
      </w:r>
      <w:r>
        <w:rPr>
          <w:lang w:val="en-US"/>
        </w:rPr>
        <w:t>etc.</w:t>
      </w:r>
    </w:p>
    <w:p w14:paraId="327D7A2A" w14:textId="2C4FF39E" w:rsidR="001B562B" w:rsidRDefault="001B562B" w:rsidP="009C4159">
      <w:pPr>
        <w:rPr>
          <w:lang w:val="en-US"/>
        </w:rPr>
      </w:pPr>
      <w:r>
        <w:rPr>
          <w:lang w:val="en-US"/>
        </w:rPr>
        <w:t xml:space="preserve">For FR2 out-of-band receiver blocking some </w:t>
      </w:r>
      <w:r w:rsidR="008F6ED6">
        <w:rPr>
          <w:lang w:val="en-US"/>
        </w:rPr>
        <w:t xml:space="preserve">further </w:t>
      </w:r>
      <w:r>
        <w:rPr>
          <w:lang w:val="en-US"/>
        </w:rPr>
        <w:t>considerations are discussed below.</w:t>
      </w:r>
    </w:p>
    <w:p w14:paraId="68A3DC1D" w14:textId="6AF10332" w:rsidR="001B562B" w:rsidRDefault="001B562B" w:rsidP="001B562B">
      <w:pPr>
        <w:pStyle w:val="Heading2"/>
        <w:rPr>
          <w:lang w:val="en-US"/>
        </w:rPr>
      </w:pPr>
      <w:r>
        <w:rPr>
          <w:lang w:val="en-US"/>
        </w:rPr>
        <w:t>General out-of-band blocking</w:t>
      </w:r>
    </w:p>
    <w:p w14:paraId="26B6FA77" w14:textId="59E8FD74" w:rsidR="00445A5B" w:rsidRDefault="00445A5B" w:rsidP="00445A5B">
      <w:pPr>
        <w:rPr>
          <w:lang w:val="en-US"/>
        </w:rPr>
      </w:pPr>
      <w:r>
        <w:rPr>
          <w:lang w:val="en-US"/>
        </w:rPr>
        <w:t xml:space="preserve">The out-of-band blocking requirements in existing specifications </w:t>
      </w:r>
      <w:r w:rsidR="00A73DA1">
        <w:rPr>
          <w:lang w:val="en-US"/>
        </w:rPr>
        <w:t>has been inherited from UTRA and is based on a CW interferer</w:t>
      </w:r>
      <w:r w:rsidR="00C63B1A">
        <w:rPr>
          <w:lang w:val="en-US"/>
        </w:rPr>
        <w:t xml:space="preserve"> over large frequency range (12.75 GHz with 1 MHz step).</w:t>
      </w:r>
    </w:p>
    <w:p w14:paraId="74D5321A" w14:textId="6E9F56DA" w:rsidR="002E26BC" w:rsidRDefault="00C63B1A" w:rsidP="00445A5B">
      <w:pPr>
        <w:rPr>
          <w:lang w:val="en-US"/>
        </w:rPr>
      </w:pPr>
      <w:r>
        <w:rPr>
          <w:lang w:val="en-US"/>
        </w:rPr>
        <w:t>For FR2, the frequency range</w:t>
      </w:r>
      <w:r w:rsidR="002E26BC">
        <w:rPr>
          <w:lang w:val="en-US"/>
        </w:rPr>
        <w:t xml:space="preserve"> for general out-of-band-blocking given the frequency range </w:t>
      </w:r>
      <w:r w:rsidR="00365210">
        <w:rPr>
          <w:lang w:val="en-US"/>
        </w:rPr>
        <w:t xml:space="preserve">can be up to frequencies corresponding to second harmonics </w:t>
      </w:r>
      <w:proofErr w:type="gramStart"/>
      <w:r w:rsidR="00365210">
        <w:rPr>
          <w:lang w:val="en-US"/>
        </w:rPr>
        <w:t>similar to</w:t>
      </w:r>
      <w:proofErr w:type="gramEnd"/>
      <w:r w:rsidR="00365210">
        <w:rPr>
          <w:lang w:val="en-US"/>
        </w:rPr>
        <w:t xml:space="preserve"> spurious emission </w:t>
      </w:r>
      <w:r w:rsidR="002E26BC">
        <w:rPr>
          <w:lang w:val="en-US"/>
        </w:rPr>
        <w:t>(~60 GHz to 80 GHz for band n257/n258 and n260</w:t>
      </w:r>
      <w:r w:rsidR="00365210">
        <w:rPr>
          <w:lang w:val="en-US"/>
        </w:rPr>
        <w:t xml:space="preserve"> respectively). In case of step size of 1 MHz</w:t>
      </w:r>
      <w:r w:rsidR="002E26BC">
        <w:rPr>
          <w:lang w:val="en-US"/>
        </w:rPr>
        <w:t xml:space="preserve">, the test complexity and time would be excessive as for each GHz assuming step of 1 MHz, additional 1000 test point </w:t>
      </w:r>
      <w:r w:rsidR="008201DE">
        <w:rPr>
          <w:lang w:val="en-US"/>
        </w:rPr>
        <w:t>would be</w:t>
      </w:r>
      <w:r w:rsidR="002E26BC">
        <w:rPr>
          <w:lang w:val="en-US"/>
        </w:rPr>
        <w:t xml:space="preserve"> added. </w:t>
      </w:r>
      <w:r w:rsidR="00365210">
        <w:rPr>
          <w:lang w:val="en-US"/>
        </w:rPr>
        <w:t>The issue of test complexity and test</w:t>
      </w:r>
      <w:r w:rsidR="008201DE">
        <w:rPr>
          <w:lang w:val="en-US"/>
        </w:rPr>
        <w:t xml:space="preserve"> time can be addressed and handled by defining larger step size e.g. 10 </w:t>
      </w:r>
      <w:proofErr w:type="spellStart"/>
      <w:r w:rsidR="008201DE">
        <w:rPr>
          <w:lang w:val="en-US"/>
        </w:rPr>
        <w:t>MHz.</w:t>
      </w:r>
      <w:proofErr w:type="spellEnd"/>
      <w:r w:rsidR="008201DE">
        <w:rPr>
          <w:lang w:val="en-US"/>
        </w:rPr>
        <w:t xml:space="preserve"> The increased step size would not pose any issues as the bandwidths for FR2 are excessively larger compared to existing specifications where the 1 MHz step size was inherited from GSM with carrier bandwidth 200 kHz. Note that with the 10 MHz </w:t>
      </w:r>
      <w:proofErr w:type="spellStart"/>
      <w:r w:rsidR="008201DE">
        <w:rPr>
          <w:lang w:val="en-US"/>
        </w:rPr>
        <w:t>spet</w:t>
      </w:r>
      <w:proofErr w:type="spellEnd"/>
      <w:r w:rsidR="008201DE">
        <w:rPr>
          <w:lang w:val="en-US"/>
        </w:rPr>
        <w:t xml:space="preserve"> size any aspects in relation to possible spurious response hits can be captured for FR2.</w:t>
      </w:r>
    </w:p>
    <w:p w14:paraId="70E3F445" w14:textId="65B1347E" w:rsidR="00123AF4" w:rsidRDefault="008201DE" w:rsidP="00123AF4">
      <w:pPr>
        <w:rPr>
          <w:lang w:val="en-US"/>
        </w:rPr>
      </w:pPr>
      <w:r>
        <w:rPr>
          <w:lang w:val="en-US"/>
        </w:rPr>
        <w:t xml:space="preserve">The general out-of-band blocking level can also be chosen not being less stringent or similar compared to the in-band blocking level. The 55 dBm EIRP </w:t>
      </w:r>
      <w:r w:rsidR="004A46F8">
        <w:rPr>
          <w:lang w:val="en-US"/>
        </w:rPr>
        <w:t>CPE studies</w:t>
      </w:r>
      <w:r>
        <w:rPr>
          <w:lang w:val="en-US"/>
        </w:rPr>
        <w:t xml:space="preserve"> with fixed CPE positions indicated not higher interferer </w:t>
      </w:r>
      <w:proofErr w:type="spellStart"/>
      <w:r>
        <w:rPr>
          <w:lang w:val="en-US"/>
        </w:rPr>
        <w:t>cdfs</w:t>
      </w:r>
      <w:proofErr w:type="spellEnd"/>
      <w:r>
        <w:rPr>
          <w:lang w:val="en-US"/>
        </w:rPr>
        <w:t xml:space="preserve"> </w:t>
      </w:r>
      <w:r w:rsidR="00F24DF7">
        <w:rPr>
          <w:lang w:val="en-US"/>
        </w:rPr>
        <w:t>[</w:t>
      </w:r>
      <w:r w:rsidR="007424CC">
        <w:rPr>
          <w:lang w:val="en-US"/>
        </w:rPr>
        <w:t>4</w:t>
      </w:r>
      <w:r w:rsidR="00F24DF7">
        <w:rPr>
          <w:lang w:val="en-US"/>
        </w:rPr>
        <w:t>]</w:t>
      </w:r>
      <w:r w:rsidR="00923382">
        <w:rPr>
          <w:lang w:val="en-US"/>
        </w:rPr>
        <w:t xml:space="preserve"> &amp; [</w:t>
      </w:r>
      <w:r w:rsidR="007424CC">
        <w:rPr>
          <w:lang w:val="en-US"/>
        </w:rPr>
        <w:t>5</w:t>
      </w:r>
      <w:r w:rsidR="00923382">
        <w:rPr>
          <w:lang w:val="en-US"/>
        </w:rPr>
        <w:t>]</w:t>
      </w:r>
      <w:r w:rsidR="004A46F8">
        <w:rPr>
          <w:lang w:val="en-US"/>
        </w:rPr>
        <w:t xml:space="preserve"> for both co-located and non-</w:t>
      </w:r>
      <w:proofErr w:type="spellStart"/>
      <w:r w:rsidR="004A46F8">
        <w:rPr>
          <w:lang w:val="en-US"/>
        </w:rPr>
        <w:t>colocated</w:t>
      </w:r>
      <w:proofErr w:type="spellEnd"/>
      <w:r w:rsidR="004A46F8">
        <w:rPr>
          <w:lang w:val="en-US"/>
        </w:rPr>
        <w:t xml:space="preserve"> Uma scenarios</w:t>
      </w:r>
      <w:r w:rsidR="00923382">
        <w:rPr>
          <w:lang w:val="en-US"/>
        </w:rPr>
        <w:t xml:space="preserve">. </w:t>
      </w:r>
    </w:p>
    <w:p w14:paraId="214A89DA" w14:textId="72026FF2" w:rsidR="008201DE" w:rsidRDefault="00923382" w:rsidP="00445A5B">
      <w:pPr>
        <w:rPr>
          <w:lang w:val="en-US"/>
        </w:rPr>
      </w:pPr>
      <w:r>
        <w:rPr>
          <w:lang w:val="en-US"/>
        </w:rPr>
        <w:t>A</w:t>
      </w:r>
      <w:r w:rsidR="008201DE">
        <w:rPr>
          <w:lang w:val="en-US"/>
        </w:rPr>
        <w:t xml:space="preserve"> fixed CPE can be assumed as </w:t>
      </w:r>
      <w:r w:rsidR="00B73117">
        <w:rPr>
          <w:lang w:val="en-US"/>
        </w:rPr>
        <w:t xml:space="preserve">similar in characteristics to </w:t>
      </w:r>
      <w:r w:rsidR="008201DE">
        <w:rPr>
          <w:lang w:val="en-US"/>
        </w:rPr>
        <w:t>a BS and thus interestingly, the in-band interferer level seems to be proper level also for out-of-band requirements considering possible co-existence in relation to band specific requirements</w:t>
      </w:r>
      <w:r w:rsidR="00BE1CF8">
        <w:rPr>
          <w:lang w:val="en-US"/>
        </w:rPr>
        <w:t>.</w:t>
      </w:r>
    </w:p>
    <w:p w14:paraId="5AC0BF04" w14:textId="2A893F0F" w:rsidR="00A23FA7" w:rsidRDefault="00123AF4" w:rsidP="00445A5B">
      <w:pPr>
        <w:rPr>
          <w:lang w:val="en-US"/>
        </w:rPr>
      </w:pPr>
      <w:r>
        <w:rPr>
          <w:lang w:val="en-US"/>
        </w:rPr>
        <w:t xml:space="preserve">As a way forward, </w:t>
      </w:r>
      <w:r w:rsidR="00F52AEC">
        <w:rPr>
          <w:lang w:val="en-US"/>
        </w:rPr>
        <w:t>it is at least feasible</w:t>
      </w:r>
      <w:r w:rsidR="00A23FA7" w:rsidRPr="00123AF4">
        <w:rPr>
          <w:lang w:val="en-US"/>
        </w:rPr>
        <w:t xml:space="preserve"> to specify general out-of-band blocking for FR2 with interferer level similar to in-band requirements with 10 MHz step </w:t>
      </w:r>
      <w:r>
        <w:rPr>
          <w:lang w:val="en-US"/>
        </w:rPr>
        <w:t xml:space="preserve">size </w:t>
      </w:r>
      <w:r w:rsidR="00A23FA7" w:rsidRPr="00123AF4">
        <w:rPr>
          <w:lang w:val="en-US"/>
        </w:rPr>
        <w:t xml:space="preserve">for </w:t>
      </w:r>
      <w:proofErr w:type="spellStart"/>
      <w:r w:rsidR="00A23FA7" w:rsidRPr="00123AF4">
        <w:rPr>
          <w:lang w:val="en-US"/>
        </w:rPr>
        <w:t>rel</w:t>
      </w:r>
      <w:proofErr w:type="spellEnd"/>
      <w:r w:rsidR="00A23FA7" w:rsidRPr="00123AF4">
        <w:rPr>
          <w:lang w:val="en-US"/>
        </w:rPr>
        <w:t xml:space="preserve"> </w:t>
      </w:r>
      <w:proofErr w:type="gramStart"/>
      <w:r w:rsidR="00A23FA7" w:rsidRPr="00123AF4">
        <w:rPr>
          <w:lang w:val="en-US"/>
        </w:rPr>
        <w:t>15 time</w:t>
      </w:r>
      <w:proofErr w:type="gramEnd"/>
      <w:r w:rsidR="00A23FA7" w:rsidRPr="00123AF4">
        <w:rPr>
          <w:lang w:val="en-US"/>
        </w:rPr>
        <w:t xml:space="preserve"> frame</w:t>
      </w:r>
      <w:r w:rsidR="00F52AEC">
        <w:rPr>
          <w:lang w:val="en-US"/>
        </w:rPr>
        <w:t xml:space="preserve"> pending better understanding </w:t>
      </w:r>
      <w:proofErr w:type="spellStart"/>
      <w:r w:rsidR="00F52AEC">
        <w:rPr>
          <w:lang w:val="en-US"/>
        </w:rPr>
        <w:t>ot</w:t>
      </w:r>
      <w:proofErr w:type="spellEnd"/>
      <w:r w:rsidR="00F52AEC">
        <w:rPr>
          <w:lang w:val="en-US"/>
        </w:rPr>
        <w:t xml:space="preserve"> he out of band blocker characteristics</w:t>
      </w:r>
      <w:r w:rsidR="00A23FA7" w:rsidRPr="00123AF4">
        <w:rPr>
          <w:lang w:val="en-US"/>
        </w:rPr>
        <w:t>.</w:t>
      </w:r>
    </w:p>
    <w:p w14:paraId="6BAE5FC1" w14:textId="366D56B9" w:rsidR="00BE1CF8" w:rsidRDefault="00B73117" w:rsidP="00BE1CF8">
      <w:r>
        <w:rPr>
          <w:lang w:val="en-US"/>
        </w:rPr>
        <w:t>For FR1, the out of band blocking is specified as a fixed interferer level at a fixed distance.</w:t>
      </w:r>
      <w:r w:rsidR="00BE1CF8">
        <w:rPr>
          <w:lang w:val="en-US"/>
        </w:rPr>
        <w:t xml:space="preserve"> </w:t>
      </w:r>
      <w:r>
        <w:rPr>
          <w:lang w:val="en-US"/>
        </w:rPr>
        <w:t>W</w:t>
      </w:r>
      <w:r w:rsidR="00BE1CF8">
        <w:rPr>
          <w:lang w:val="en-US"/>
        </w:rPr>
        <w:t xml:space="preserve">e see benefits to specify the OTA </w:t>
      </w:r>
      <w:proofErr w:type="spellStart"/>
      <w:r w:rsidR="00BE1CF8">
        <w:rPr>
          <w:lang w:val="en-US"/>
        </w:rPr>
        <w:t>out-of</w:t>
      </w:r>
      <w:proofErr w:type="spellEnd"/>
      <w:r w:rsidR="00BE1CF8">
        <w:rPr>
          <w:lang w:val="en-US"/>
        </w:rPr>
        <w:t xml:space="preserve"> band blocking by specifying </w:t>
      </w:r>
      <w:r w:rsidR="00284314">
        <w:t xml:space="preserve">impinging interfering signal at the base station instead of parameters associated to the </w:t>
      </w:r>
      <w:r w:rsidR="00BE1CF8">
        <w:t>interferer radiator</w:t>
      </w:r>
      <w:r w:rsidR="00284314">
        <w:t xml:space="preserve">. </w:t>
      </w:r>
      <w:r w:rsidR="00BE1CF8">
        <w:t>The rationale behind the approach is as following:</w:t>
      </w:r>
    </w:p>
    <w:p w14:paraId="2B53BC10" w14:textId="7E11B6AF" w:rsidR="00284314" w:rsidRPr="00BE1CF8" w:rsidRDefault="00BE1CF8" w:rsidP="00BE1CF8">
      <w:pPr>
        <w:rPr>
          <w:lang w:val="en-US"/>
        </w:rPr>
      </w:pPr>
      <w:r>
        <w:t>T</w:t>
      </w:r>
      <w:r w:rsidR="00284314">
        <w:t xml:space="preserve">he power density can be expressed in the far-field region as a function of distance, </w:t>
      </w:r>
      <w:r w:rsidR="00123AF4">
        <w:t>“</w:t>
      </w:r>
      <w:r w:rsidR="00284314">
        <w:t>r</w:t>
      </w:r>
      <w:r w:rsidR="00123AF4">
        <w:t>”</w:t>
      </w:r>
      <w:r w:rsidR="00284314">
        <w:t xml:space="preserve"> in meters and EIRP in Watts as: </w:t>
      </w:r>
    </w:p>
    <w:p w14:paraId="46627A1E" w14:textId="42997526" w:rsidR="00284314" w:rsidRDefault="00284314" w:rsidP="00284314">
      <w:pPr>
        <w:pStyle w:val="BodyText"/>
      </w:pPr>
      <w:r w:rsidRPr="00006CFB">
        <w:rPr>
          <w:position w:val="-24"/>
        </w:rPr>
        <w:object w:dxaOrig="1140" w:dyaOrig="620" w14:anchorId="70F62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0.75pt" o:ole="">
            <v:imagedata r:id="rId8" o:title=""/>
          </v:shape>
          <o:OLEObject Type="Embed" ProgID="Equation.3" ShapeID="_x0000_i1025" DrawAspect="Content" ObjectID="_1577522191" r:id="rId9"/>
        </w:object>
      </w:r>
      <w:r>
        <w:tab/>
      </w:r>
      <w:r>
        <w:tab/>
      </w:r>
    </w:p>
    <w:p w14:paraId="4AF3B59A" w14:textId="01A6F683" w:rsidR="00284314" w:rsidRDefault="00284314" w:rsidP="00284314">
      <w:pPr>
        <w:pStyle w:val="BodyText"/>
      </w:pPr>
      <w:r>
        <w:lastRenderedPageBreak/>
        <w:t xml:space="preserve">Also from </w:t>
      </w:r>
      <w:proofErr w:type="spellStart"/>
      <w:r>
        <w:t>Poynting’s</w:t>
      </w:r>
      <w:proofErr w:type="spellEnd"/>
      <w:r>
        <w:t xml:space="preserve"> theorem</w:t>
      </w:r>
      <w:r w:rsidR="00BE1CF8">
        <w:t>,</w:t>
      </w:r>
      <w:r>
        <w:t xml:space="preserve"> the relationship between the power density to the E-field and H-field vectors as defined below:</w:t>
      </w:r>
    </w:p>
    <w:p w14:paraId="1E181E6B" w14:textId="4DCF0548" w:rsidR="00284314" w:rsidRDefault="00284314" w:rsidP="00284314">
      <w:pPr>
        <w:pStyle w:val="BodyText"/>
      </w:pPr>
      <w:r w:rsidRPr="00006CFB">
        <w:rPr>
          <w:position w:val="-12"/>
        </w:rPr>
        <w:object w:dxaOrig="2400" w:dyaOrig="400" w14:anchorId="2EF895DA">
          <v:shape id="_x0000_i1026" type="#_x0000_t75" style="width:120pt;height:19.5pt" o:ole="">
            <v:imagedata r:id="rId10" o:title=""/>
          </v:shape>
          <o:OLEObject Type="Embed" ProgID="Equation.3" ShapeID="_x0000_i1026" DrawAspect="Content" ObjectID="_1577522192" r:id="rId11"/>
        </w:object>
      </w:r>
    </w:p>
    <w:p w14:paraId="1E53A6B3" w14:textId="77777777" w:rsidR="00284314" w:rsidRDefault="00284314" w:rsidP="00284314">
      <w:pPr>
        <w:pStyle w:val="BodyText"/>
      </w:pPr>
      <w:r>
        <w:t>The magnitude of the power density is thus:</w:t>
      </w:r>
    </w:p>
    <w:p w14:paraId="0A2ED182" w14:textId="32A246A1" w:rsidR="00284314" w:rsidRDefault="00284314" w:rsidP="00284314">
      <w:pPr>
        <w:pStyle w:val="BodyText"/>
      </w:pPr>
      <w:r w:rsidRPr="00006CFB">
        <w:rPr>
          <w:position w:val="-30"/>
        </w:rPr>
        <w:object w:dxaOrig="1579" w:dyaOrig="720" w14:anchorId="11999BD9">
          <v:shape id="_x0000_i1027" type="#_x0000_t75" style="width:78.75pt;height:36.75pt" o:ole="">
            <v:imagedata r:id="rId12" o:title=""/>
          </v:shape>
          <o:OLEObject Type="Embed" ProgID="Equation.3" ShapeID="_x0000_i1027" DrawAspect="Content" ObjectID="_1577522193" r:id="rId13"/>
        </w:object>
      </w:r>
      <w:r>
        <w:tab/>
      </w:r>
      <w:r>
        <w:tab/>
      </w:r>
    </w:p>
    <w:p w14:paraId="61E4BDEA" w14:textId="77777777" w:rsidR="00BE1CF8" w:rsidRDefault="00284314" w:rsidP="00284314">
      <w:pPr>
        <w:pStyle w:val="BodyText"/>
      </w:pPr>
      <w:r>
        <w:t>, where Z</w:t>
      </w:r>
      <w:r w:rsidRPr="00006CFB">
        <w:rPr>
          <w:vertAlign w:val="subscript"/>
        </w:rPr>
        <w:t>0</w:t>
      </w:r>
      <w:r>
        <w:t xml:space="preserve"> is the impedance of free space equal to 120</w:t>
      </w:r>
      <w:r w:rsidRPr="00006CFB">
        <w:rPr>
          <w:rFonts w:ascii="Symbol" w:hAnsi="Symbol"/>
        </w:rPr>
        <w:t></w:t>
      </w:r>
      <w:r>
        <w:rPr>
          <w:rFonts w:ascii="Symbol" w:hAnsi="Symbol"/>
        </w:rPr>
        <w:t></w:t>
      </w:r>
      <w:r w:rsidRPr="0071787C">
        <w:t>ohm</w:t>
      </w:r>
      <w:r>
        <w:t xml:space="preserve">. </w:t>
      </w:r>
      <w:r w:rsidR="00BE1CF8">
        <w:t>Thus</w:t>
      </w:r>
    </w:p>
    <w:p w14:paraId="41282FB5" w14:textId="26DC0627" w:rsidR="00284314" w:rsidRDefault="00284314" w:rsidP="00284314">
      <w:pPr>
        <w:pStyle w:val="BodyText"/>
      </w:pPr>
      <w:r>
        <w:t xml:space="preserve"> </w:t>
      </w:r>
      <w:r w:rsidRPr="003350E1">
        <w:rPr>
          <w:position w:val="-30"/>
        </w:rPr>
        <w:object w:dxaOrig="1240" w:dyaOrig="720" w14:anchorId="4CFC8A87">
          <v:shape id="_x0000_i1028" type="#_x0000_t75" style="width:61.5pt;height:36.75pt" o:ole="">
            <v:imagedata r:id="rId14" o:title=""/>
          </v:shape>
          <o:OLEObject Type="Embed" ProgID="Equation.3" ShapeID="_x0000_i1028" DrawAspect="Content" ObjectID="_1577522194" r:id="rId15"/>
        </w:object>
      </w:r>
    </w:p>
    <w:p w14:paraId="3DBB1788" w14:textId="77777777" w:rsidR="00284314" w:rsidRDefault="00284314" w:rsidP="00284314">
      <w:pPr>
        <w:pStyle w:val="BodyText"/>
      </w:pPr>
      <w:r>
        <w:t>Hence, the RMS value of the E-field can be calculated from:</w:t>
      </w:r>
    </w:p>
    <w:p w14:paraId="4D82A202" w14:textId="53C2B3D5" w:rsidR="00284314" w:rsidRDefault="00284314" w:rsidP="00284314">
      <w:pPr>
        <w:pStyle w:val="BodyText"/>
      </w:pPr>
      <w:r w:rsidRPr="00A630C1">
        <w:rPr>
          <w:position w:val="-24"/>
        </w:rPr>
        <w:object w:dxaOrig="1480" w:dyaOrig="680" w14:anchorId="0F5B4DD0">
          <v:shape id="_x0000_i1029" type="#_x0000_t75" style="width:74.25pt;height:33.75pt" o:ole="">
            <v:imagedata r:id="rId16" o:title=""/>
          </v:shape>
          <o:OLEObject Type="Embed" ProgID="Equation.3" ShapeID="_x0000_i1029" DrawAspect="Content" ObjectID="_1577522195" r:id="rId17"/>
        </w:object>
      </w:r>
      <w:r>
        <w:t xml:space="preserve"> in V/m</w:t>
      </w:r>
      <w:r>
        <w:tab/>
      </w:r>
      <w:r>
        <w:tab/>
      </w:r>
    </w:p>
    <w:p w14:paraId="7DFE8C0E" w14:textId="2C6C1E52" w:rsidR="00BE1CF8" w:rsidRDefault="00284314" w:rsidP="00284314">
      <w:pPr>
        <w:pStyle w:val="BodyText"/>
      </w:pPr>
      <w:r>
        <w:t xml:space="preserve">From the equation above </w:t>
      </w:r>
      <w:proofErr w:type="gramStart"/>
      <w:r>
        <w:t>it is clear that the</w:t>
      </w:r>
      <w:proofErr w:type="gramEnd"/>
      <w:r>
        <w:t xml:space="preserve"> EIRP level at a defined distance is directly related to a field strength level in V/m. </w:t>
      </w:r>
      <w:r w:rsidR="00BE1CF8">
        <w:t xml:space="preserve">This implies that this approach would not pose any changes to requirements rather constitute a different metric to facilitate OTA testing with flexible solution to create impinging interfering signal at the base station instead of parameters associated to the interferer radiator. </w:t>
      </w:r>
      <w:r w:rsidR="00B73117">
        <w:t xml:space="preserve">The advantage of describing the </w:t>
      </w:r>
      <w:proofErr w:type="spellStart"/>
      <w:r w:rsidR="00B73117">
        <w:t>requirementin</w:t>
      </w:r>
      <w:proofErr w:type="spellEnd"/>
      <w:r w:rsidR="00B73117">
        <w:t xml:space="preserve"> this manner is that only a single parameter is required; there is no need to capture a nominal distance. </w:t>
      </w:r>
      <w:r w:rsidR="00BE1CF8">
        <w:t xml:space="preserve">We will further elaborate around this approach in coming meetings </w:t>
      </w:r>
      <w:proofErr w:type="gramStart"/>
      <w:r w:rsidR="00B73117">
        <w:t>and also</w:t>
      </w:r>
      <w:proofErr w:type="gramEnd"/>
      <w:r w:rsidR="00B73117">
        <w:t xml:space="preserve"> consider adopting this description for</w:t>
      </w:r>
      <w:r w:rsidR="00BE1CF8">
        <w:t xml:space="preserve"> FR1.</w:t>
      </w:r>
    </w:p>
    <w:p w14:paraId="6477F13E" w14:textId="724C4378"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14:paraId="72C54708" w14:textId="0456C486" w:rsidR="00D0379B" w:rsidRDefault="004A46F8" w:rsidP="00D0379B">
      <w:pPr>
        <w:rPr>
          <w:lang w:val="en-US"/>
        </w:rPr>
      </w:pPr>
      <w:r>
        <w:rPr>
          <w:lang w:val="en-US"/>
        </w:rPr>
        <w:t>In this paper, we further elaborate on the FR2 out-of-band receiver blocking requirement and conclude that a general o</w:t>
      </w:r>
      <w:r w:rsidR="00B73117">
        <w:rPr>
          <w:lang w:val="en-US"/>
        </w:rPr>
        <w:t>ut-of-band blocking requirement</w:t>
      </w:r>
      <w:r>
        <w:rPr>
          <w:lang w:val="en-US"/>
        </w:rPr>
        <w:t xml:space="preserve"> with interferer levels similar to </w:t>
      </w:r>
      <w:r w:rsidR="000E668F">
        <w:rPr>
          <w:lang w:val="en-US"/>
        </w:rPr>
        <w:t xml:space="preserve">in-band level and increased step size to e.g. 10 MHz could be </w:t>
      </w:r>
      <w:r w:rsidR="00F52AEC">
        <w:rPr>
          <w:lang w:val="en-US"/>
        </w:rPr>
        <w:t>feasible</w:t>
      </w:r>
      <w:r w:rsidR="000E668F">
        <w:rPr>
          <w:lang w:val="en-US"/>
        </w:rPr>
        <w:t xml:space="preserve"> for defining the FR2 out-of-band blocking requirements within the release </w:t>
      </w:r>
      <w:proofErr w:type="gramStart"/>
      <w:r w:rsidR="000E668F">
        <w:rPr>
          <w:lang w:val="en-US"/>
        </w:rPr>
        <w:t>15 time</w:t>
      </w:r>
      <w:proofErr w:type="gramEnd"/>
      <w:r w:rsidR="000E668F">
        <w:rPr>
          <w:lang w:val="en-US"/>
        </w:rPr>
        <w:t xml:space="preserve"> frame</w:t>
      </w:r>
      <w:bookmarkStart w:id="1" w:name="_GoBack"/>
      <w:bookmarkEnd w:id="1"/>
      <w:r w:rsidR="000E668F">
        <w:rPr>
          <w:lang w:val="en-US"/>
        </w:rPr>
        <w:t>.</w:t>
      </w:r>
    </w:p>
    <w:p w14:paraId="2036EA59" w14:textId="7A4894E1" w:rsidR="00BE1CF8" w:rsidRPr="00BE1CF8" w:rsidRDefault="000E668F" w:rsidP="00BE1CF8">
      <w:pPr>
        <w:rPr>
          <w:lang w:val="en-US"/>
        </w:rPr>
      </w:pPr>
      <w:r>
        <w:rPr>
          <w:lang w:val="en-US"/>
        </w:rPr>
        <w:t xml:space="preserve">We also initiate a discussion to specify the OTA </w:t>
      </w:r>
      <w:proofErr w:type="spellStart"/>
      <w:r>
        <w:rPr>
          <w:lang w:val="en-US"/>
        </w:rPr>
        <w:t>out-of</w:t>
      </w:r>
      <w:proofErr w:type="spellEnd"/>
      <w:r>
        <w:rPr>
          <w:lang w:val="en-US"/>
        </w:rPr>
        <w:t xml:space="preserve"> band blocking by specifying </w:t>
      </w:r>
      <w:r>
        <w:t>impinging interfering signal at the base station instead of parameters associated to the interferer radiator and show that the field strength approach would not pose any changes to requirements rat</w:t>
      </w:r>
      <w:r w:rsidR="00F52AEC">
        <w:t>her constitute an alternative means to specify the requirement with a single parameter</w:t>
      </w:r>
      <w:r>
        <w:t>.</w:t>
      </w:r>
    </w:p>
    <w:p w14:paraId="6F7E255F" w14:textId="7472049F" w:rsidR="00D32164" w:rsidRDefault="00C1387B" w:rsidP="00C1387B">
      <w:pPr>
        <w:pStyle w:val="Heading1"/>
        <w:rPr>
          <w:lang w:val="en-US"/>
        </w:rPr>
      </w:pPr>
      <w:bookmarkStart w:id="2" w:name="_In-sequence_SDU_delivery"/>
      <w:bookmarkEnd w:id="2"/>
      <w:r>
        <w:rPr>
          <w:lang w:val="en-US"/>
        </w:rPr>
        <w:t>References</w:t>
      </w:r>
      <w:r w:rsidR="0010791B">
        <w:rPr>
          <w:lang w:val="en-US"/>
        </w:rPr>
        <w:t xml:space="preserve"> </w:t>
      </w:r>
    </w:p>
    <w:p w14:paraId="6FBC5845" w14:textId="0A14B57F" w:rsidR="00D605E8" w:rsidRDefault="00D32164" w:rsidP="00D605E8">
      <w:pPr>
        <w:overflowPunct/>
        <w:autoSpaceDE/>
        <w:autoSpaceDN/>
        <w:adjustRightInd/>
        <w:spacing w:after="0"/>
        <w:textAlignment w:val="auto"/>
        <w:rPr>
          <w:rFonts w:cs="Arial"/>
          <w:sz w:val="22"/>
          <w:szCs w:val="22"/>
          <w:lang w:val="en-US" w:eastAsia="en-US"/>
        </w:rPr>
      </w:pPr>
      <w:r>
        <w:rPr>
          <w:lang w:val="en-US"/>
        </w:rPr>
        <w:t>[1]</w:t>
      </w:r>
      <w:r>
        <w:rPr>
          <w:lang w:val="en-US"/>
        </w:rPr>
        <w:tab/>
        <w:t>R4-</w:t>
      </w:r>
      <w:r w:rsidRPr="004F3182">
        <w:rPr>
          <w:lang w:val="en-US"/>
        </w:rPr>
        <w:t>17</w:t>
      </w:r>
      <w:r w:rsidR="00D605E8">
        <w:rPr>
          <w:lang w:val="en-US"/>
        </w:rPr>
        <w:t>13299</w:t>
      </w:r>
      <w:r w:rsidR="00D605E8" w:rsidRPr="00D605E8">
        <w:rPr>
          <w:sz w:val="22"/>
          <w:szCs w:val="22"/>
          <w:lang w:val="en-US"/>
        </w:rPr>
        <w:t>, “</w:t>
      </w:r>
      <w:r w:rsidR="00D605E8" w:rsidRPr="00D605E8">
        <w:rPr>
          <w:rFonts w:cs="Arial"/>
          <w:sz w:val="22"/>
          <w:szCs w:val="22"/>
          <w:lang w:val="en-US" w:eastAsia="en-US"/>
        </w:rPr>
        <w:t>On general out-of-band blocking for mm-wave bands (FR2)</w:t>
      </w:r>
      <w:r w:rsidR="00D605E8">
        <w:rPr>
          <w:rFonts w:cs="Arial"/>
          <w:sz w:val="22"/>
          <w:szCs w:val="22"/>
          <w:lang w:val="en-US" w:eastAsia="en-US"/>
        </w:rPr>
        <w:t>”, Ericsson</w:t>
      </w:r>
    </w:p>
    <w:p w14:paraId="6017AB1C" w14:textId="11DAAF77" w:rsidR="00D605E8" w:rsidRDefault="00D605E8" w:rsidP="00D605E8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 w:eastAsia="en-US"/>
        </w:rPr>
        <w:t>[2]</w:t>
      </w:r>
      <w:r>
        <w:rPr>
          <w:rFonts w:cs="Arial"/>
          <w:sz w:val="22"/>
          <w:szCs w:val="22"/>
          <w:lang w:val="en-US" w:eastAsia="en-US"/>
        </w:rPr>
        <w:tab/>
      </w:r>
      <w:r>
        <w:rPr>
          <w:lang w:val="en-US"/>
        </w:rPr>
        <w:t>R4-</w:t>
      </w:r>
      <w:r w:rsidRPr="004F3182">
        <w:rPr>
          <w:lang w:val="en-US"/>
        </w:rPr>
        <w:t>17</w:t>
      </w:r>
      <w:r>
        <w:rPr>
          <w:lang w:val="en-US"/>
        </w:rPr>
        <w:t>13300</w:t>
      </w:r>
      <w:r w:rsidRPr="00D605E8">
        <w:rPr>
          <w:sz w:val="22"/>
          <w:szCs w:val="22"/>
          <w:lang w:val="en-US"/>
        </w:rPr>
        <w:t>, “On co-location/band specific blocking for mm-wave bands (FR2)</w:t>
      </w:r>
      <w:r>
        <w:rPr>
          <w:sz w:val="22"/>
          <w:szCs w:val="22"/>
          <w:lang w:val="en-US"/>
        </w:rPr>
        <w:t>”, Ericsson</w:t>
      </w:r>
    </w:p>
    <w:p w14:paraId="0D8A2DC4" w14:textId="7B22F04A" w:rsidR="00D605E8" w:rsidRPr="00D605E8" w:rsidRDefault="00D605E8" w:rsidP="00D605E8">
      <w:pPr>
        <w:overflowPunct/>
        <w:autoSpaceDE/>
        <w:autoSpaceDN/>
        <w:adjustRightInd/>
        <w:spacing w:after="0"/>
        <w:textAlignment w:val="auto"/>
        <w:rPr>
          <w:rFonts w:cs="Arial"/>
          <w:sz w:val="16"/>
          <w:szCs w:val="16"/>
          <w:lang w:val="en-US" w:eastAsia="en-US"/>
        </w:rPr>
      </w:pPr>
      <w:r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tab/>
      </w:r>
      <w:r w:rsidR="007424CC">
        <w:rPr>
          <w:sz w:val="22"/>
          <w:szCs w:val="22"/>
          <w:lang w:val="en-US"/>
        </w:rPr>
        <w:t>R4-</w:t>
      </w:r>
      <w:r w:rsidR="007424CC" w:rsidRPr="007424CC">
        <w:rPr>
          <w:sz w:val="22"/>
          <w:szCs w:val="22"/>
          <w:lang w:val="en-US"/>
        </w:rPr>
        <w:t>1712718, “</w:t>
      </w:r>
      <w:r w:rsidR="007424CC" w:rsidRPr="007424CC">
        <w:rPr>
          <w:rFonts w:cs="Arial"/>
          <w:sz w:val="22"/>
          <w:szCs w:val="22"/>
          <w:lang w:val="en-US" w:eastAsia="en-US"/>
        </w:rPr>
        <w:t>On mm-wave filters and requirement impact</w:t>
      </w:r>
      <w:r w:rsidR="007424CC">
        <w:rPr>
          <w:rFonts w:cs="Arial"/>
          <w:sz w:val="22"/>
          <w:szCs w:val="22"/>
          <w:lang w:val="en-US" w:eastAsia="en-US"/>
        </w:rPr>
        <w:t>”, Ericsson</w:t>
      </w:r>
    </w:p>
    <w:p w14:paraId="552841AB" w14:textId="6D7BA4D9" w:rsidR="00D32164" w:rsidRDefault="007424CC" w:rsidP="007424CC">
      <w:pPr>
        <w:ind w:left="567" w:hanging="567"/>
      </w:pPr>
      <w:r>
        <w:rPr>
          <w:lang w:val="en-US"/>
        </w:rPr>
        <w:t>[4]</w:t>
      </w:r>
      <w:r>
        <w:rPr>
          <w:lang w:val="en-US"/>
        </w:rPr>
        <w:tab/>
        <w:t xml:space="preserve">R4-1711481, </w:t>
      </w:r>
      <w:proofErr w:type="gramStart"/>
      <w:r>
        <w:rPr>
          <w:lang w:val="en-US"/>
        </w:rPr>
        <w:t xml:space="preserve">“ </w:t>
      </w:r>
      <w:proofErr w:type="spellStart"/>
      <w:r>
        <w:t>Inband</w:t>
      </w:r>
      <w:proofErr w:type="spellEnd"/>
      <w:proofErr w:type="gramEnd"/>
      <w:r>
        <w:t xml:space="preserve"> receiver blocking for </w:t>
      </w:r>
      <w:proofErr w:type="spellStart"/>
      <w:r>
        <w:t>mmWave</w:t>
      </w:r>
      <w:proofErr w:type="spellEnd"/>
      <w:r>
        <w:t xml:space="preserve"> NR BS with 55dBm CPE FWA deployment “, Ericsson</w:t>
      </w:r>
    </w:p>
    <w:p w14:paraId="0D4FFDBA" w14:textId="691FFCB1" w:rsidR="007424CC" w:rsidRDefault="007424CC" w:rsidP="007424CC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160" w:line="256" w:lineRule="auto"/>
        <w:ind w:left="567" w:hanging="567"/>
        <w:jc w:val="left"/>
        <w:textAlignment w:val="auto"/>
        <w:rPr>
          <w:rFonts w:asciiTheme="minorHAnsi" w:hAnsiTheme="minorHAnsi"/>
          <w:lang w:val="en-US" w:eastAsia="en-US"/>
        </w:rPr>
      </w:pPr>
      <w:r>
        <w:t>[5]</w:t>
      </w:r>
      <w:r>
        <w:tab/>
      </w:r>
      <w:bookmarkStart w:id="3" w:name="_Ref494749110"/>
      <w:r>
        <w:t>R4-1709859, “Conducted blocker levels for NR BS In-band blocking”, Ericsson</w:t>
      </w:r>
      <w:bookmarkEnd w:id="3"/>
    </w:p>
    <w:p w14:paraId="3B70125E" w14:textId="7DC71939" w:rsidR="007424CC" w:rsidRDefault="007424CC" w:rsidP="007424CC">
      <w:pPr>
        <w:ind w:left="567" w:hanging="567"/>
        <w:rPr>
          <w:lang w:val="en-US"/>
        </w:rPr>
      </w:pPr>
    </w:p>
    <w:p w14:paraId="17F5ABFF" w14:textId="77777777" w:rsidR="0010791B" w:rsidRPr="0010791B" w:rsidRDefault="0010791B" w:rsidP="0010791B">
      <w:pPr>
        <w:rPr>
          <w:lang w:val="en-US"/>
        </w:rPr>
      </w:pPr>
    </w:p>
    <w:sectPr w:rsidR="0010791B" w:rsidRPr="0010791B" w:rsidSect="00AB4830">
      <w:headerReference w:type="even" r:id="rId18"/>
      <w:footerReference w:type="default" r:id="rId19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39C0C" w14:textId="77777777" w:rsidR="00204FB3" w:rsidRDefault="00204FB3">
      <w:r>
        <w:separator/>
      </w:r>
    </w:p>
  </w:endnote>
  <w:endnote w:type="continuationSeparator" w:id="0">
    <w:p w14:paraId="466E2750" w14:textId="77777777" w:rsidR="00204FB3" w:rsidRDefault="00204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2503A" w14:textId="4AD80BA3"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2AE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2AE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5ADC4" w14:textId="77777777" w:rsidR="00204FB3" w:rsidRDefault="00204FB3">
      <w:r>
        <w:separator/>
      </w:r>
    </w:p>
  </w:footnote>
  <w:footnote w:type="continuationSeparator" w:id="0">
    <w:p w14:paraId="6E6C0D0C" w14:textId="77777777" w:rsidR="00204FB3" w:rsidRDefault="00204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94F71" w14:textId="77777777"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49088E"/>
    <w:multiLevelType w:val="hybridMultilevel"/>
    <w:tmpl w:val="DAEE9594"/>
    <w:lvl w:ilvl="0" w:tplc="407C4F3A">
      <w:start w:val="5"/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53C3"/>
    <w:rsid w:val="00006446"/>
    <w:rsid w:val="0000688C"/>
    <w:rsid w:val="00006896"/>
    <w:rsid w:val="00006DEE"/>
    <w:rsid w:val="00007768"/>
    <w:rsid w:val="00007CDC"/>
    <w:rsid w:val="00010A65"/>
    <w:rsid w:val="00011B28"/>
    <w:rsid w:val="00011F25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468C7"/>
    <w:rsid w:val="00052A07"/>
    <w:rsid w:val="000534E3"/>
    <w:rsid w:val="0005606A"/>
    <w:rsid w:val="00057117"/>
    <w:rsid w:val="000616E7"/>
    <w:rsid w:val="00062E46"/>
    <w:rsid w:val="0006487E"/>
    <w:rsid w:val="00065D5B"/>
    <w:rsid w:val="00065E1A"/>
    <w:rsid w:val="00073F9A"/>
    <w:rsid w:val="00075131"/>
    <w:rsid w:val="00077E5F"/>
    <w:rsid w:val="0008036A"/>
    <w:rsid w:val="000807C7"/>
    <w:rsid w:val="00081AE6"/>
    <w:rsid w:val="00082EE2"/>
    <w:rsid w:val="000855EB"/>
    <w:rsid w:val="00085B52"/>
    <w:rsid w:val="00085C41"/>
    <w:rsid w:val="000866F2"/>
    <w:rsid w:val="000878DC"/>
    <w:rsid w:val="0009009F"/>
    <w:rsid w:val="00090658"/>
    <w:rsid w:val="00091557"/>
    <w:rsid w:val="000924C1"/>
    <w:rsid w:val="000924F0"/>
    <w:rsid w:val="00093186"/>
    <w:rsid w:val="00093474"/>
    <w:rsid w:val="0009510F"/>
    <w:rsid w:val="000A1B7B"/>
    <w:rsid w:val="000A4CEC"/>
    <w:rsid w:val="000A56F2"/>
    <w:rsid w:val="000A6BEB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5BBE"/>
    <w:rsid w:val="000E668F"/>
    <w:rsid w:val="000F06D6"/>
    <w:rsid w:val="000F0EB1"/>
    <w:rsid w:val="000F1106"/>
    <w:rsid w:val="000F3BE9"/>
    <w:rsid w:val="000F3F6C"/>
    <w:rsid w:val="000F6DF3"/>
    <w:rsid w:val="000F7ADE"/>
    <w:rsid w:val="001005FF"/>
    <w:rsid w:val="0010248B"/>
    <w:rsid w:val="00103BD6"/>
    <w:rsid w:val="001062FB"/>
    <w:rsid w:val="001063E6"/>
    <w:rsid w:val="001064ED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3AF4"/>
    <w:rsid w:val="00124314"/>
    <w:rsid w:val="00126B4A"/>
    <w:rsid w:val="001301CF"/>
    <w:rsid w:val="0013044C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1BD"/>
    <w:rsid w:val="001526E0"/>
    <w:rsid w:val="001551A4"/>
    <w:rsid w:val="001551B5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0EFB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62B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6E8"/>
    <w:rsid w:val="001D7E2C"/>
    <w:rsid w:val="001E0723"/>
    <w:rsid w:val="001E323A"/>
    <w:rsid w:val="001E3357"/>
    <w:rsid w:val="001E58E2"/>
    <w:rsid w:val="001E7A31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DEC"/>
    <w:rsid w:val="00203F96"/>
    <w:rsid w:val="002044DA"/>
    <w:rsid w:val="00204FB3"/>
    <w:rsid w:val="00205C19"/>
    <w:rsid w:val="0020601E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0809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4314"/>
    <w:rsid w:val="00286ACD"/>
    <w:rsid w:val="00287745"/>
    <w:rsid w:val="00287838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D071A"/>
    <w:rsid w:val="002D34B2"/>
    <w:rsid w:val="002D5715"/>
    <w:rsid w:val="002D7637"/>
    <w:rsid w:val="002E17F2"/>
    <w:rsid w:val="002E1B23"/>
    <w:rsid w:val="002E26BC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2AB0"/>
    <w:rsid w:val="003134BC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09A2"/>
    <w:rsid w:val="00357380"/>
    <w:rsid w:val="003576EB"/>
    <w:rsid w:val="003602D9"/>
    <w:rsid w:val="003604CE"/>
    <w:rsid w:val="00360518"/>
    <w:rsid w:val="00365210"/>
    <w:rsid w:val="00370E47"/>
    <w:rsid w:val="0037282D"/>
    <w:rsid w:val="00373281"/>
    <w:rsid w:val="003742AC"/>
    <w:rsid w:val="003753B8"/>
    <w:rsid w:val="00375B1A"/>
    <w:rsid w:val="00375CCD"/>
    <w:rsid w:val="00377CE1"/>
    <w:rsid w:val="00380575"/>
    <w:rsid w:val="00381482"/>
    <w:rsid w:val="0038436F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B0A"/>
    <w:rsid w:val="003A5EE1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0411"/>
    <w:rsid w:val="003D109F"/>
    <w:rsid w:val="003D2478"/>
    <w:rsid w:val="003D2746"/>
    <w:rsid w:val="003D5B1F"/>
    <w:rsid w:val="003D699A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BB7"/>
    <w:rsid w:val="003F2CD4"/>
    <w:rsid w:val="003F4423"/>
    <w:rsid w:val="003F448B"/>
    <w:rsid w:val="003F4AD2"/>
    <w:rsid w:val="003F6331"/>
    <w:rsid w:val="003F6BBE"/>
    <w:rsid w:val="003F7087"/>
    <w:rsid w:val="003F72E1"/>
    <w:rsid w:val="004000E8"/>
    <w:rsid w:val="00402E2B"/>
    <w:rsid w:val="004033AD"/>
    <w:rsid w:val="0040512B"/>
    <w:rsid w:val="00405CA5"/>
    <w:rsid w:val="004071BB"/>
    <w:rsid w:val="0040791A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05E5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5A5B"/>
    <w:rsid w:val="00446379"/>
    <w:rsid w:val="00446488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671"/>
    <w:rsid w:val="00481903"/>
    <w:rsid w:val="004874C1"/>
    <w:rsid w:val="00487C6A"/>
    <w:rsid w:val="00490378"/>
    <w:rsid w:val="00490D79"/>
    <w:rsid w:val="00492BC5"/>
    <w:rsid w:val="004964F1"/>
    <w:rsid w:val="004A16BC"/>
    <w:rsid w:val="004A2B94"/>
    <w:rsid w:val="004A46F8"/>
    <w:rsid w:val="004A520D"/>
    <w:rsid w:val="004A7383"/>
    <w:rsid w:val="004A795F"/>
    <w:rsid w:val="004A7B30"/>
    <w:rsid w:val="004B2F82"/>
    <w:rsid w:val="004B3410"/>
    <w:rsid w:val="004B4EC2"/>
    <w:rsid w:val="004B7C0C"/>
    <w:rsid w:val="004C3898"/>
    <w:rsid w:val="004C4D4B"/>
    <w:rsid w:val="004C5021"/>
    <w:rsid w:val="004C62D6"/>
    <w:rsid w:val="004C6FF7"/>
    <w:rsid w:val="004D07F4"/>
    <w:rsid w:val="004D1058"/>
    <w:rsid w:val="004D36B1"/>
    <w:rsid w:val="004D5851"/>
    <w:rsid w:val="004D67EE"/>
    <w:rsid w:val="004D7EBD"/>
    <w:rsid w:val="004E2680"/>
    <w:rsid w:val="004E27A2"/>
    <w:rsid w:val="004E28F9"/>
    <w:rsid w:val="004E3122"/>
    <w:rsid w:val="004E462E"/>
    <w:rsid w:val="004E56DC"/>
    <w:rsid w:val="004E58DE"/>
    <w:rsid w:val="004E76F4"/>
    <w:rsid w:val="004F0B4E"/>
    <w:rsid w:val="004F0B6C"/>
    <w:rsid w:val="004F0FAF"/>
    <w:rsid w:val="004F2078"/>
    <w:rsid w:val="004F3182"/>
    <w:rsid w:val="004F4A3F"/>
    <w:rsid w:val="004F4DA3"/>
    <w:rsid w:val="004F5353"/>
    <w:rsid w:val="0050200B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0864"/>
    <w:rsid w:val="00533FA7"/>
    <w:rsid w:val="00534B59"/>
    <w:rsid w:val="00536759"/>
    <w:rsid w:val="00537C62"/>
    <w:rsid w:val="00544144"/>
    <w:rsid w:val="005461FE"/>
    <w:rsid w:val="00546970"/>
    <w:rsid w:val="005503B6"/>
    <w:rsid w:val="00550C36"/>
    <w:rsid w:val="00551945"/>
    <w:rsid w:val="005536C2"/>
    <w:rsid w:val="00554E19"/>
    <w:rsid w:val="00560863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B48"/>
    <w:rsid w:val="00594DA3"/>
    <w:rsid w:val="00595DCA"/>
    <w:rsid w:val="00596666"/>
    <w:rsid w:val="0059779B"/>
    <w:rsid w:val="005A0FEC"/>
    <w:rsid w:val="005A209A"/>
    <w:rsid w:val="005A4519"/>
    <w:rsid w:val="005A662D"/>
    <w:rsid w:val="005A75F9"/>
    <w:rsid w:val="005B126D"/>
    <w:rsid w:val="005B2AE4"/>
    <w:rsid w:val="005B35D7"/>
    <w:rsid w:val="005B392A"/>
    <w:rsid w:val="005B3AA3"/>
    <w:rsid w:val="005B50BF"/>
    <w:rsid w:val="005B6F83"/>
    <w:rsid w:val="005C2B84"/>
    <w:rsid w:val="005C5711"/>
    <w:rsid w:val="005C67DB"/>
    <w:rsid w:val="005C74FB"/>
    <w:rsid w:val="005D1602"/>
    <w:rsid w:val="005D5DD5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266AA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17D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3A7"/>
    <w:rsid w:val="006776D7"/>
    <w:rsid w:val="00681003"/>
    <w:rsid w:val="006817C9"/>
    <w:rsid w:val="00683ECE"/>
    <w:rsid w:val="00684F78"/>
    <w:rsid w:val="00685113"/>
    <w:rsid w:val="00693E95"/>
    <w:rsid w:val="00695D13"/>
    <w:rsid w:val="00695FC2"/>
    <w:rsid w:val="00696949"/>
    <w:rsid w:val="00697052"/>
    <w:rsid w:val="006A0E7A"/>
    <w:rsid w:val="006A1D0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3675"/>
    <w:rsid w:val="006C5EC9"/>
    <w:rsid w:val="006C605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1CBF"/>
    <w:rsid w:val="006F341D"/>
    <w:rsid w:val="006F3CDE"/>
    <w:rsid w:val="006F4058"/>
    <w:rsid w:val="006F572E"/>
    <w:rsid w:val="006F58D4"/>
    <w:rsid w:val="006F7B1A"/>
    <w:rsid w:val="00700AC6"/>
    <w:rsid w:val="00700EC6"/>
    <w:rsid w:val="00703346"/>
    <w:rsid w:val="0070346E"/>
    <w:rsid w:val="00704EDB"/>
    <w:rsid w:val="00706101"/>
    <w:rsid w:val="00707072"/>
    <w:rsid w:val="007076AD"/>
    <w:rsid w:val="00707D61"/>
    <w:rsid w:val="00711981"/>
    <w:rsid w:val="00712287"/>
    <w:rsid w:val="00712772"/>
    <w:rsid w:val="00712A9C"/>
    <w:rsid w:val="00712B89"/>
    <w:rsid w:val="00713384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24CC"/>
    <w:rsid w:val="007445A0"/>
    <w:rsid w:val="0074524B"/>
    <w:rsid w:val="007454F4"/>
    <w:rsid w:val="00747D8B"/>
    <w:rsid w:val="00751228"/>
    <w:rsid w:val="00753C53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5A4A"/>
    <w:rsid w:val="00766BAD"/>
    <w:rsid w:val="00766EB6"/>
    <w:rsid w:val="007727A5"/>
    <w:rsid w:val="00772EBA"/>
    <w:rsid w:val="00773F52"/>
    <w:rsid w:val="007744C6"/>
    <w:rsid w:val="00774F22"/>
    <w:rsid w:val="007755F2"/>
    <w:rsid w:val="00776971"/>
    <w:rsid w:val="00776BC6"/>
    <w:rsid w:val="00776BEA"/>
    <w:rsid w:val="0078177E"/>
    <w:rsid w:val="007826A5"/>
    <w:rsid w:val="0078304C"/>
    <w:rsid w:val="00783673"/>
    <w:rsid w:val="00784EC9"/>
    <w:rsid w:val="00785490"/>
    <w:rsid w:val="007877BF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458A"/>
    <w:rsid w:val="007A5803"/>
    <w:rsid w:val="007A58A6"/>
    <w:rsid w:val="007A71CF"/>
    <w:rsid w:val="007B0805"/>
    <w:rsid w:val="007B1AC6"/>
    <w:rsid w:val="007B3332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37A3"/>
    <w:rsid w:val="007F7373"/>
    <w:rsid w:val="007F7DCF"/>
    <w:rsid w:val="00803FAE"/>
    <w:rsid w:val="00805DC4"/>
    <w:rsid w:val="0080605F"/>
    <w:rsid w:val="00807786"/>
    <w:rsid w:val="00811FCB"/>
    <w:rsid w:val="00812DC8"/>
    <w:rsid w:val="008158D6"/>
    <w:rsid w:val="0081669C"/>
    <w:rsid w:val="00817196"/>
    <w:rsid w:val="008173B2"/>
    <w:rsid w:val="008201DE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142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493"/>
    <w:rsid w:val="008719A4"/>
    <w:rsid w:val="00871D23"/>
    <w:rsid w:val="00872D6A"/>
    <w:rsid w:val="00874312"/>
    <w:rsid w:val="0087437C"/>
    <w:rsid w:val="008755C4"/>
    <w:rsid w:val="00875B50"/>
    <w:rsid w:val="00875CD7"/>
    <w:rsid w:val="00875E7F"/>
    <w:rsid w:val="00876B4D"/>
    <w:rsid w:val="008775FB"/>
    <w:rsid w:val="00877F18"/>
    <w:rsid w:val="00881DBF"/>
    <w:rsid w:val="0089088A"/>
    <w:rsid w:val="008939AE"/>
    <w:rsid w:val="00893D76"/>
    <w:rsid w:val="00894A88"/>
    <w:rsid w:val="00895386"/>
    <w:rsid w:val="00895F04"/>
    <w:rsid w:val="008A0114"/>
    <w:rsid w:val="008A21FF"/>
    <w:rsid w:val="008A2CE2"/>
    <w:rsid w:val="008A30AC"/>
    <w:rsid w:val="008A3F68"/>
    <w:rsid w:val="008A44B8"/>
    <w:rsid w:val="008A51A8"/>
    <w:rsid w:val="008A54C7"/>
    <w:rsid w:val="008A55DB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5A3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4BA3"/>
    <w:rsid w:val="008E5CE1"/>
    <w:rsid w:val="008E772C"/>
    <w:rsid w:val="008F1EAB"/>
    <w:rsid w:val="008F2F68"/>
    <w:rsid w:val="008F33DC"/>
    <w:rsid w:val="008F3468"/>
    <w:rsid w:val="008F3C3D"/>
    <w:rsid w:val="008F477F"/>
    <w:rsid w:val="008F5621"/>
    <w:rsid w:val="008F6ED6"/>
    <w:rsid w:val="00902350"/>
    <w:rsid w:val="0090336B"/>
    <w:rsid w:val="0090519C"/>
    <w:rsid w:val="009051A9"/>
    <w:rsid w:val="009053AA"/>
    <w:rsid w:val="00906939"/>
    <w:rsid w:val="009106CA"/>
    <w:rsid w:val="00910B7D"/>
    <w:rsid w:val="009112FE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23382"/>
    <w:rsid w:val="009250AE"/>
    <w:rsid w:val="00925A3D"/>
    <w:rsid w:val="00931BD9"/>
    <w:rsid w:val="00934F5C"/>
    <w:rsid w:val="00935BE2"/>
    <w:rsid w:val="00935D48"/>
    <w:rsid w:val="009368F3"/>
    <w:rsid w:val="00936D89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F08"/>
    <w:rsid w:val="00973CA5"/>
    <w:rsid w:val="0097603D"/>
    <w:rsid w:val="00976949"/>
    <w:rsid w:val="00980477"/>
    <w:rsid w:val="00982877"/>
    <w:rsid w:val="00984A36"/>
    <w:rsid w:val="00985253"/>
    <w:rsid w:val="009853B3"/>
    <w:rsid w:val="00985484"/>
    <w:rsid w:val="00990630"/>
    <w:rsid w:val="00990C73"/>
    <w:rsid w:val="00990DF7"/>
    <w:rsid w:val="00991761"/>
    <w:rsid w:val="00991E53"/>
    <w:rsid w:val="009927CB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A7A4D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C4159"/>
    <w:rsid w:val="009C42BB"/>
    <w:rsid w:val="009D125F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0B28"/>
    <w:rsid w:val="009F1F2E"/>
    <w:rsid w:val="009F206B"/>
    <w:rsid w:val="009F344F"/>
    <w:rsid w:val="009F46D1"/>
    <w:rsid w:val="009F48B2"/>
    <w:rsid w:val="009F5422"/>
    <w:rsid w:val="009F5CE6"/>
    <w:rsid w:val="009F7509"/>
    <w:rsid w:val="00A00DBC"/>
    <w:rsid w:val="00A048A8"/>
    <w:rsid w:val="00A05FEE"/>
    <w:rsid w:val="00A101F1"/>
    <w:rsid w:val="00A106FD"/>
    <w:rsid w:val="00A11CD5"/>
    <w:rsid w:val="00A1232E"/>
    <w:rsid w:val="00A13E54"/>
    <w:rsid w:val="00A14648"/>
    <w:rsid w:val="00A15A8B"/>
    <w:rsid w:val="00A17290"/>
    <w:rsid w:val="00A17F63"/>
    <w:rsid w:val="00A2036A"/>
    <w:rsid w:val="00A217D2"/>
    <w:rsid w:val="00A2193B"/>
    <w:rsid w:val="00A2351A"/>
    <w:rsid w:val="00A23FA7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049"/>
    <w:rsid w:val="00A67E6C"/>
    <w:rsid w:val="00A717BB"/>
    <w:rsid w:val="00A71B99"/>
    <w:rsid w:val="00A7327A"/>
    <w:rsid w:val="00A739D0"/>
    <w:rsid w:val="00A73DA1"/>
    <w:rsid w:val="00A761D4"/>
    <w:rsid w:val="00A77CD3"/>
    <w:rsid w:val="00A77EC4"/>
    <w:rsid w:val="00A80CB6"/>
    <w:rsid w:val="00A838DB"/>
    <w:rsid w:val="00A86418"/>
    <w:rsid w:val="00A9040C"/>
    <w:rsid w:val="00A9086D"/>
    <w:rsid w:val="00A92879"/>
    <w:rsid w:val="00A9442A"/>
    <w:rsid w:val="00A94836"/>
    <w:rsid w:val="00A95F36"/>
    <w:rsid w:val="00AA016F"/>
    <w:rsid w:val="00AA0E80"/>
    <w:rsid w:val="00AA1ED6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31F"/>
    <w:rsid w:val="00AD0AA3"/>
    <w:rsid w:val="00AD1C5C"/>
    <w:rsid w:val="00AD212F"/>
    <w:rsid w:val="00AD2642"/>
    <w:rsid w:val="00AD3F94"/>
    <w:rsid w:val="00AD47C7"/>
    <w:rsid w:val="00AD4A5A"/>
    <w:rsid w:val="00AD4F3C"/>
    <w:rsid w:val="00AD520D"/>
    <w:rsid w:val="00AD7A39"/>
    <w:rsid w:val="00AE03F8"/>
    <w:rsid w:val="00AE1535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28B7"/>
    <w:rsid w:val="00B664C7"/>
    <w:rsid w:val="00B6797E"/>
    <w:rsid w:val="00B7033B"/>
    <w:rsid w:val="00B71CF5"/>
    <w:rsid w:val="00B73117"/>
    <w:rsid w:val="00B7355C"/>
    <w:rsid w:val="00B739F6"/>
    <w:rsid w:val="00B73A8E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1D68"/>
    <w:rsid w:val="00BB2A25"/>
    <w:rsid w:val="00BB4444"/>
    <w:rsid w:val="00BB51E9"/>
    <w:rsid w:val="00BC0FDC"/>
    <w:rsid w:val="00BC1028"/>
    <w:rsid w:val="00BC1976"/>
    <w:rsid w:val="00BC2666"/>
    <w:rsid w:val="00BC3053"/>
    <w:rsid w:val="00BC4D2E"/>
    <w:rsid w:val="00BC55B1"/>
    <w:rsid w:val="00BC590C"/>
    <w:rsid w:val="00BD2187"/>
    <w:rsid w:val="00BD48AC"/>
    <w:rsid w:val="00BD5F1A"/>
    <w:rsid w:val="00BD6434"/>
    <w:rsid w:val="00BD6E64"/>
    <w:rsid w:val="00BE1234"/>
    <w:rsid w:val="00BE1CF8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1811"/>
    <w:rsid w:val="00BF27E1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6A39"/>
    <w:rsid w:val="00C3719D"/>
    <w:rsid w:val="00C4415A"/>
    <w:rsid w:val="00C47CD8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B1A"/>
    <w:rsid w:val="00C63F87"/>
    <w:rsid w:val="00C64672"/>
    <w:rsid w:val="00C65D02"/>
    <w:rsid w:val="00C70697"/>
    <w:rsid w:val="00C71700"/>
    <w:rsid w:val="00C72EF4"/>
    <w:rsid w:val="00C75D2F"/>
    <w:rsid w:val="00C767BE"/>
    <w:rsid w:val="00C769DE"/>
    <w:rsid w:val="00C76E3C"/>
    <w:rsid w:val="00C77BFD"/>
    <w:rsid w:val="00C81568"/>
    <w:rsid w:val="00C86EE6"/>
    <w:rsid w:val="00C9027A"/>
    <w:rsid w:val="00C9068E"/>
    <w:rsid w:val="00C93C4B"/>
    <w:rsid w:val="00C944AB"/>
    <w:rsid w:val="00C95B40"/>
    <w:rsid w:val="00C97623"/>
    <w:rsid w:val="00C97B7C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3A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37C7"/>
    <w:rsid w:val="00CE4D66"/>
    <w:rsid w:val="00CE64D5"/>
    <w:rsid w:val="00CE7561"/>
    <w:rsid w:val="00CE7F1E"/>
    <w:rsid w:val="00CF06F7"/>
    <w:rsid w:val="00CF1354"/>
    <w:rsid w:val="00CF205D"/>
    <w:rsid w:val="00CF27A5"/>
    <w:rsid w:val="00CF3B1F"/>
    <w:rsid w:val="00CF3BF6"/>
    <w:rsid w:val="00CF57DA"/>
    <w:rsid w:val="00CF625B"/>
    <w:rsid w:val="00CF687E"/>
    <w:rsid w:val="00CF7866"/>
    <w:rsid w:val="00D0349B"/>
    <w:rsid w:val="00D0379B"/>
    <w:rsid w:val="00D10249"/>
    <w:rsid w:val="00D115C3"/>
    <w:rsid w:val="00D11897"/>
    <w:rsid w:val="00D12B33"/>
    <w:rsid w:val="00D13135"/>
    <w:rsid w:val="00D13571"/>
    <w:rsid w:val="00D13793"/>
    <w:rsid w:val="00D137D4"/>
    <w:rsid w:val="00D13E4E"/>
    <w:rsid w:val="00D140F6"/>
    <w:rsid w:val="00D1663B"/>
    <w:rsid w:val="00D223DE"/>
    <w:rsid w:val="00D239A7"/>
    <w:rsid w:val="00D23F47"/>
    <w:rsid w:val="00D32164"/>
    <w:rsid w:val="00D32B9B"/>
    <w:rsid w:val="00D35589"/>
    <w:rsid w:val="00D365B5"/>
    <w:rsid w:val="00D36C57"/>
    <w:rsid w:val="00D36E71"/>
    <w:rsid w:val="00D3700D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373"/>
    <w:rsid w:val="00D576CA"/>
    <w:rsid w:val="00D605E8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4BA7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4A0D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B7166"/>
    <w:rsid w:val="00DC0024"/>
    <w:rsid w:val="00DC0EB4"/>
    <w:rsid w:val="00DC2D36"/>
    <w:rsid w:val="00DC4220"/>
    <w:rsid w:val="00DC53EF"/>
    <w:rsid w:val="00DC6D39"/>
    <w:rsid w:val="00DD15E5"/>
    <w:rsid w:val="00DD3C4B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1F6B"/>
    <w:rsid w:val="00DF36BF"/>
    <w:rsid w:val="00DF37A0"/>
    <w:rsid w:val="00E00395"/>
    <w:rsid w:val="00E04B41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253"/>
    <w:rsid w:val="00E35559"/>
    <w:rsid w:val="00E36A35"/>
    <w:rsid w:val="00E3723A"/>
    <w:rsid w:val="00E37860"/>
    <w:rsid w:val="00E43415"/>
    <w:rsid w:val="00E43AD2"/>
    <w:rsid w:val="00E446F1"/>
    <w:rsid w:val="00E46886"/>
    <w:rsid w:val="00E47AEF"/>
    <w:rsid w:val="00E53B75"/>
    <w:rsid w:val="00E54E3B"/>
    <w:rsid w:val="00E5655E"/>
    <w:rsid w:val="00E57565"/>
    <w:rsid w:val="00E617AD"/>
    <w:rsid w:val="00E625A2"/>
    <w:rsid w:val="00E63838"/>
    <w:rsid w:val="00E64434"/>
    <w:rsid w:val="00E64629"/>
    <w:rsid w:val="00E662D6"/>
    <w:rsid w:val="00E67C51"/>
    <w:rsid w:val="00E67CB5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2E1"/>
    <w:rsid w:val="00E87822"/>
    <w:rsid w:val="00E90395"/>
    <w:rsid w:val="00E90E49"/>
    <w:rsid w:val="00E910A9"/>
    <w:rsid w:val="00E917F9"/>
    <w:rsid w:val="00E9291C"/>
    <w:rsid w:val="00E93210"/>
    <w:rsid w:val="00E938DD"/>
    <w:rsid w:val="00E93FFE"/>
    <w:rsid w:val="00E9434A"/>
    <w:rsid w:val="00E94F8A"/>
    <w:rsid w:val="00E955DA"/>
    <w:rsid w:val="00E97C43"/>
    <w:rsid w:val="00EA2E6B"/>
    <w:rsid w:val="00EA4B6F"/>
    <w:rsid w:val="00EA4E1A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6851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37F7"/>
    <w:rsid w:val="00F15FA5"/>
    <w:rsid w:val="00F209B7"/>
    <w:rsid w:val="00F2376F"/>
    <w:rsid w:val="00F243D8"/>
    <w:rsid w:val="00F24DF7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2AEC"/>
    <w:rsid w:val="00F53C35"/>
    <w:rsid w:val="00F546E1"/>
    <w:rsid w:val="00F55F72"/>
    <w:rsid w:val="00F607C5"/>
    <w:rsid w:val="00F60DEA"/>
    <w:rsid w:val="00F6302A"/>
    <w:rsid w:val="00F63936"/>
    <w:rsid w:val="00F64C2B"/>
    <w:rsid w:val="00F651BE"/>
    <w:rsid w:val="00F66D78"/>
    <w:rsid w:val="00F67E13"/>
    <w:rsid w:val="00F67F53"/>
    <w:rsid w:val="00F70354"/>
    <w:rsid w:val="00F703BE"/>
    <w:rsid w:val="00F71A78"/>
    <w:rsid w:val="00F71F69"/>
    <w:rsid w:val="00F72B72"/>
    <w:rsid w:val="00F74BB9"/>
    <w:rsid w:val="00F7529C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29D"/>
    <w:rsid w:val="00F96985"/>
    <w:rsid w:val="00F96D4C"/>
    <w:rsid w:val="00F97838"/>
    <w:rsid w:val="00FA0A3C"/>
    <w:rsid w:val="00FA2BB3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C7429"/>
    <w:rsid w:val="00FC78D8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FB451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C55CB-D56F-48E1-8F9C-3B182DB5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7</TotalTime>
  <Pages>2</Pages>
  <Words>891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5</cp:revision>
  <cp:lastPrinted>2016-09-23T14:37:00Z</cp:lastPrinted>
  <dcterms:created xsi:type="dcterms:W3CDTF">2018-01-15T10:41:00Z</dcterms:created>
  <dcterms:modified xsi:type="dcterms:W3CDTF">2018-01-15T10:47:00Z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