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8A18B" w14:textId="06864648" w:rsidR="00841BCD" w:rsidRPr="00E02456"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00ED7600" w:rsidRPr="00A51F0E">
        <w:rPr>
          <w:rFonts w:ascii="Arial" w:hAnsi="Arial" w:cs="Times New Roman"/>
          <w:b/>
          <w:sz w:val="24"/>
          <w:szCs w:val="20"/>
          <w:lang w:val="en-GB"/>
        </w:rPr>
        <w:t>WG4 Meeting #</w:t>
      </w:r>
      <w:r w:rsidR="00C0485C" w:rsidRPr="00A51F0E">
        <w:rPr>
          <w:rFonts w:ascii="Arial" w:hAnsi="Arial" w:cs="Times New Roman"/>
          <w:b/>
          <w:sz w:val="24"/>
          <w:szCs w:val="20"/>
          <w:lang w:val="en-GB"/>
        </w:rPr>
        <w:t>9</w:t>
      </w:r>
      <w:r w:rsidR="009E65C0">
        <w:rPr>
          <w:rFonts w:ascii="Arial" w:hAnsi="Arial" w:cs="Times New Roman"/>
          <w:b/>
          <w:sz w:val="24"/>
          <w:szCs w:val="20"/>
          <w:lang w:val="en-GB" w:eastAsia="zh-CN"/>
        </w:rPr>
        <w:t>9</w:t>
      </w:r>
      <w:r w:rsidR="008A0151" w:rsidRPr="00A51F0E">
        <w:rPr>
          <w:rFonts w:ascii="Arial" w:hAnsi="Arial" w:cs="Times New Roman" w:hint="eastAsia"/>
          <w:b/>
          <w:sz w:val="24"/>
          <w:szCs w:val="20"/>
          <w:lang w:val="en-GB" w:eastAsia="zh-CN"/>
        </w:rPr>
        <w:t>-</w:t>
      </w:r>
      <w:r w:rsidR="008A0151" w:rsidRPr="00A51F0E">
        <w:rPr>
          <w:rFonts w:ascii="Arial" w:hAnsi="Arial" w:cs="Times New Roman"/>
          <w:b/>
          <w:sz w:val="24"/>
          <w:szCs w:val="20"/>
          <w:lang w:val="en-GB" w:eastAsia="zh-CN"/>
        </w:rPr>
        <w:t>e</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Pr="00A51F0E">
        <w:rPr>
          <w:rFonts w:ascii="Arial" w:hAnsi="Arial" w:cs="Times New Roman" w:hint="eastAsia"/>
          <w:b/>
          <w:bCs/>
          <w:sz w:val="24"/>
          <w:szCs w:val="20"/>
          <w:lang w:val="en-GB" w:eastAsia="ja-JP"/>
        </w:rPr>
        <w:t>R</w:t>
      </w:r>
      <w:r w:rsidRPr="00A51F0E">
        <w:rPr>
          <w:rFonts w:ascii="Arial" w:hAnsi="Arial" w:cs="Times New Roman"/>
          <w:b/>
          <w:bCs/>
          <w:sz w:val="24"/>
          <w:szCs w:val="20"/>
          <w:lang w:val="en-GB" w:eastAsia="ja-JP"/>
        </w:rPr>
        <w:t>4</w:t>
      </w:r>
      <w:r w:rsidRPr="00A51F0E">
        <w:rPr>
          <w:rFonts w:ascii="Arial" w:hAnsi="Arial" w:cs="Times New Roman" w:hint="eastAsia"/>
          <w:b/>
          <w:bCs/>
          <w:sz w:val="24"/>
          <w:szCs w:val="20"/>
          <w:lang w:val="en-GB" w:eastAsia="ja-JP"/>
        </w:rPr>
        <w:t>-</w:t>
      </w:r>
      <w:r w:rsidR="008A0151" w:rsidRPr="00A51F0E">
        <w:rPr>
          <w:rFonts w:ascii="Arial" w:hAnsi="Arial" w:cs="Times New Roman"/>
          <w:b/>
          <w:bCs/>
          <w:sz w:val="24"/>
          <w:szCs w:val="20"/>
          <w:lang w:val="en-GB" w:eastAsia="zh-CN"/>
        </w:rPr>
        <w:t>2</w:t>
      </w:r>
      <w:r w:rsidR="00EB47DB">
        <w:rPr>
          <w:rFonts w:ascii="Arial" w:hAnsi="Arial" w:cs="Times New Roman"/>
          <w:b/>
          <w:bCs/>
          <w:sz w:val="24"/>
          <w:szCs w:val="20"/>
          <w:lang w:val="en-GB" w:eastAsia="zh-CN"/>
        </w:rPr>
        <w:t>1</w:t>
      </w:r>
      <w:r w:rsidR="00CE57FF">
        <w:rPr>
          <w:rFonts w:ascii="Arial" w:hAnsi="Arial" w:cs="Times New Roman"/>
          <w:b/>
          <w:bCs/>
          <w:sz w:val="24"/>
          <w:szCs w:val="20"/>
          <w:lang w:val="en-GB" w:eastAsia="zh-CN"/>
        </w:rPr>
        <w:t>11028</w:t>
      </w:r>
    </w:p>
    <w:bookmarkEnd w:id="0"/>
    <w:bookmarkEnd w:id="1"/>
    <w:p w14:paraId="571CD9BB" w14:textId="4810966A" w:rsidR="00EB47DB" w:rsidRPr="00841BCD" w:rsidRDefault="00EB47DB" w:rsidP="00EB47DB">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9E65C0">
        <w:rPr>
          <w:rFonts w:ascii="Arial" w:hAnsi="Arial"/>
          <w:b/>
          <w:sz w:val="24"/>
          <w:szCs w:val="24"/>
          <w:lang w:eastAsia="zh-CN"/>
        </w:rPr>
        <w:t>May</w:t>
      </w:r>
      <w:r>
        <w:rPr>
          <w:rFonts w:ascii="Arial" w:hAnsi="Arial" w:hint="eastAsia"/>
          <w:b/>
          <w:sz w:val="24"/>
          <w:szCs w:val="24"/>
          <w:lang w:eastAsia="zh-CN"/>
        </w:rPr>
        <w:t>.</w:t>
      </w:r>
      <w:r w:rsidR="009E65C0">
        <w:rPr>
          <w:rFonts w:ascii="Arial" w:hAnsi="Arial"/>
          <w:b/>
          <w:sz w:val="24"/>
          <w:szCs w:val="24"/>
          <w:lang w:eastAsia="zh-CN"/>
        </w:rPr>
        <w:t>19</w:t>
      </w:r>
      <w:r>
        <w:rPr>
          <w:rFonts w:ascii="Arial" w:hAnsi="Arial"/>
          <w:b/>
          <w:sz w:val="24"/>
          <w:szCs w:val="24"/>
          <w:lang w:eastAsia="zh-CN"/>
        </w:rPr>
        <w:t xml:space="preserve"> - </w:t>
      </w:r>
      <w:r w:rsidR="009E65C0">
        <w:rPr>
          <w:rFonts w:ascii="Arial" w:hAnsi="Arial"/>
          <w:b/>
          <w:sz w:val="24"/>
          <w:szCs w:val="24"/>
          <w:lang w:eastAsia="zh-CN"/>
        </w:rPr>
        <w:t>27</w:t>
      </w:r>
      <w:r w:rsidRPr="00554399">
        <w:rPr>
          <w:rFonts w:ascii="Arial" w:hAnsi="Arial"/>
          <w:b/>
          <w:sz w:val="24"/>
          <w:szCs w:val="24"/>
          <w:lang w:eastAsia="zh-CN"/>
        </w:rPr>
        <w:t>, 202</w:t>
      </w:r>
      <w:r w:rsidR="00D513D5">
        <w:rPr>
          <w:rFonts w:ascii="Arial" w:hAnsi="Arial" w:cs="Times New Roman"/>
          <w:b/>
          <w:sz w:val="24"/>
          <w:szCs w:val="20"/>
          <w:lang w:val="en-GB"/>
        </w:rPr>
        <w:t>1</w:t>
      </w:r>
      <w:r>
        <w:rPr>
          <w:rFonts w:ascii="Arial" w:hAnsi="Arial" w:cs="Times New Roman"/>
          <w:b/>
          <w:bCs/>
          <w:noProof/>
          <w:sz w:val="24"/>
          <w:szCs w:val="20"/>
          <w:lang w:eastAsia="zh-CN"/>
        </w:rPr>
        <w:t xml:space="preserve"> </w:t>
      </w:r>
    </w:p>
    <w:p w14:paraId="592E0FB1" w14:textId="77777777" w:rsidR="00EB47DB" w:rsidRPr="00841BCD" w:rsidRDefault="00EB47DB" w:rsidP="004D744A">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p>
    <w:p w14:paraId="0479A6CD"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4A00AD5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70786AE" w14:textId="57336CF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C01">
        <w:rPr>
          <w:rFonts w:ascii="Arial" w:eastAsia="Calibri" w:hAnsi="Arial" w:cs="Arial"/>
          <w:b/>
          <w:bCs/>
          <w:sz w:val="24"/>
          <w:lang w:val="en-GB"/>
        </w:rPr>
        <w:t xml:space="preserve">Discussion on </w:t>
      </w:r>
      <w:r w:rsidR="00400D32">
        <w:rPr>
          <w:rFonts w:ascii="Arial" w:eastAsia="Calibri" w:hAnsi="Arial" w:cs="Arial"/>
          <w:b/>
          <w:bCs/>
          <w:sz w:val="24"/>
          <w:lang w:val="en-GB"/>
        </w:rPr>
        <w:t>RRC-based BWP switch</w:t>
      </w:r>
      <w:r w:rsidR="00BB7C01">
        <w:rPr>
          <w:rFonts w:ascii="Arial" w:eastAsia="Calibri" w:hAnsi="Arial" w:cs="Arial"/>
          <w:b/>
          <w:bCs/>
          <w:sz w:val="24"/>
          <w:lang w:val="en-GB"/>
        </w:rPr>
        <w:t xml:space="preserve"> </w:t>
      </w:r>
      <w:r w:rsidR="0071562E">
        <w:rPr>
          <w:rFonts w:ascii="Arial" w:eastAsia="Calibri" w:hAnsi="Arial" w:cs="Arial"/>
          <w:b/>
          <w:bCs/>
          <w:sz w:val="24"/>
          <w:lang w:val="en-GB"/>
        </w:rPr>
        <w:t>requirements</w:t>
      </w:r>
      <w:r w:rsidR="009E15EA">
        <w:rPr>
          <w:rFonts w:ascii="Arial" w:eastAsia="Calibri" w:hAnsi="Arial" w:cs="Arial"/>
          <w:b/>
          <w:bCs/>
          <w:sz w:val="24"/>
          <w:lang w:val="en-GB"/>
        </w:rPr>
        <w:t xml:space="preserve"> on single CC</w:t>
      </w:r>
    </w:p>
    <w:p w14:paraId="16C6760A" w14:textId="790BFA3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E15EA">
        <w:rPr>
          <w:rFonts w:ascii="Arial" w:eastAsia="MS Mincho" w:hAnsi="Arial" w:cs="Arial"/>
          <w:b/>
          <w:bCs/>
          <w:sz w:val="24"/>
          <w:szCs w:val="20"/>
          <w:lang w:val="en-GB"/>
        </w:rPr>
        <w:t>4</w:t>
      </w:r>
      <w:r w:rsidR="0071562E">
        <w:rPr>
          <w:rFonts w:ascii="Arial" w:eastAsia="MS Mincho" w:hAnsi="Arial" w:cs="Arial"/>
          <w:b/>
          <w:bCs/>
          <w:sz w:val="24"/>
          <w:szCs w:val="20"/>
          <w:lang w:val="en-GB"/>
        </w:rPr>
        <w:t>.</w:t>
      </w:r>
      <w:r w:rsidR="009E15EA">
        <w:rPr>
          <w:rFonts w:ascii="Arial" w:eastAsia="MS Mincho" w:hAnsi="Arial" w:cs="Arial"/>
          <w:b/>
          <w:bCs/>
          <w:sz w:val="24"/>
          <w:szCs w:val="20"/>
          <w:lang w:val="en-GB"/>
        </w:rPr>
        <w:t>1</w:t>
      </w:r>
      <w:r w:rsidR="0071562E">
        <w:rPr>
          <w:rFonts w:ascii="Arial" w:eastAsia="MS Mincho" w:hAnsi="Arial" w:cs="Arial"/>
          <w:b/>
          <w:bCs/>
          <w:sz w:val="24"/>
          <w:szCs w:val="20"/>
          <w:lang w:val="en-GB"/>
        </w:rPr>
        <w:t>.</w:t>
      </w:r>
      <w:r w:rsidR="009E15EA">
        <w:rPr>
          <w:rFonts w:ascii="Arial" w:eastAsia="MS Mincho" w:hAnsi="Arial" w:cs="Arial"/>
          <w:b/>
          <w:bCs/>
          <w:sz w:val="24"/>
          <w:szCs w:val="20"/>
          <w:lang w:val="en-GB"/>
        </w:rPr>
        <w:t>7</w:t>
      </w:r>
    </w:p>
    <w:p w14:paraId="56AB1348"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0485C">
        <w:rPr>
          <w:rFonts w:ascii="Arial" w:eastAsia="Calibri" w:hAnsi="Arial" w:cs="Arial"/>
          <w:b/>
          <w:bCs/>
          <w:sz w:val="24"/>
          <w:lang w:val="en-GB"/>
        </w:rPr>
        <w:t>Discussion</w:t>
      </w:r>
    </w:p>
    <w:p w14:paraId="7C0F8D17" w14:textId="77777777" w:rsidR="00841BCD" w:rsidRDefault="00841BCD" w:rsidP="00A37002">
      <w:pPr>
        <w:pStyle w:val="RAN4H1"/>
      </w:pPr>
      <w:r w:rsidRPr="00AE56B1">
        <w:t>Intro</w:t>
      </w:r>
      <w:r w:rsidRPr="00AE56B1">
        <w:rPr>
          <w:rStyle w:val="RAN4H1Char"/>
        </w:rPr>
        <w:t>ductio</w:t>
      </w:r>
      <w:r w:rsidRPr="00AE56B1">
        <w:t>n</w:t>
      </w:r>
    </w:p>
    <w:p w14:paraId="52A645AA" w14:textId="1F2F4894" w:rsidR="002B1E33" w:rsidRDefault="00144167" w:rsidP="00E61A79">
      <w:pPr>
        <w:spacing w:before="240" w:after="0"/>
        <w:rPr>
          <w:lang w:val="en-GB"/>
        </w:rPr>
      </w:pPr>
      <w:r>
        <w:rPr>
          <w:lang w:val="en-GB"/>
        </w:rPr>
        <w:t>I</w:t>
      </w:r>
      <w:r w:rsidR="002B1E33" w:rsidRPr="002B1E33">
        <w:rPr>
          <w:lang w:val="en-GB"/>
        </w:rPr>
        <w:t>n RAN4#9</w:t>
      </w:r>
      <w:r w:rsidR="00BE666D">
        <w:rPr>
          <w:lang w:val="en-GB"/>
        </w:rPr>
        <w:t>7</w:t>
      </w:r>
      <w:r w:rsidR="002B1E33" w:rsidRPr="002B1E33">
        <w:rPr>
          <w:lang w:val="en-GB"/>
        </w:rPr>
        <w:t>e</w:t>
      </w:r>
      <w:r w:rsidR="00BE666D">
        <w:rPr>
          <w:lang w:val="en-GB"/>
        </w:rPr>
        <w:t xml:space="preserve">, </w:t>
      </w:r>
      <w:r w:rsidR="002D02B6">
        <w:rPr>
          <w:lang w:val="en-GB"/>
        </w:rPr>
        <w:t xml:space="preserve">the applicability of RRC based BWP switch delay requirements was discussed and an agreed LS [1] was sent to RAN2 to ask the clarification from RAN2 perspective. RAN2 has discussed this issue in RAN2#113e and a replied LS [2] was agreed and sent to RAN4. </w:t>
      </w:r>
    </w:p>
    <w:p w14:paraId="64BA1AE2" w14:textId="78D1499C" w:rsidR="002B1E33" w:rsidRDefault="002B1E33" w:rsidP="005C23A4">
      <w:r w:rsidRPr="002B1E33">
        <w:t xml:space="preserve">In this contribution </w:t>
      </w:r>
      <w:r>
        <w:t xml:space="preserve">we discuss and </w:t>
      </w:r>
      <w:r w:rsidR="00750902">
        <w:t>give</w:t>
      </w:r>
      <w:r>
        <w:t xml:space="preserve"> our view on </w:t>
      </w:r>
      <w:r w:rsidR="002D02B6">
        <w:rPr>
          <w:lang w:val="en-GB"/>
        </w:rPr>
        <w:t>the applicability of RRC based BWP switch delay requirements</w:t>
      </w:r>
      <w:r w:rsidR="003B2D7B">
        <w:rPr>
          <w:lang w:val="en-GB"/>
        </w:rPr>
        <w:t xml:space="preserve"> on single CC</w:t>
      </w:r>
      <w:r>
        <w:t>.</w:t>
      </w:r>
    </w:p>
    <w:p w14:paraId="3A3622A0" w14:textId="77777777" w:rsidR="003B659E" w:rsidRDefault="003B659E" w:rsidP="00AE56B1">
      <w:pPr>
        <w:pStyle w:val="RAN4H1"/>
      </w:pPr>
      <w:r w:rsidRPr="00AE56B1">
        <w:t>Discussion</w:t>
      </w:r>
    </w:p>
    <w:p w14:paraId="3504796D" w14:textId="774EDB0F" w:rsidR="00253FFC" w:rsidRDefault="00253FFC" w:rsidP="006775B6">
      <w:pPr>
        <w:ind w:right="-22"/>
        <w:rPr>
          <w:rFonts w:eastAsia="Calibri" w:cs="Times New Roman"/>
          <w:szCs w:val="20"/>
          <w:lang w:val="en-GB"/>
        </w:rPr>
      </w:pPr>
      <w:r>
        <w:rPr>
          <w:rFonts w:eastAsia="Calibri" w:cs="Times New Roman"/>
          <w:szCs w:val="20"/>
          <w:lang w:val="en-GB"/>
        </w:rPr>
        <w:t xml:space="preserve">In </w:t>
      </w:r>
      <w:r w:rsidR="00A9211D">
        <w:rPr>
          <w:rFonts w:eastAsia="Calibri" w:cs="Times New Roman"/>
          <w:szCs w:val="20"/>
          <w:lang w:val="en-GB"/>
        </w:rPr>
        <w:t xml:space="preserve">the agreed </w:t>
      </w:r>
      <w:r w:rsidR="002B358D">
        <w:rPr>
          <w:rFonts w:eastAsia="Calibri" w:cs="Times New Roman"/>
          <w:szCs w:val="20"/>
          <w:lang w:val="en-GB"/>
        </w:rPr>
        <w:t>response LS [2] from RAN2</w:t>
      </w:r>
      <w:r w:rsidR="003127E4">
        <w:rPr>
          <w:rFonts w:eastAsia="Calibri" w:cs="Times New Roman"/>
          <w:szCs w:val="20"/>
          <w:lang w:val="en-GB"/>
        </w:rPr>
        <w:t>, the response from RAN2 is</w:t>
      </w:r>
      <w:r w:rsidR="00947D6E">
        <w:rPr>
          <w:rFonts w:eastAsia="Calibri" w:cs="Times New Roman"/>
          <w:szCs w:val="20"/>
          <w:lang w:val="en-GB"/>
        </w:rPr>
        <w:t xml:space="preserve"> showed</w:t>
      </w:r>
      <w:r w:rsidR="00A9211D">
        <w:rPr>
          <w:rFonts w:eastAsia="Calibri" w:cs="Times New Roman"/>
          <w:szCs w:val="20"/>
          <w:lang w:val="en-GB"/>
        </w:rPr>
        <w:t xml:space="preserve"> as below:</w:t>
      </w:r>
    </w:p>
    <w:tbl>
      <w:tblPr>
        <w:tblStyle w:val="TableGrid"/>
        <w:tblW w:w="0" w:type="auto"/>
        <w:tblLook w:val="04A0" w:firstRow="1" w:lastRow="0" w:firstColumn="1" w:lastColumn="0" w:noHBand="0" w:noVBand="1"/>
      </w:tblPr>
      <w:tblGrid>
        <w:gridCol w:w="9617"/>
      </w:tblGrid>
      <w:tr w:rsidR="00253FFC" w:rsidRPr="006F5492" w14:paraId="7A62B8F3" w14:textId="77777777" w:rsidTr="00253FFC">
        <w:tc>
          <w:tcPr>
            <w:tcW w:w="9617" w:type="dxa"/>
          </w:tcPr>
          <w:p w14:paraId="70C5AB14" w14:textId="008B077F" w:rsidR="002B358D" w:rsidRPr="006F5492" w:rsidRDefault="002B358D" w:rsidP="002B358D">
            <w:pPr>
              <w:spacing w:before="240" w:after="120"/>
              <w:rPr>
                <w:rFonts w:ascii="Arial" w:hAnsi="Arial" w:cs="Arial"/>
                <w:bCs/>
                <w:sz w:val="18"/>
                <w:szCs w:val="20"/>
              </w:rPr>
            </w:pPr>
            <w:r w:rsidRPr="006F5492">
              <w:rPr>
                <w:rFonts w:ascii="Arial" w:hAnsi="Arial" w:cs="Arial"/>
                <w:bCs/>
                <w:sz w:val="18"/>
                <w:szCs w:val="20"/>
              </w:rPr>
              <w:t xml:space="preserve">RAN2 thanks RAN4 for their enquiry on the topic of RRC based BWP switching and would like to provide the below responses to the questions asked. </w:t>
            </w:r>
          </w:p>
          <w:p w14:paraId="60D84B61" w14:textId="40F421E8" w:rsidR="002B358D" w:rsidRPr="006F5492" w:rsidRDefault="002B358D" w:rsidP="002B358D">
            <w:pPr>
              <w:numPr>
                <w:ilvl w:val="0"/>
                <w:numId w:val="30"/>
              </w:numPr>
              <w:spacing w:after="120"/>
              <w:contextualSpacing/>
              <w:jc w:val="both"/>
              <w:rPr>
                <w:rFonts w:ascii="Arial" w:eastAsia="Calibri" w:hAnsi="Arial" w:cs="Arial"/>
                <w:sz w:val="18"/>
                <w:szCs w:val="20"/>
                <w:lang w:eastAsia="zh-CN"/>
              </w:rPr>
            </w:pPr>
            <w:r w:rsidRPr="006F5492">
              <w:rPr>
                <w:rFonts w:ascii="Arial" w:eastAsia="Calibri" w:hAnsi="Arial" w:cs="Arial"/>
                <w:sz w:val="18"/>
                <w:szCs w:val="20"/>
                <w:lang w:eastAsia="zh-CN"/>
              </w:rPr>
              <w:t xml:space="preserve">On whether RRC </w:t>
            </w:r>
            <w:r w:rsidRPr="006F5492">
              <w:rPr>
                <w:rFonts w:ascii="Arial" w:eastAsia="Calibri" w:hAnsi="Arial" w:cs="Arial"/>
                <w:bCs/>
                <w:sz w:val="18"/>
                <w:szCs w:val="20"/>
              </w:rPr>
              <w:t>reconfiguration can change any parameter of the already active BWP of an activated SCell or SpCell</w:t>
            </w:r>
            <w:r w:rsidRPr="006F5492">
              <w:rPr>
                <w:rFonts w:ascii="Arial" w:eastAsia="Calibri" w:hAnsi="Arial" w:cs="Arial"/>
                <w:sz w:val="18"/>
                <w:szCs w:val="20"/>
                <w:lang w:eastAsia="zh-CN"/>
              </w:rPr>
              <w:t>.</w:t>
            </w:r>
          </w:p>
          <w:p w14:paraId="64D0BFF9" w14:textId="77777777" w:rsidR="002B358D" w:rsidRPr="006F5492" w:rsidRDefault="002B358D" w:rsidP="002B358D">
            <w:pPr>
              <w:spacing w:after="120"/>
              <w:ind w:left="720"/>
              <w:contextualSpacing/>
              <w:jc w:val="both"/>
              <w:rPr>
                <w:rFonts w:ascii="Arial" w:eastAsia="Calibri" w:hAnsi="Arial" w:cs="Arial"/>
                <w:sz w:val="18"/>
                <w:szCs w:val="20"/>
                <w:lang w:eastAsia="zh-CN"/>
              </w:rPr>
            </w:pPr>
          </w:p>
          <w:p w14:paraId="37619756" w14:textId="77777777" w:rsidR="002B358D" w:rsidRPr="006F5492" w:rsidRDefault="002B358D" w:rsidP="002B358D">
            <w:pPr>
              <w:spacing w:after="120"/>
              <w:ind w:left="720"/>
              <w:contextualSpacing/>
              <w:jc w:val="both"/>
              <w:rPr>
                <w:rFonts w:eastAsia="Calibri" w:cs="Times New Roman"/>
                <w:sz w:val="18"/>
                <w:szCs w:val="20"/>
              </w:rPr>
            </w:pPr>
            <w:r w:rsidRPr="006F5492">
              <w:rPr>
                <w:rFonts w:ascii="Arial" w:eastAsia="Calibri" w:hAnsi="Arial" w:cs="Arial"/>
                <w:b/>
                <w:bCs/>
                <w:sz w:val="18"/>
                <w:szCs w:val="20"/>
                <w:lang w:eastAsia="zh-CN"/>
              </w:rPr>
              <w:t xml:space="preserve">Response: </w:t>
            </w:r>
            <w:r w:rsidRPr="006F5492">
              <w:rPr>
                <w:rFonts w:ascii="Arial" w:eastAsia="Calibri" w:hAnsi="Arial" w:cs="Arial"/>
                <w:sz w:val="18"/>
                <w:szCs w:val="20"/>
                <w:lang w:eastAsia="zh-CN"/>
              </w:rPr>
              <w:t>According to the RAN2 specification</w:t>
            </w:r>
            <w:r w:rsidRPr="006F5492">
              <w:rPr>
                <w:rFonts w:ascii="Arial" w:eastAsia="Calibri" w:hAnsi="Arial" w:cs="Arial"/>
                <w:b/>
                <w:bCs/>
                <w:sz w:val="18"/>
                <w:szCs w:val="20"/>
                <w:lang w:eastAsia="zh-CN"/>
              </w:rPr>
              <w:t xml:space="preserve"> </w:t>
            </w:r>
            <w:r w:rsidRPr="006F5492">
              <w:rPr>
                <w:rFonts w:ascii="Arial" w:eastAsia="Calibri" w:hAnsi="Arial" w:cs="Arial"/>
                <w:sz w:val="18"/>
                <w:szCs w:val="20"/>
                <w:lang w:eastAsia="zh-CN"/>
              </w:rPr>
              <w:t xml:space="preserve">the NW can change any parameters of an already active BWP of an SPCell or an SCell with the exception that the </w:t>
            </w:r>
            <w:bookmarkStart w:id="3" w:name="_Hlk65165116"/>
            <w:r w:rsidRPr="006F5492">
              <w:rPr>
                <w:rFonts w:ascii="Arial" w:eastAsia="Calibri" w:hAnsi="Arial" w:cs="Arial"/>
                <w:sz w:val="18"/>
                <w:szCs w:val="20"/>
                <w:lang w:eastAsia="zh-CN"/>
              </w:rPr>
              <w:t xml:space="preserve">modification of </w:t>
            </w:r>
            <w:r w:rsidRPr="006F5492">
              <w:rPr>
                <w:rFonts w:ascii="Arial" w:eastAsia="Calibri" w:hAnsi="Arial" w:cs="Arial"/>
                <w:i/>
                <w:iCs/>
                <w:sz w:val="18"/>
                <w:szCs w:val="20"/>
                <w:lang w:eastAsia="zh-CN"/>
              </w:rPr>
              <w:t>firstActiveDownlinkBWP-Id</w:t>
            </w:r>
            <w:r w:rsidRPr="006F5492">
              <w:rPr>
                <w:rFonts w:ascii="Arial" w:eastAsia="Calibri" w:hAnsi="Arial" w:cs="Arial"/>
                <w:sz w:val="18"/>
                <w:szCs w:val="20"/>
                <w:lang w:eastAsia="zh-CN"/>
              </w:rPr>
              <w:t xml:space="preserve"> and </w:t>
            </w:r>
            <w:r w:rsidRPr="006F5492">
              <w:rPr>
                <w:rFonts w:ascii="Arial" w:eastAsia="Calibri" w:hAnsi="Arial" w:cs="Arial"/>
                <w:i/>
                <w:iCs/>
                <w:sz w:val="18"/>
                <w:szCs w:val="20"/>
                <w:lang w:eastAsia="zh-CN"/>
              </w:rPr>
              <w:t>firstActiveUplinkBWP-Id</w:t>
            </w:r>
            <w:r w:rsidRPr="006F5492">
              <w:rPr>
                <w:rFonts w:ascii="Arial" w:eastAsia="Calibri" w:hAnsi="Arial" w:cs="Arial"/>
                <w:sz w:val="18"/>
                <w:szCs w:val="20"/>
                <w:lang w:eastAsia="zh-CN"/>
              </w:rPr>
              <w:t xml:space="preserve">  for an SCell </w:t>
            </w:r>
            <w:bookmarkEnd w:id="3"/>
            <w:r w:rsidRPr="006F5492">
              <w:rPr>
                <w:rFonts w:ascii="Arial" w:eastAsia="Calibri" w:hAnsi="Arial" w:cs="Arial"/>
                <w:sz w:val="18"/>
                <w:szCs w:val="20"/>
                <w:lang w:eastAsia="zh-CN"/>
              </w:rPr>
              <w:t xml:space="preserve">is not allowed (for both Rel-15 and Rel-16).  The modification of </w:t>
            </w:r>
            <w:r w:rsidRPr="006F5492">
              <w:rPr>
                <w:rFonts w:ascii="Arial" w:eastAsia="Calibri" w:hAnsi="Arial" w:cs="Arial"/>
                <w:i/>
                <w:iCs/>
                <w:sz w:val="18"/>
                <w:szCs w:val="20"/>
                <w:lang w:eastAsia="zh-CN"/>
              </w:rPr>
              <w:t>firstActiveDownlinkBWP-Id</w:t>
            </w:r>
            <w:r w:rsidRPr="006F5492">
              <w:rPr>
                <w:rFonts w:ascii="Arial" w:eastAsia="Calibri" w:hAnsi="Arial" w:cs="Arial"/>
                <w:sz w:val="18"/>
                <w:szCs w:val="20"/>
                <w:lang w:eastAsia="zh-CN"/>
              </w:rPr>
              <w:t xml:space="preserve"> and </w:t>
            </w:r>
            <w:r w:rsidRPr="006F5492">
              <w:rPr>
                <w:rFonts w:ascii="Arial" w:eastAsia="Calibri" w:hAnsi="Arial" w:cs="Arial"/>
                <w:i/>
                <w:iCs/>
                <w:sz w:val="18"/>
                <w:szCs w:val="20"/>
                <w:lang w:eastAsia="zh-CN"/>
              </w:rPr>
              <w:t>firstActiveUplinkBWP-Id</w:t>
            </w:r>
            <w:r w:rsidRPr="006F5492">
              <w:rPr>
                <w:rFonts w:ascii="Arial" w:eastAsia="Calibri" w:hAnsi="Arial" w:cs="Arial"/>
                <w:sz w:val="18"/>
                <w:szCs w:val="20"/>
                <w:lang w:eastAsia="zh-CN"/>
              </w:rPr>
              <w:t xml:space="preserve">  for an SCell is allowed by first releasing and subsequently adding the SCell, and this is not considered by RAN2 as a BWP switch.</w:t>
            </w:r>
            <w:r w:rsidRPr="006F5492">
              <w:rPr>
                <w:rFonts w:eastAsia="Calibri" w:cs="Times New Roman"/>
                <w:sz w:val="18"/>
                <w:szCs w:val="20"/>
              </w:rPr>
              <w:t xml:space="preserve"> </w:t>
            </w:r>
          </w:p>
          <w:p w14:paraId="35F79CF4" w14:textId="77777777" w:rsidR="002B358D" w:rsidRPr="006F5492" w:rsidRDefault="002B358D" w:rsidP="002B358D">
            <w:pPr>
              <w:spacing w:after="120"/>
              <w:ind w:left="720"/>
              <w:contextualSpacing/>
              <w:jc w:val="both"/>
              <w:rPr>
                <w:rFonts w:ascii="Arial" w:eastAsia="Calibri" w:hAnsi="Arial" w:cs="Arial"/>
                <w:sz w:val="18"/>
                <w:szCs w:val="20"/>
                <w:lang w:eastAsia="zh-CN"/>
              </w:rPr>
            </w:pPr>
          </w:p>
          <w:p w14:paraId="774D06E4" w14:textId="77777777" w:rsidR="002B358D" w:rsidRPr="006F5492" w:rsidRDefault="002B358D" w:rsidP="002B358D">
            <w:pPr>
              <w:numPr>
                <w:ilvl w:val="0"/>
                <w:numId w:val="30"/>
              </w:numPr>
              <w:spacing w:after="120"/>
              <w:contextualSpacing/>
              <w:jc w:val="both"/>
              <w:rPr>
                <w:rFonts w:ascii="Arial" w:eastAsia="Calibri" w:hAnsi="Arial" w:cs="Arial"/>
                <w:sz w:val="18"/>
                <w:szCs w:val="20"/>
                <w:lang w:eastAsia="zh-CN"/>
              </w:rPr>
            </w:pPr>
            <w:r w:rsidRPr="006F5492">
              <w:rPr>
                <w:rFonts w:ascii="Arial" w:eastAsia="Calibri" w:hAnsi="Arial" w:cs="Arial"/>
                <w:sz w:val="18"/>
                <w:szCs w:val="20"/>
                <w:lang w:eastAsia="zh-CN"/>
              </w:rPr>
              <w:t xml:space="preserve">On whether the RRC reconfiguration without modification of </w:t>
            </w:r>
            <w:r w:rsidRPr="006F5492">
              <w:rPr>
                <w:rFonts w:ascii="Arial" w:eastAsia="Calibri" w:hAnsi="Arial" w:cs="Arial"/>
                <w:bCs/>
                <w:i/>
                <w:iCs/>
                <w:sz w:val="18"/>
                <w:szCs w:val="20"/>
              </w:rPr>
              <w:t>firstActiveDownlinkBWP-Id</w:t>
            </w:r>
            <w:r w:rsidRPr="006F5492">
              <w:rPr>
                <w:rFonts w:ascii="Arial" w:eastAsia="Calibri" w:hAnsi="Arial" w:cs="Arial"/>
                <w:bCs/>
                <w:sz w:val="18"/>
                <w:szCs w:val="20"/>
              </w:rPr>
              <w:t xml:space="preserve"> or </w:t>
            </w:r>
            <w:r w:rsidRPr="006F5492">
              <w:rPr>
                <w:rFonts w:ascii="Arial" w:eastAsia="Calibri" w:hAnsi="Arial" w:cs="Arial"/>
                <w:bCs/>
                <w:i/>
                <w:iCs/>
                <w:sz w:val="18"/>
                <w:szCs w:val="20"/>
              </w:rPr>
              <w:t>firstActiveUplinkBWP-Id</w:t>
            </w:r>
            <w:r w:rsidRPr="006F5492">
              <w:rPr>
                <w:rFonts w:ascii="Arial" w:eastAsia="Calibri" w:hAnsi="Arial" w:cs="Arial"/>
                <w:bCs/>
                <w:sz w:val="18"/>
                <w:szCs w:val="20"/>
              </w:rPr>
              <w:t xml:space="preserve"> </w:t>
            </w:r>
            <w:r w:rsidRPr="006F5492">
              <w:rPr>
                <w:rFonts w:ascii="Arial" w:eastAsia="Calibri" w:hAnsi="Arial" w:cs="Arial"/>
                <w:sz w:val="18"/>
                <w:szCs w:val="20"/>
                <w:lang w:eastAsia="zh-CN"/>
              </w:rPr>
              <w:t>for an activated SCell or SpCell can trigger a BWP switch.</w:t>
            </w:r>
          </w:p>
          <w:p w14:paraId="610E5941" w14:textId="77777777" w:rsidR="002B358D" w:rsidRPr="006F5492" w:rsidRDefault="002B358D" w:rsidP="002B358D">
            <w:pPr>
              <w:spacing w:after="120"/>
              <w:ind w:left="720"/>
              <w:contextualSpacing/>
              <w:jc w:val="both"/>
              <w:rPr>
                <w:rFonts w:ascii="Arial" w:eastAsia="Calibri" w:hAnsi="Arial" w:cs="Arial"/>
                <w:sz w:val="18"/>
                <w:szCs w:val="20"/>
                <w:lang w:eastAsia="zh-CN"/>
              </w:rPr>
            </w:pPr>
          </w:p>
          <w:p w14:paraId="7E82F956" w14:textId="77777777" w:rsidR="002B358D" w:rsidRPr="006F5492" w:rsidRDefault="002B358D" w:rsidP="002B358D">
            <w:pPr>
              <w:ind w:left="720"/>
              <w:contextualSpacing/>
              <w:jc w:val="both"/>
              <w:rPr>
                <w:rFonts w:ascii="Arial" w:eastAsia="Calibri" w:hAnsi="Arial" w:cs="Arial"/>
                <w:sz w:val="18"/>
                <w:szCs w:val="20"/>
                <w:lang w:eastAsia="zh-CN"/>
              </w:rPr>
            </w:pPr>
            <w:r w:rsidRPr="006F5492">
              <w:rPr>
                <w:rFonts w:ascii="Arial" w:eastAsia="Calibri" w:hAnsi="Arial" w:cs="Arial"/>
                <w:b/>
                <w:bCs/>
                <w:sz w:val="18"/>
                <w:szCs w:val="20"/>
                <w:lang w:eastAsia="zh-CN"/>
              </w:rPr>
              <w:t>Response:</w:t>
            </w:r>
            <w:r w:rsidRPr="006F5492">
              <w:rPr>
                <w:rFonts w:ascii="Arial" w:eastAsia="Calibri" w:hAnsi="Arial" w:cs="Arial"/>
                <w:sz w:val="18"/>
                <w:szCs w:val="20"/>
                <w:lang w:eastAsia="zh-CN"/>
              </w:rPr>
              <w:t xml:space="preserve"> RAN2 confirms that an RRC message with a </w:t>
            </w:r>
            <w:r w:rsidRPr="006F5492">
              <w:rPr>
                <w:rFonts w:ascii="Arial" w:eastAsia="Calibri" w:hAnsi="Arial" w:cs="Arial"/>
                <w:i/>
                <w:iCs/>
                <w:sz w:val="18"/>
                <w:szCs w:val="20"/>
                <w:lang w:eastAsia="zh-CN"/>
              </w:rPr>
              <w:t>firstActiveDownlinkBWP-Id</w:t>
            </w:r>
            <w:r w:rsidRPr="006F5492">
              <w:rPr>
                <w:rFonts w:ascii="Arial" w:eastAsia="Calibri" w:hAnsi="Arial" w:cs="Arial"/>
                <w:sz w:val="18"/>
                <w:szCs w:val="20"/>
                <w:lang w:eastAsia="zh-CN"/>
              </w:rPr>
              <w:t xml:space="preserve"> and </w:t>
            </w:r>
            <w:r w:rsidRPr="006F5492">
              <w:rPr>
                <w:rFonts w:ascii="Arial" w:eastAsia="Calibri" w:hAnsi="Arial" w:cs="Arial"/>
                <w:i/>
                <w:iCs/>
                <w:sz w:val="18"/>
                <w:szCs w:val="20"/>
                <w:lang w:eastAsia="zh-CN"/>
              </w:rPr>
              <w:t>firstActiveUplinkBWP-Id</w:t>
            </w:r>
            <w:r w:rsidRPr="006F5492">
              <w:rPr>
                <w:rFonts w:ascii="Arial" w:eastAsia="Calibri" w:hAnsi="Arial" w:cs="Arial"/>
                <w:sz w:val="18"/>
                <w:szCs w:val="20"/>
                <w:lang w:eastAsia="zh-CN"/>
              </w:rPr>
              <w:t xml:space="preserve"> that is different from the UE’s current BWP ID, results in a BWP switch for an SpCell. And in Rel-15 or in Rel-16, the BWP switching for SCell using RRC message is not be possible.</w:t>
            </w:r>
          </w:p>
          <w:p w14:paraId="01A45993" w14:textId="77777777" w:rsidR="002B358D" w:rsidRPr="006F5492" w:rsidRDefault="002B358D" w:rsidP="002B358D">
            <w:pPr>
              <w:ind w:left="720"/>
              <w:contextualSpacing/>
              <w:jc w:val="both"/>
              <w:rPr>
                <w:rFonts w:ascii="Arial" w:eastAsia="Calibri" w:hAnsi="Arial" w:cs="Arial"/>
                <w:sz w:val="18"/>
                <w:szCs w:val="20"/>
                <w:lang w:eastAsia="zh-CN"/>
              </w:rPr>
            </w:pPr>
          </w:p>
          <w:p w14:paraId="190CFD4C" w14:textId="77777777" w:rsidR="002B358D" w:rsidRPr="006F5492" w:rsidRDefault="002B358D" w:rsidP="002B358D">
            <w:pPr>
              <w:ind w:left="720"/>
              <w:contextualSpacing/>
              <w:jc w:val="both"/>
              <w:rPr>
                <w:rFonts w:ascii="Arial" w:eastAsia="Calibri" w:hAnsi="Arial" w:cs="Arial"/>
                <w:sz w:val="18"/>
                <w:szCs w:val="20"/>
                <w:lang w:eastAsia="zh-CN"/>
              </w:rPr>
            </w:pPr>
            <w:r w:rsidRPr="006F5492">
              <w:rPr>
                <w:rFonts w:ascii="Arial" w:eastAsia="Calibri" w:hAnsi="Arial" w:cs="Arial"/>
                <w:sz w:val="18"/>
                <w:szCs w:val="20"/>
                <w:lang w:eastAsia="zh-CN"/>
              </w:rPr>
              <w:t xml:space="preserve">According to RAN2 specifications, the reconfiguration of any parameters (with the exception of </w:t>
            </w:r>
            <w:r w:rsidRPr="006F5492">
              <w:rPr>
                <w:rFonts w:ascii="Arial" w:eastAsia="Calibri" w:hAnsi="Arial" w:cs="Arial"/>
                <w:i/>
                <w:iCs/>
                <w:sz w:val="18"/>
                <w:szCs w:val="20"/>
                <w:lang w:eastAsia="zh-CN"/>
              </w:rPr>
              <w:t>firstActiveDownlinkBWP-Id</w:t>
            </w:r>
            <w:r w:rsidRPr="006F5492">
              <w:rPr>
                <w:rFonts w:ascii="Arial" w:eastAsia="Calibri" w:hAnsi="Arial" w:cs="Arial"/>
                <w:sz w:val="18"/>
                <w:szCs w:val="20"/>
                <w:lang w:eastAsia="zh-CN"/>
              </w:rPr>
              <w:t xml:space="preserve"> or </w:t>
            </w:r>
            <w:r w:rsidRPr="006F5492">
              <w:rPr>
                <w:rFonts w:ascii="Arial" w:eastAsia="Calibri" w:hAnsi="Arial" w:cs="Arial"/>
                <w:i/>
                <w:iCs/>
                <w:sz w:val="18"/>
                <w:szCs w:val="20"/>
                <w:lang w:eastAsia="zh-CN"/>
              </w:rPr>
              <w:t>firstActiveUplinkBWP-Id</w:t>
            </w:r>
            <w:r w:rsidRPr="006F5492">
              <w:rPr>
                <w:rFonts w:ascii="Arial" w:eastAsia="Calibri" w:hAnsi="Arial" w:cs="Arial"/>
                <w:sz w:val="18"/>
                <w:szCs w:val="20"/>
                <w:lang w:eastAsia="zh-CN"/>
              </w:rPr>
              <w:t xml:space="preserve"> as mentioned earlier) of an already active BWP of an SPCell or an Scell is allowed for  both Rel-15 and Rel-16. However, RAN2 has not specified whether this is a BWP switch or not, i.e. it would require further discussion on whether particular parameter change would cause BWP switch or not and RAN2 does not intend to discuss this. </w:t>
            </w:r>
          </w:p>
          <w:p w14:paraId="7A14DCDB" w14:textId="77777777" w:rsidR="002B358D" w:rsidRPr="006F5492" w:rsidRDefault="002B358D" w:rsidP="002B358D">
            <w:pPr>
              <w:spacing w:before="240" w:after="120"/>
              <w:jc w:val="both"/>
              <w:rPr>
                <w:rFonts w:ascii="Arial" w:eastAsia="Calibri" w:hAnsi="Arial" w:cs="Arial"/>
                <w:sz w:val="18"/>
                <w:szCs w:val="20"/>
                <w:lang w:eastAsia="zh-CN"/>
              </w:rPr>
            </w:pPr>
            <w:r w:rsidRPr="006F5492">
              <w:rPr>
                <w:rFonts w:ascii="Arial" w:eastAsia="Calibri" w:hAnsi="Arial" w:cs="Arial"/>
                <w:bCs/>
                <w:sz w:val="18"/>
                <w:szCs w:val="20"/>
              </w:rPr>
              <w:t xml:space="preserve">Furthermore, RAN2 would like to inform RAN4 that </w:t>
            </w:r>
            <w:bookmarkStart w:id="4" w:name="_Hlk65166204"/>
            <w:r w:rsidRPr="006F5492">
              <w:rPr>
                <w:rFonts w:ascii="Arial" w:eastAsia="Calibri" w:hAnsi="Arial" w:cs="Arial"/>
                <w:sz w:val="18"/>
                <w:szCs w:val="20"/>
                <w:lang w:eastAsia="zh-CN"/>
              </w:rPr>
              <w:t>during the RRCResume/RRCSetup procedure for the PCell, the active BWP parameters change for the UE or the BWP can be switched</w:t>
            </w:r>
            <w:bookmarkEnd w:id="4"/>
            <w:r w:rsidRPr="006F5492">
              <w:rPr>
                <w:rFonts w:ascii="Arial" w:eastAsia="Calibri" w:hAnsi="Arial" w:cs="Arial"/>
                <w:sz w:val="18"/>
                <w:szCs w:val="20"/>
                <w:lang w:eastAsia="zh-CN"/>
              </w:rPr>
              <w:t>.</w:t>
            </w:r>
          </w:p>
          <w:p w14:paraId="49667351" w14:textId="77777777" w:rsidR="00253FFC" w:rsidRPr="006F5492" w:rsidRDefault="00253FFC" w:rsidP="002B358D">
            <w:pPr>
              <w:ind w:right="-22"/>
              <w:rPr>
                <w:rFonts w:eastAsia="Calibri" w:cs="Times New Roman"/>
                <w:sz w:val="18"/>
                <w:szCs w:val="20"/>
              </w:rPr>
            </w:pPr>
          </w:p>
        </w:tc>
      </w:tr>
    </w:tbl>
    <w:p w14:paraId="3AE018BA" w14:textId="0B9E090D" w:rsidR="001F1813" w:rsidRDefault="001F1813" w:rsidP="00A94671">
      <w:pPr>
        <w:ind w:right="-22"/>
        <w:rPr>
          <w:rFonts w:eastAsia="Calibri" w:cs="Times New Roman"/>
          <w:szCs w:val="20"/>
        </w:rPr>
      </w:pPr>
      <w:r>
        <w:rPr>
          <w:rFonts w:eastAsia="Calibri" w:cs="Times New Roman"/>
          <w:szCs w:val="20"/>
        </w:rPr>
        <w:t xml:space="preserve"> </w:t>
      </w:r>
    </w:p>
    <w:p w14:paraId="08E0ACF4" w14:textId="003676DF" w:rsidR="00CF03F8" w:rsidRDefault="006977A6" w:rsidP="00AE0C5D">
      <w:pPr>
        <w:rPr>
          <w:lang w:val="en-GB"/>
        </w:rPr>
      </w:pPr>
      <w:r w:rsidRPr="5383423A">
        <w:rPr>
          <w:lang w:val="en-GB"/>
        </w:rPr>
        <w:t>According to</w:t>
      </w:r>
      <w:r w:rsidR="00E4031F" w:rsidRPr="5383423A">
        <w:rPr>
          <w:lang w:val="en-GB"/>
        </w:rPr>
        <w:t xml:space="preserve"> the above RAN2 response, </w:t>
      </w:r>
      <w:r w:rsidR="4A47FB71" w:rsidRPr="5383423A">
        <w:rPr>
          <w:lang w:val="en-GB"/>
        </w:rPr>
        <w:t>i</w:t>
      </w:r>
      <w:r w:rsidR="00E81813" w:rsidRPr="5383423A">
        <w:rPr>
          <w:lang w:val="en-GB"/>
        </w:rPr>
        <w:t xml:space="preserve">t is clear that </w:t>
      </w:r>
      <w:r w:rsidR="00E4031F" w:rsidRPr="5383423A">
        <w:rPr>
          <w:lang w:val="en-GB"/>
        </w:rPr>
        <w:t xml:space="preserve">RRC reconfiguration </w:t>
      </w:r>
      <w:r w:rsidRPr="5383423A">
        <w:rPr>
          <w:lang w:val="en-GB"/>
        </w:rPr>
        <w:t>involving active BWP switch is only allowed for PCell or PSCell</w:t>
      </w:r>
      <w:r w:rsidR="00E81813" w:rsidRPr="5383423A">
        <w:rPr>
          <w:lang w:val="en-GB"/>
        </w:rPr>
        <w:t xml:space="preserve">. Network can change any parameters of an </w:t>
      </w:r>
      <w:r w:rsidR="00B47493" w:rsidRPr="5383423A">
        <w:rPr>
          <w:lang w:val="en-GB"/>
        </w:rPr>
        <w:t xml:space="preserve">active BWP except </w:t>
      </w:r>
      <w:r w:rsidR="00B47493" w:rsidRPr="5383423A">
        <w:rPr>
          <w:i/>
          <w:iCs/>
          <w:lang w:val="en-GB"/>
        </w:rPr>
        <w:t>firstActiveDownlinkBWP-Id</w:t>
      </w:r>
      <w:r w:rsidR="00B47493" w:rsidRPr="5383423A">
        <w:rPr>
          <w:lang w:val="en-GB"/>
        </w:rPr>
        <w:t xml:space="preserve"> and </w:t>
      </w:r>
      <w:r w:rsidR="00B47493" w:rsidRPr="5383423A">
        <w:rPr>
          <w:i/>
          <w:iCs/>
          <w:lang w:val="en-GB"/>
        </w:rPr>
        <w:t>firstActiveUplinkBWP-Id</w:t>
      </w:r>
      <w:r w:rsidR="00B47493" w:rsidRPr="5383423A">
        <w:rPr>
          <w:lang w:val="en-GB"/>
        </w:rPr>
        <w:t xml:space="preserve"> for an SCell, but </w:t>
      </w:r>
      <w:r w:rsidR="00CF03F8" w:rsidRPr="5383423A">
        <w:rPr>
          <w:lang w:val="en-GB"/>
        </w:rPr>
        <w:t>RAN2 has not specified whether particular parameter change is a BWP switch or not</w:t>
      </w:r>
      <w:r w:rsidR="00585A6F" w:rsidRPr="5383423A">
        <w:rPr>
          <w:lang w:val="en-GB"/>
        </w:rPr>
        <w:t xml:space="preserve"> and need further discussion</w:t>
      </w:r>
      <w:r w:rsidR="00CF03F8" w:rsidRPr="5383423A">
        <w:rPr>
          <w:lang w:val="en-GB"/>
        </w:rPr>
        <w:t>.</w:t>
      </w:r>
      <w:r w:rsidR="004463E0">
        <w:rPr>
          <w:lang w:val="en-GB"/>
        </w:rPr>
        <w:t xml:space="preserve"> Since many UE configuration parameters are part of BWPs in NR, it was never even considered that changing UE configuration would require BWP change as such so RAN2 has not taken a firm stance on that.</w:t>
      </w:r>
    </w:p>
    <w:p w14:paraId="45F2488F" w14:textId="27AD6732" w:rsidR="00CF03F8" w:rsidRDefault="00CF03F8" w:rsidP="00AE0C5D">
      <w:pPr>
        <w:rPr>
          <w:lang w:val="en-GB"/>
        </w:rPr>
      </w:pPr>
      <w:r>
        <w:rPr>
          <w:lang w:val="en-GB"/>
        </w:rPr>
        <w:lastRenderedPageBreak/>
        <w:t xml:space="preserve">In 38.133, we have defined the RRC-based BWP switch requirements for RRC reconfiguration involving active BWP switch or parameter change of its active BWP. </w:t>
      </w:r>
    </w:p>
    <w:tbl>
      <w:tblPr>
        <w:tblStyle w:val="TableGrid"/>
        <w:tblW w:w="0" w:type="auto"/>
        <w:tblLook w:val="04A0" w:firstRow="1" w:lastRow="0" w:firstColumn="1" w:lastColumn="0" w:noHBand="0" w:noVBand="1"/>
      </w:tblPr>
      <w:tblGrid>
        <w:gridCol w:w="9617"/>
      </w:tblGrid>
      <w:tr w:rsidR="00CF03F8" w14:paraId="5F519288" w14:textId="77777777" w:rsidTr="00CF03F8">
        <w:tc>
          <w:tcPr>
            <w:tcW w:w="9617" w:type="dxa"/>
          </w:tcPr>
          <w:p w14:paraId="7E996F59" w14:textId="576F4625" w:rsidR="00CF03F8" w:rsidRDefault="00CF03F8" w:rsidP="00AE0C5D">
            <w:pPr>
              <w:rPr>
                <w:lang w:val="en-GB"/>
              </w:rPr>
            </w:pPr>
            <w:r w:rsidRPr="008C6DE4">
              <w:rPr>
                <w:lang w:eastAsia="zh-CN"/>
              </w:rPr>
              <w:t xml:space="preserve">For RRC-based BWP switch, after the UE receives </w:t>
            </w:r>
            <w:r w:rsidRPr="00CF03F8">
              <w:rPr>
                <w:highlight w:val="yellow"/>
                <w:lang w:eastAsia="zh-CN"/>
              </w:rPr>
              <w:t xml:space="preserve">RRC reconfiguration </w:t>
            </w:r>
            <w:r w:rsidRPr="00CF03F8">
              <w:rPr>
                <w:rFonts w:cs="v4.2.0"/>
                <w:highlight w:val="yellow"/>
              </w:rPr>
              <w:t xml:space="preserve">involving active </w:t>
            </w:r>
            <w:r w:rsidRPr="00CF03F8">
              <w:rPr>
                <w:highlight w:val="yellow"/>
                <w:lang w:eastAsia="zh-CN"/>
              </w:rPr>
              <w:t>BWP switching or parameter change of its active BWP</w:t>
            </w:r>
            <w:r w:rsidRPr="008C6DE4">
              <w:rPr>
                <w:lang w:eastAsia="zh-CN"/>
              </w:rPr>
              <w:t xml:space="preserve">,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8C6DE4">
              <w:rPr>
                <w:rFonts w:hint="eastAsia"/>
                <w:lang w:eastAsia="zh-CN"/>
              </w:rPr>
              <w:t xml:space="preserve"> </w:t>
            </w:r>
            <w:r w:rsidRPr="008C6DE4">
              <w:rPr>
                <w:lang w:eastAsia="zh-CN"/>
              </w:rPr>
              <w:t xml:space="preserve">slots which begins from </w:t>
            </w:r>
            <w:r w:rsidRPr="008C6DE4">
              <w:t xml:space="preserve">the beginning of DL </w:t>
            </w:r>
            <w:r w:rsidRPr="008C6DE4">
              <w:rPr>
                <w:lang w:eastAsia="zh-CN"/>
              </w:rPr>
              <w:t>slot n</w:t>
            </w:r>
          </w:p>
        </w:tc>
      </w:tr>
    </w:tbl>
    <w:p w14:paraId="2C53A6FA" w14:textId="3FCF258F" w:rsidR="00584071" w:rsidRDefault="00CF03F8" w:rsidP="00AE0C5D">
      <w:pPr>
        <w:rPr>
          <w:lang w:val="en-GB"/>
        </w:rPr>
      </w:pPr>
      <w:r>
        <w:rPr>
          <w:lang w:val="en-GB"/>
        </w:rPr>
        <w:t xml:space="preserve"> </w:t>
      </w:r>
    </w:p>
    <w:p w14:paraId="630FE9CF" w14:textId="447AF632" w:rsidR="009B7B51" w:rsidRDefault="006B344B" w:rsidP="009B7B51">
      <w:pPr>
        <w:rPr>
          <w:lang w:val="en-GB"/>
        </w:rPr>
      </w:pPr>
      <w:r>
        <w:rPr>
          <w:rFonts w:eastAsia="Calibri" w:cs="Times New Roman"/>
          <w:szCs w:val="20"/>
          <w:lang w:val="en-GB"/>
        </w:rPr>
        <w:t xml:space="preserve">In RAN2 requirements, </w:t>
      </w:r>
      <w:r w:rsidRPr="0041460E">
        <w:rPr>
          <w:lang w:val="en-GB"/>
        </w:rPr>
        <w:t>the active BWP parameters change for the UE or the BWP can be switched</w:t>
      </w:r>
      <w:r>
        <w:rPr>
          <w:lang w:val="en-GB"/>
        </w:rPr>
        <w:t xml:space="preserve"> during RRCResume/RRCSetup procedure for the PCell. </w:t>
      </w:r>
      <w:r>
        <w:rPr>
          <w:rFonts w:eastAsia="Calibri" w:cs="Times New Roman"/>
          <w:szCs w:val="20"/>
          <w:lang w:val="en-GB"/>
        </w:rPr>
        <w:t>From Network side, n</w:t>
      </w:r>
      <w:r>
        <w:rPr>
          <w:lang w:val="en-GB"/>
        </w:rPr>
        <w:t xml:space="preserve">etwork can change any parameters of an active BWP except </w:t>
      </w:r>
      <w:r w:rsidRPr="00B47493">
        <w:rPr>
          <w:i/>
          <w:iCs/>
          <w:lang w:val="en-GB"/>
        </w:rPr>
        <w:t>firstActiveDownlinkBWP-Id</w:t>
      </w:r>
      <w:r w:rsidRPr="00B47493">
        <w:rPr>
          <w:lang w:val="en-GB"/>
        </w:rPr>
        <w:t xml:space="preserve"> and </w:t>
      </w:r>
      <w:r w:rsidRPr="00B47493">
        <w:rPr>
          <w:i/>
          <w:iCs/>
          <w:lang w:val="en-GB"/>
        </w:rPr>
        <w:t>firstActiveUplinkBWP-Id</w:t>
      </w:r>
      <w:r w:rsidRPr="00B47493">
        <w:rPr>
          <w:lang w:val="en-GB"/>
        </w:rPr>
        <w:t xml:space="preserve"> for an SCell</w:t>
      </w:r>
      <w:r>
        <w:rPr>
          <w:lang w:val="en-GB"/>
        </w:rPr>
        <w:t xml:space="preserve">.  </w:t>
      </w:r>
      <w:r>
        <w:rPr>
          <w:rFonts w:eastAsia="Calibri" w:cs="Times New Roman"/>
          <w:szCs w:val="20"/>
          <w:lang w:val="en-GB"/>
        </w:rPr>
        <w:t xml:space="preserve">Even though RAN2 has not specified whether particular parameter change would cause BWP switch or not, </w:t>
      </w:r>
      <w:r w:rsidR="004463E0">
        <w:rPr>
          <w:lang w:val="en-GB"/>
        </w:rPr>
        <w:t xml:space="preserve">RAN4 </w:t>
      </w:r>
      <w:r>
        <w:rPr>
          <w:lang w:val="en-GB"/>
        </w:rPr>
        <w:t>could consider the active BWP parameter change in RRC-based BWP switch requirements in RAN4.</w:t>
      </w:r>
      <w:r w:rsidR="004463E0">
        <w:rPr>
          <w:lang w:val="en-GB"/>
        </w:rPr>
        <w:t xml:space="preserve"> But this would mean UE can cause interruptions even when a parameter not at all related to RF changes (e.g. addition or release of SPS configuration, both of which are under </w:t>
      </w:r>
      <w:r w:rsidR="004463E0" w:rsidRPr="004463E0">
        <w:rPr>
          <w:i/>
          <w:iCs/>
          <w:lang w:val="en-GB"/>
        </w:rPr>
        <w:t>PDCCH-Config</w:t>
      </w:r>
      <w:r w:rsidR="004463E0">
        <w:rPr>
          <w:lang w:val="en-GB"/>
        </w:rPr>
        <w:t xml:space="preserve">). Since BWP switch may require interruptions, this means that the NR performance suffers because network has to assume UE cannot be scheduled during the "BWP switch". </w:t>
      </w:r>
      <w:r>
        <w:rPr>
          <w:lang w:val="en-GB"/>
        </w:rPr>
        <w:t xml:space="preserve"> </w:t>
      </w:r>
    </w:p>
    <w:p w14:paraId="3B217C88" w14:textId="5F708AEB" w:rsidR="004463E0" w:rsidRDefault="004463E0" w:rsidP="009B7B51">
      <w:pPr>
        <w:rPr>
          <w:lang w:val="en-GB"/>
        </w:rPr>
      </w:pPr>
      <w:bookmarkStart w:id="5" w:name="_Hlk71673751"/>
      <w:r w:rsidRPr="00105F01">
        <w:rPr>
          <w:b/>
          <w:bCs/>
          <w:lang w:val="en-GB"/>
        </w:rPr>
        <w:t>Observation 1:</w:t>
      </w:r>
      <w:r>
        <w:rPr>
          <w:lang w:val="en-GB"/>
        </w:rPr>
        <w:t xml:space="preserve"> Allowing any reconfiguration of BWP parameters to cause "BWP switch" will impact NR </w:t>
      </w:r>
      <w:r w:rsidR="00837908">
        <w:rPr>
          <w:lang w:val="en-GB"/>
        </w:rPr>
        <w:t>system performance as UE cannot be scheduled during interruption time allowed by BWP switching</w:t>
      </w:r>
      <w:r>
        <w:rPr>
          <w:lang w:val="en-GB"/>
        </w:rPr>
        <w:t>.</w:t>
      </w:r>
    </w:p>
    <w:bookmarkEnd w:id="5"/>
    <w:p w14:paraId="74898DED" w14:textId="513D6E97" w:rsidR="009B7B51" w:rsidRDefault="000566E0" w:rsidP="009B7B51">
      <w:r>
        <w:t>However, as this has already been decide in Rel-15 for SpCells, it is difficult to change that now and i</w:t>
      </w:r>
      <w:r w:rsidR="009B7B51">
        <w:t xml:space="preserve">n last meeting, the same issue was discussed for RRC-based BWP switch on multiple CCs in RRM enhancement WI, and it was agreed that RRC-based BWP switch on multiple CCs is applicable for SCells with the parameter change except the </w:t>
      </w:r>
      <w:r w:rsidR="009B7B51" w:rsidRPr="00AC22C9">
        <w:rPr>
          <w:lang w:val="en-GB"/>
        </w:rPr>
        <w:t xml:space="preserve">parameters </w:t>
      </w:r>
      <w:r w:rsidR="009B7B51" w:rsidRPr="00AC22C9">
        <w:rPr>
          <w:i/>
          <w:iCs/>
        </w:rPr>
        <w:t>firstActiveDownlinkBWP-Id</w:t>
      </w:r>
      <w:r w:rsidR="009B7B51" w:rsidRPr="00AC22C9">
        <w:t xml:space="preserve"> and </w:t>
      </w:r>
      <w:r w:rsidR="009B7B51" w:rsidRPr="00AC22C9">
        <w:rPr>
          <w:i/>
          <w:iCs/>
        </w:rPr>
        <w:t>firstActiveUplinkBWP-Id</w:t>
      </w:r>
      <w:r w:rsidR="009B7B51">
        <w:t>. The clarification was captured in the draftCR [3].</w:t>
      </w:r>
    </w:p>
    <w:p w14:paraId="1991708C" w14:textId="2647B385" w:rsidR="009B7B51" w:rsidRDefault="009B7B51" w:rsidP="009B7B51">
      <w:r w:rsidRPr="5383423A">
        <w:rPr>
          <w:lang w:val="en-GB"/>
        </w:rPr>
        <w:t xml:space="preserve">The same principle is </w:t>
      </w:r>
      <w:r w:rsidR="16866856" w:rsidRPr="5383423A">
        <w:rPr>
          <w:lang w:val="en-GB"/>
        </w:rPr>
        <w:t>applicable</w:t>
      </w:r>
      <w:r w:rsidRPr="5383423A">
        <w:rPr>
          <w:lang w:val="en-GB"/>
        </w:rPr>
        <w:t xml:space="preserve"> for single CC.</w:t>
      </w:r>
      <w:r w:rsidR="006B344B" w:rsidRPr="5383423A">
        <w:rPr>
          <w:lang w:val="en-GB"/>
        </w:rPr>
        <w:t xml:space="preserve"> </w:t>
      </w:r>
      <w:r w:rsidR="2B6F2D39" w:rsidRPr="5383423A">
        <w:rPr>
          <w:lang w:val="en-GB"/>
        </w:rPr>
        <w:t>The</w:t>
      </w:r>
      <w:r w:rsidRPr="5383423A">
        <w:rPr>
          <w:lang w:val="en-GB"/>
        </w:rPr>
        <w:t xml:space="preserve"> RRC-based BWP switch is </w:t>
      </w:r>
      <w:r w:rsidR="14D1669F" w:rsidRPr="5383423A">
        <w:rPr>
          <w:lang w:val="en-GB"/>
        </w:rPr>
        <w:t>applicable from Rel-15</w:t>
      </w:r>
      <w:r w:rsidRPr="5383423A">
        <w:rPr>
          <w:lang w:val="en-GB"/>
        </w:rPr>
        <w:t xml:space="preserve"> for SpCell, </w:t>
      </w:r>
      <w:r w:rsidR="533C1271" w:rsidRPr="5383423A">
        <w:rPr>
          <w:lang w:val="en-GB"/>
        </w:rPr>
        <w:t xml:space="preserve">and </w:t>
      </w:r>
      <w:r w:rsidR="006B344B" w:rsidRPr="5383423A">
        <w:rPr>
          <w:lang w:val="en-GB"/>
        </w:rPr>
        <w:t>RAN4 sh</w:t>
      </w:r>
      <w:r w:rsidRPr="5383423A">
        <w:rPr>
          <w:lang w:val="en-GB"/>
        </w:rPr>
        <w:t xml:space="preserve">all </w:t>
      </w:r>
      <w:r w:rsidR="006B344B" w:rsidRPr="5383423A">
        <w:rPr>
          <w:lang w:val="en-GB"/>
        </w:rPr>
        <w:t>support RRC-based BWP switch on SCell</w:t>
      </w:r>
      <w:r w:rsidRPr="5383423A">
        <w:rPr>
          <w:lang w:val="en-GB"/>
        </w:rPr>
        <w:t xml:space="preserve"> with </w:t>
      </w:r>
      <w:r w:rsidR="6976D65F" w:rsidRPr="5383423A">
        <w:rPr>
          <w:lang w:val="en-GB"/>
        </w:rPr>
        <w:t>any</w:t>
      </w:r>
      <w:r w:rsidRPr="5383423A">
        <w:rPr>
          <w:lang w:val="en-GB"/>
        </w:rPr>
        <w:t xml:space="preserve"> parameter change except parameters </w:t>
      </w:r>
      <w:r w:rsidRPr="5383423A">
        <w:rPr>
          <w:i/>
          <w:iCs/>
        </w:rPr>
        <w:t>firstActiveDownlinkBWP-Id</w:t>
      </w:r>
      <w:r>
        <w:t xml:space="preserve"> and </w:t>
      </w:r>
      <w:r w:rsidRPr="5383423A">
        <w:rPr>
          <w:i/>
          <w:iCs/>
        </w:rPr>
        <w:t>firstActiveUplinkBWP-Id</w:t>
      </w:r>
      <w:r w:rsidR="006B344B" w:rsidRPr="5383423A">
        <w:rPr>
          <w:lang w:val="en-GB"/>
        </w:rPr>
        <w:t xml:space="preserve">, </w:t>
      </w:r>
      <w:r w:rsidRPr="5383423A">
        <w:rPr>
          <w:lang w:val="en-GB"/>
        </w:rPr>
        <w:t xml:space="preserve">The agreed applicability in [3] can be applied for </w:t>
      </w:r>
      <w:r w:rsidR="005F73C6" w:rsidRPr="5383423A">
        <w:rPr>
          <w:lang w:val="en-GB"/>
        </w:rPr>
        <w:t>single CC also.</w:t>
      </w:r>
      <w:r>
        <w:t xml:space="preserve"> </w:t>
      </w:r>
    </w:p>
    <w:p w14:paraId="1CF788DA" w14:textId="42B0C2AA" w:rsidR="006B344B" w:rsidRPr="009B7B51" w:rsidRDefault="006B344B" w:rsidP="5383423A">
      <w:pPr>
        <w:pStyle w:val="RAN4Proposal0"/>
        <w:numPr>
          <w:ilvl w:val="0"/>
          <w:numId w:val="32"/>
        </w:numPr>
        <w:spacing w:after="200" w:line="240" w:lineRule="auto"/>
        <w:rPr>
          <w:rFonts w:eastAsiaTheme="minorEastAsia"/>
          <w:lang w:val="en-US"/>
        </w:rPr>
      </w:pPr>
      <w:r w:rsidRPr="5383423A">
        <w:rPr>
          <w:rFonts w:eastAsiaTheme="minorEastAsia"/>
          <w:lang w:val="en-US"/>
        </w:rPr>
        <w:t xml:space="preserve">Clarify that RRC-based BWP switch on single CC is appliable for SCells with </w:t>
      </w:r>
      <w:r w:rsidR="38AB22AB" w:rsidRPr="5383423A">
        <w:rPr>
          <w:rFonts w:eastAsiaTheme="minorEastAsia"/>
          <w:lang w:val="en-US"/>
        </w:rPr>
        <w:t>any</w:t>
      </w:r>
      <w:r w:rsidRPr="5383423A">
        <w:rPr>
          <w:rFonts w:eastAsiaTheme="minorEastAsia"/>
          <w:lang w:val="en-US"/>
        </w:rPr>
        <w:t xml:space="preserve"> param</w:t>
      </w:r>
      <w:r w:rsidR="00C445CD">
        <w:rPr>
          <w:rFonts w:eastAsiaTheme="minorEastAsia"/>
          <w:lang w:val="en-US"/>
        </w:rPr>
        <w:t>e</w:t>
      </w:r>
      <w:r w:rsidRPr="5383423A">
        <w:rPr>
          <w:rFonts w:eastAsiaTheme="minorEastAsia"/>
          <w:lang w:val="en-US"/>
        </w:rPr>
        <w:t xml:space="preserve">ter change except </w:t>
      </w:r>
      <w:r w:rsidR="00C445CD">
        <w:rPr>
          <w:rFonts w:eastAsiaTheme="minorEastAsia"/>
          <w:lang w:val="en-US"/>
        </w:rPr>
        <w:t>the</w:t>
      </w:r>
      <w:r w:rsidRPr="5383423A">
        <w:rPr>
          <w:rFonts w:eastAsiaTheme="minorEastAsia"/>
          <w:lang w:val="en-US"/>
        </w:rPr>
        <w:t xml:space="preserve"> parameters </w:t>
      </w:r>
      <w:bookmarkStart w:id="6" w:name="_Hlk68259041"/>
      <w:r w:rsidRPr="00C445CD">
        <w:rPr>
          <w:rFonts w:eastAsiaTheme="minorEastAsia"/>
          <w:i/>
          <w:iCs/>
          <w:lang w:val="en-US"/>
        </w:rPr>
        <w:t>firstActiveDownlinkBWP-Id</w:t>
      </w:r>
      <w:r w:rsidRPr="5383423A">
        <w:rPr>
          <w:rFonts w:eastAsiaTheme="minorEastAsia"/>
          <w:lang w:val="en-US"/>
        </w:rPr>
        <w:t xml:space="preserve"> and </w:t>
      </w:r>
      <w:r w:rsidRPr="00C445CD">
        <w:rPr>
          <w:rFonts w:eastAsiaTheme="minorEastAsia"/>
          <w:i/>
          <w:iCs/>
          <w:lang w:val="en-US"/>
        </w:rPr>
        <w:t>firstActiveUplinkBWP-Id</w:t>
      </w:r>
      <w:r w:rsidRPr="5383423A">
        <w:rPr>
          <w:rFonts w:eastAsiaTheme="minorEastAsia"/>
          <w:lang w:val="en-US"/>
        </w:rPr>
        <w:t xml:space="preserve"> </w:t>
      </w:r>
      <w:r w:rsidR="00244F02">
        <w:rPr>
          <w:rFonts w:eastAsiaTheme="minorEastAsia"/>
          <w:lang w:val="en-US"/>
        </w:rPr>
        <w:t>both in Rel-15 and Rel-16</w:t>
      </w:r>
    </w:p>
    <w:bookmarkEnd w:id="6"/>
    <w:p w14:paraId="379895AC" w14:textId="4A13E8E7" w:rsidR="002F4177" w:rsidRDefault="002F4177" w:rsidP="002F4177">
      <w:pPr>
        <w:rPr>
          <w:rFonts w:eastAsia="Calibri" w:cs="Times New Roman"/>
          <w:szCs w:val="20"/>
          <w:lang w:val="en-GB"/>
        </w:rPr>
      </w:pPr>
      <w:r>
        <w:rPr>
          <w:rFonts w:eastAsia="Calibri" w:cs="Times New Roman"/>
          <w:szCs w:val="20"/>
          <w:lang w:val="en-GB"/>
        </w:rPr>
        <w:t xml:space="preserve">In another hand, </w:t>
      </w:r>
      <w:r w:rsidR="00A62E40">
        <w:rPr>
          <w:rFonts w:eastAsia="Calibri" w:cs="Times New Roman"/>
          <w:szCs w:val="20"/>
          <w:lang w:val="en-GB"/>
        </w:rPr>
        <w:t xml:space="preserve">considering </w:t>
      </w:r>
      <w:r>
        <w:rPr>
          <w:rFonts w:eastAsia="Calibri" w:cs="Times New Roman"/>
          <w:szCs w:val="20"/>
          <w:lang w:val="en-GB"/>
        </w:rPr>
        <w:t>Rel-15 requirements are in stable phase already</w:t>
      </w:r>
      <w:r w:rsidR="00244F02">
        <w:rPr>
          <w:rFonts w:eastAsia="Calibri" w:cs="Times New Roman"/>
          <w:szCs w:val="20"/>
          <w:lang w:val="en-GB"/>
        </w:rPr>
        <w:t xml:space="preserve"> and UE chipset vendors has implemented based on Rel-15</w:t>
      </w:r>
      <w:r>
        <w:rPr>
          <w:rFonts w:eastAsia="Calibri" w:cs="Times New Roman"/>
          <w:szCs w:val="20"/>
          <w:lang w:val="en-GB"/>
        </w:rPr>
        <w:t xml:space="preserve">, it will </w:t>
      </w:r>
      <w:r w:rsidR="00244F02">
        <w:rPr>
          <w:rFonts w:eastAsia="Calibri" w:cs="Times New Roman"/>
          <w:szCs w:val="20"/>
          <w:lang w:val="en-GB"/>
        </w:rPr>
        <w:t xml:space="preserve">also </w:t>
      </w:r>
      <w:r>
        <w:rPr>
          <w:rFonts w:eastAsia="Calibri" w:cs="Times New Roman"/>
          <w:szCs w:val="20"/>
          <w:lang w:val="en-GB"/>
        </w:rPr>
        <w:t xml:space="preserve">depend on the already implementation </w:t>
      </w:r>
      <w:r w:rsidR="00244F02">
        <w:rPr>
          <w:rFonts w:eastAsia="Calibri" w:cs="Times New Roman"/>
          <w:szCs w:val="20"/>
          <w:lang w:val="en-GB"/>
        </w:rPr>
        <w:t xml:space="preserve">in </w:t>
      </w:r>
      <w:r>
        <w:rPr>
          <w:rFonts w:eastAsia="Calibri" w:cs="Times New Roman"/>
          <w:szCs w:val="20"/>
          <w:lang w:val="en-GB"/>
        </w:rPr>
        <w:t>UE chipset</w:t>
      </w:r>
      <w:r w:rsidR="00244F02">
        <w:rPr>
          <w:rFonts w:eastAsia="Calibri" w:cs="Times New Roman"/>
          <w:szCs w:val="20"/>
          <w:lang w:val="en-GB"/>
        </w:rPr>
        <w:t>s</w:t>
      </w:r>
      <w:r>
        <w:rPr>
          <w:rFonts w:eastAsia="Calibri" w:cs="Times New Roman"/>
          <w:szCs w:val="20"/>
          <w:lang w:val="en-GB"/>
        </w:rPr>
        <w:t xml:space="preserve">. </w:t>
      </w:r>
      <w:r w:rsidR="00244F02">
        <w:rPr>
          <w:rFonts w:eastAsia="Calibri" w:cs="Times New Roman"/>
          <w:szCs w:val="20"/>
          <w:lang w:val="en-GB"/>
        </w:rPr>
        <w:t xml:space="preserve">If the implementation does not support RRC-based BWP switch for SCell, we can skip it in Rel-15 and only support from Rel-16 from RAN4 specification. With this situation, We will have two approach for Rel-15 and Rel-16. In Rel-15, </w:t>
      </w:r>
      <w:r>
        <w:rPr>
          <w:rFonts w:eastAsia="Calibri" w:cs="Times New Roman"/>
          <w:szCs w:val="20"/>
          <w:lang w:val="en-GB"/>
        </w:rPr>
        <w:t xml:space="preserve">the RRC-based BWP switch on single CC requirements are only applicable for SpCell. </w:t>
      </w:r>
      <w:r w:rsidR="00244F02">
        <w:rPr>
          <w:rFonts w:eastAsia="Calibri" w:cs="Times New Roman"/>
          <w:szCs w:val="20"/>
          <w:lang w:val="en-GB"/>
        </w:rPr>
        <w:t xml:space="preserve">In Rel-16, the proposal #1 would be applied. </w:t>
      </w:r>
    </w:p>
    <w:p w14:paraId="73B2C6F1" w14:textId="7D28A970" w:rsidR="002F4177" w:rsidRPr="00C73D1A" w:rsidRDefault="002F4177" w:rsidP="00C73D1A">
      <w:pPr>
        <w:pStyle w:val="RAN4Proposal0"/>
        <w:numPr>
          <w:ilvl w:val="0"/>
          <w:numId w:val="32"/>
        </w:numPr>
        <w:spacing w:after="200" w:line="240" w:lineRule="auto"/>
        <w:rPr>
          <w:rFonts w:eastAsiaTheme="minorEastAsia"/>
          <w:lang w:val="en-US"/>
        </w:rPr>
      </w:pPr>
      <w:r>
        <w:t>Clarify that RRC-based BWP switch on single CC is only applicable for SpCell in R</w:t>
      </w:r>
      <w:r w:rsidR="00C73D1A">
        <w:t>el-</w:t>
      </w:r>
      <w:r>
        <w:t>15</w:t>
      </w:r>
      <w:r w:rsidR="00C73D1A">
        <w:t xml:space="preserve"> and </w:t>
      </w:r>
      <w:r w:rsidR="00C73D1A" w:rsidRPr="5383423A">
        <w:rPr>
          <w:rFonts w:eastAsiaTheme="minorEastAsia"/>
          <w:lang w:val="en-US"/>
        </w:rPr>
        <w:t>Clarify that RRC-based BWP switch on single CC is appliable for SCell with any param</w:t>
      </w:r>
      <w:r w:rsidR="00C73D1A">
        <w:rPr>
          <w:rFonts w:eastAsiaTheme="minorEastAsia"/>
          <w:lang w:val="en-US"/>
        </w:rPr>
        <w:t>e</w:t>
      </w:r>
      <w:r w:rsidR="00C73D1A" w:rsidRPr="5383423A">
        <w:rPr>
          <w:rFonts w:eastAsiaTheme="minorEastAsia"/>
          <w:lang w:val="en-US"/>
        </w:rPr>
        <w:t xml:space="preserve">ter change except </w:t>
      </w:r>
      <w:r w:rsidR="00C73D1A">
        <w:rPr>
          <w:rFonts w:eastAsiaTheme="minorEastAsia"/>
          <w:lang w:val="en-US"/>
        </w:rPr>
        <w:t>the</w:t>
      </w:r>
      <w:r w:rsidR="00C73D1A" w:rsidRPr="5383423A">
        <w:rPr>
          <w:rFonts w:eastAsiaTheme="minorEastAsia"/>
          <w:lang w:val="en-US"/>
        </w:rPr>
        <w:t xml:space="preserve"> parameters </w:t>
      </w:r>
      <w:r w:rsidR="00C73D1A" w:rsidRPr="00C445CD">
        <w:rPr>
          <w:rFonts w:eastAsiaTheme="minorEastAsia"/>
          <w:i/>
          <w:iCs/>
          <w:lang w:val="en-US"/>
        </w:rPr>
        <w:t>firstActiveDownlinkBWP-Id</w:t>
      </w:r>
      <w:r w:rsidR="00C73D1A" w:rsidRPr="5383423A">
        <w:rPr>
          <w:rFonts w:eastAsiaTheme="minorEastAsia"/>
          <w:lang w:val="en-US"/>
        </w:rPr>
        <w:t xml:space="preserve"> and </w:t>
      </w:r>
      <w:r w:rsidR="00C73D1A" w:rsidRPr="00C445CD">
        <w:rPr>
          <w:rFonts w:eastAsiaTheme="minorEastAsia"/>
          <w:i/>
          <w:iCs/>
          <w:lang w:val="en-US"/>
        </w:rPr>
        <w:t>firstActiveUplinkBWP-Id</w:t>
      </w:r>
      <w:r w:rsidR="00C73D1A" w:rsidRPr="5383423A">
        <w:rPr>
          <w:rFonts w:eastAsiaTheme="minorEastAsia"/>
          <w:lang w:val="en-US"/>
        </w:rPr>
        <w:t xml:space="preserve"> </w:t>
      </w:r>
      <w:r w:rsidR="00C73D1A">
        <w:rPr>
          <w:rFonts w:eastAsiaTheme="minorEastAsia"/>
          <w:lang w:val="en-US"/>
        </w:rPr>
        <w:t>both in Rel-16</w:t>
      </w:r>
      <w:r>
        <w:t>.</w:t>
      </w:r>
    </w:p>
    <w:p w14:paraId="3291B45B" w14:textId="0F1FFFD7" w:rsidR="002F4177" w:rsidRPr="00C73D1A" w:rsidRDefault="00C73D1A" w:rsidP="00173970">
      <w:pPr>
        <w:spacing w:after="200" w:line="240" w:lineRule="auto"/>
        <w:rPr>
          <w:rFonts w:eastAsiaTheme="minorHAnsi"/>
          <w:bCs/>
          <w:iCs/>
          <w:szCs w:val="18"/>
          <w:lang w:val="en-GB"/>
        </w:rPr>
      </w:pPr>
      <w:r w:rsidRPr="00C73D1A">
        <w:rPr>
          <w:rFonts w:eastAsiaTheme="minorHAnsi"/>
          <w:bCs/>
          <w:iCs/>
          <w:szCs w:val="18"/>
          <w:lang w:val="en-GB"/>
        </w:rPr>
        <w:t xml:space="preserve">CR on RRC-based BWP switch on single CC in Rel-15 are captured </w:t>
      </w:r>
      <w:r>
        <w:rPr>
          <w:rFonts w:eastAsiaTheme="minorHAnsi"/>
          <w:bCs/>
          <w:iCs/>
          <w:szCs w:val="18"/>
          <w:lang w:val="en-GB"/>
        </w:rPr>
        <w:t xml:space="preserve">the Proposal 1 </w:t>
      </w:r>
      <w:r w:rsidRPr="00C73D1A">
        <w:rPr>
          <w:rFonts w:eastAsiaTheme="minorHAnsi"/>
          <w:bCs/>
          <w:iCs/>
          <w:szCs w:val="18"/>
          <w:lang w:val="en-GB"/>
        </w:rPr>
        <w:t>in [3].</w:t>
      </w:r>
    </w:p>
    <w:p w14:paraId="44F4464B" w14:textId="77777777" w:rsidR="00CD7492" w:rsidRDefault="00CD7492" w:rsidP="00A37002">
      <w:pPr>
        <w:pStyle w:val="RAN4H1"/>
      </w:pPr>
      <w:r w:rsidRPr="00A37002">
        <w:t>Conclusion</w:t>
      </w:r>
    </w:p>
    <w:p w14:paraId="6A397892" w14:textId="42662BDD" w:rsidR="005C23A4" w:rsidRDefault="00B02B34" w:rsidP="005C23A4">
      <w:pPr>
        <w:rPr>
          <w:lang w:val="en-GB"/>
        </w:rPr>
      </w:pPr>
      <w:r w:rsidRPr="00B02B34">
        <w:rPr>
          <w:lang w:val="en-GB"/>
        </w:rPr>
        <w:t>In this contribution we have discussed</w:t>
      </w:r>
      <w:r w:rsidR="002A42A4">
        <w:rPr>
          <w:lang w:val="en-GB"/>
        </w:rPr>
        <w:t xml:space="preserve"> </w:t>
      </w:r>
      <w:r w:rsidR="00E4031F">
        <w:rPr>
          <w:lang w:val="en-GB"/>
        </w:rPr>
        <w:t xml:space="preserve">remaining open issues about </w:t>
      </w:r>
      <w:r w:rsidR="00E4031F" w:rsidRPr="00E4031F">
        <w:rPr>
          <w:lang w:val="en-GB"/>
        </w:rPr>
        <w:t>the applicability of RRC based BWP switch delay</w:t>
      </w:r>
      <w:r w:rsidR="005F73C6">
        <w:rPr>
          <w:lang w:val="en-GB"/>
        </w:rPr>
        <w:t xml:space="preserve"> on single CC</w:t>
      </w:r>
      <w:r w:rsidR="00E4031F" w:rsidRPr="00E4031F">
        <w:rPr>
          <w:lang w:val="en-GB"/>
        </w:rPr>
        <w:t xml:space="preserve"> requirements.</w:t>
      </w:r>
      <w:r w:rsidR="00723574">
        <w:rPr>
          <w:lang w:val="en-GB"/>
        </w:rPr>
        <w:t xml:space="preserve"> </w:t>
      </w:r>
      <w:r w:rsidRPr="00B02B34">
        <w:rPr>
          <w:lang w:val="en-GB"/>
        </w:rPr>
        <w:t xml:space="preserve">We have </w:t>
      </w:r>
      <w:r w:rsidR="00EB4D5A">
        <w:rPr>
          <w:lang w:val="en-GB"/>
        </w:rPr>
        <w:t xml:space="preserve">the following observation and </w:t>
      </w:r>
      <w:r w:rsidRPr="00B02B34">
        <w:rPr>
          <w:lang w:val="en-GB"/>
        </w:rPr>
        <w:t>made the following proposals:</w:t>
      </w:r>
    </w:p>
    <w:p w14:paraId="480FCA73" w14:textId="77777777" w:rsidR="00EB4D5A" w:rsidRDefault="00EB4D5A" w:rsidP="00EB4D5A">
      <w:pPr>
        <w:rPr>
          <w:lang w:val="en-GB"/>
        </w:rPr>
      </w:pPr>
      <w:r w:rsidRPr="00105F01">
        <w:rPr>
          <w:b/>
          <w:bCs/>
          <w:lang w:val="en-GB"/>
        </w:rPr>
        <w:t>Observation 1:</w:t>
      </w:r>
      <w:r>
        <w:rPr>
          <w:lang w:val="en-GB"/>
        </w:rPr>
        <w:t xml:space="preserve"> Allowing any reconfiguration of BWP parameters to cause "BWP switch" will impact NR system performance as UE cannot be scheduled during interruption time allowed by BWP switching.</w:t>
      </w:r>
    </w:p>
    <w:p w14:paraId="66203725" w14:textId="77777777" w:rsidR="00C73D1A" w:rsidRPr="00C73D1A" w:rsidRDefault="00C73D1A" w:rsidP="00C73D1A">
      <w:pPr>
        <w:pStyle w:val="RAN4Proposal0"/>
        <w:numPr>
          <w:ilvl w:val="0"/>
          <w:numId w:val="35"/>
        </w:numPr>
        <w:spacing w:after="200" w:line="240" w:lineRule="auto"/>
        <w:rPr>
          <w:rFonts w:eastAsiaTheme="minorEastAsia"/>
          <w:lang w:val="en-US"/>
        </w:rPr>
      </w:pPr>
      <w:r w:rsidRPr="00C73D1A">
        <w:rPr>
          <w:rFonts w:eastAsiaTheme="minorEastAsia"/>
          <w:lang w:val="en-US"/>
        </w:rPr>
        <w:t xml:space="preserve">Clarify that RRC-based BWP switch on single CC is appliable for SCells with any parameter change except the parameters </w:t>
      </w:r>
      <w:r w:rsidRPr="00C73D1A">
        <w:rPr>
          <w:rFonts w:eastAsiaTheme="minorEastAsia"/>
          <w:i/>
          <w:iCs/>
          <w:lang w:val="en-US"/>
        </w:rPr>
        <w:t>firstActiveDownlinkBWP-Id</w:t>
      </w:r>
      <w:r w:rsidRPr="00C73D1A">
        <w:rPr>
          <w:rFonts w:eastAsiaTheme="minorEastAsia"/>
          <w:lang w:val="en-US"/>
        </w:rPr>
        <w:t xml:space="preserve"> and </w:t>
      </w:r>
      <w:r w:rsidRPr="00C73D1A">
        <w:rPr>
          <w:rFonts w:eastAsiaTheme="minorEastAsia"/>
          <w:i/>
          <w:iCs/>
          <w:lang w:val="en-US"/>
        </w:rPr>
        <w:t>firstActiveUplinkBWP-Id</w:t>
      </w:r>
      <w:r w:rsidRPr="00C73D1A">
        <w:rPr>
          <w:rFonts w:eastAsiaTheme="minorEastAsia"/>
          <w:lang w:val="en-US"/>
        </w:rPr>
        <w:t xml:space="preserve"> both in Rel-15 and Rel-16</w:t>
      </w:r>
    </w:p>
    <w:p w14:paraId="2D5CB3D0" w14:textId="77777777" w:rsidR="00C73D1A" w:rsidRPr="00C73D1A" w:rsidRDefault="00C73D1A" w:rsidP="00C73D1A">
      <w:pPr>
        <w:pStyle w:val="RAN4Proposal0"/>
        <w:numPr>
          <w:ilvl w:val="0"/>
          <w:numId w:val="32"/>
        </w:numPr>
        <w:spacing w:after="200" w:line="240" w:lineRule="auto"/>
        <w:rPr>
          <w:rFonts w:eastAsiaTheme="minorEastAsia"/>
          <w:lang w:val="en-US"/>
        </w:rPr>
      </w:pPr>
      <w:r>
        <w:lastRenderedPageBreak/>
        <w:t xml:space="preserve">Clarify that RRC-based BWP switch on single CC is only applicable for SpCell in Rel-15 and </w:t>
      </w:r>
      <w:r w:rsidRPr="5383423A">
        <w:rPr>
          <w:rFonts w:eastAsiaTheme="minorEastAsia"/>
          <w:lang w:val="en-US"/>
        </w:rPr>
        <w:t>Clarify that RRC-based BWP switch on single CC is appliable for SCell with any param</w:t>
      </w:r>
      <w:r>
        <w:rPr>
          <w:rFonts w:eastAsiaTheme="minorEastAsia"/>
          <w:lang w:val="en-US"/>
        </w:rPr>
        <w:t>e</w:t>
      </w:r>
      <w:r w:rsidRPr="5383423A">
        <w:rPr>
          <w:rFonts w:eastAsiaTheme="minorEastAsia"/>
          <w:lang w:val="en-US"/>
        </w:rPr>
        <w:t xml:space="preserve">ter change except </w:t>
      </w:r>
      <w:r>
        <w:rPr>
          <w:rFonts w:eastAsiaTheme="minorEastAsia"/>
          <w:lang w:val="en-US"/>
        </w:rPr>
        <w:t>the</w:t>
      </w:r>
      <w:r w:rsidRPr="5383423A">
        <w:rPr>
          <w:rFonts w:eastAsiaTheme="minorEastAsia"/>
          <w:lang w:val="en-US"/>
        </w:rPr>
        <w:t xml:space="preserve"> parameters </w:t>
      </w:r>
      <w:r w:rsidRPr="00C445CD">
        <w:rPr>
          <w:rFonts w:eastAsiaTheme="minorEastAsia"/>
          <w:i/>
          <w:iCs/>
          <w:lang w:val="en-US"/>
        </w:rPr>
        <w:t>firstActiveDownlinkBWP-Id</w:t>
      </w:r>
      <w:r w:rsidRPr="5383423A">
        <w:rPr>
          <w:rFonts w:eastAsiaTheme="minorEastAsia"/>
          <w:lang w:val="en-US"/>
        </w:rPr>
        <w:t xml:space="preserve"> and </w:t>
      </w:r>
      <w:r w:rsidRPr="00C445CD">
        <w:rPr>
          <w:rFonts w:eastAsiaTheme="minorEastAsia"/>
          <w:i/>
          <w:iCs/>
          <w:lang w:val="en-US"/>
        </w:rPr>
        <w:t>firstActiveUplinkBWP-Id</w:t>
      </w:r>
      <w:r w:rsidRPr="5383423A">
        <w:rPr>
          <w:rFonts w:eastAsiaTheme="minorEastAsia"/>
          <w:lang w:val="en-US"/>
        </w:rPr>
        <w:t xml:space="preserve"> </w:t>
      </w:r>
      <w:r>
        <w:rPr>
          <w:rFonts w:eastAsiaTheme="minorEastAsia"/>
          <w:lang w:val="en-US"/>
        </w:rPr>
        <w:t>both in Rel-16</w:t>
      </w:r>
      <w:r>
        <w:t>.</w:t>
      </w:r>
    </w:p>
    <w:p w14:paraId="65D7F670" w14:textId="77777777" w:rsidR="00244F02" w:rsidRPr="00244F02" w:rsidRDefault="00244F02" w:rsidP="00244F02"/>
    <w:p w14:paraId="39D36443" w14:textId="77777777" w:rsidR="003B659E" w:rsidRPr="0095295C" w:rsidRDefault="003B659E" w:rsidP="005C23A4">
      <w:pPr>
        <w:pStyle w:val="RAN4H1"/>
        <w:numPr>
          <w:ilvl w:val="0"/>
          <w:numId w:val="0"/>
        </w:numPr>
        <w:ind w:left="360" w:hanging="360"/>
      </w:pPr>
      <w:r w:rsidRPr="0095295C">
        <w:t>References</w:t>
      </w:r>
    </w:p>
    <w:p w14:paraId="29BF877C" w14:textId="095035F0" w:rsidR="00F43D53" w:rsidRDefault="0007361D" w:rsidP="00387971">
      <w:pPr>
        <w:pStyle w:val="ListParagraph"/>
        <w:numPr>
          <w:ilvl w:val="0"/>
          <w:numId w:val="5"/>
        </w:numPr>
        <w:ind w:right="-22"/>
        <w:rPr>
          <w:lang w:val="en-GB"/>
        </w:rPr>
      </w:pPr>
      <w:r w:rsidRPr="0007361D">
        <w:rPr>
          <w:lang w:val="en-GB"/>
        </w:rPr>
        <w:t>R4-2017040</w:t>
      </w:r>
      <w:r w:rsidRPr="0007361D">
        <w:rPr>
          <w:lang w:val="en-GB"/>
        </w:rPr>
        <w:tab/>
        <w:t>LS on RRC based BWP switching for SCell</w:t>
      </w:r>
      <w:r w:rsidR="00F43D53">
        <w:rPr>
          <w:lang w:val="en-GB"/>
        </w:rPr>
        <w:t xml:space="preserve">, </w:t>
      </w:r>
      <w:r>
        <w:rPr>
          <w:lang w:val="en-GB"/>
        </w:rPr>
        <w:t>Apple</w:t>
      </w:r>
    </w:p>
    <w:p w14:paraId="3EDB965F" w14:textId="7136714A" w:rsidR="00C7357D" w:rsidRDefault="0007361D" w:rsidP="006977A6">
      <w:pPr>
        <w:pStyle w:val="ListParagraph"/>
        <w:numPr>
          <w:ilvl w:val="0"/>
          <w:numId w:val="5"/>
        </w:numPr>
        <w:ind w:right="-22"/>
        <w:rPr>
          <w:lang w:val="en-GB"/>
        </w:rPr>
      </w:pPr>
      <w:r w:rsidRPr="0007361D">
        <w:rPr>
          <w:lang w:val="en-GB"/>
        </w:rPr>
        <w:t>R2-2102476</w:t>
      </w:r>
      <w:r>
        <w:rPr>
          <w:lang w:val="en-GB"/>
        </w:rPr>
        <w:t xml:space="preserve"> </w:t>
      </w:r>
      <w:r w:rsidRPr="0007361D">
        <w:rPr>
          <w:lang w:val="en-GB"/>
        </w:rPr>
        <w:t>LS Reply on RRC based BWP switch</w:t>
      </w:r>
      <w:r>
        <w:rPr>
          <w:lang w:val="en-GB"/>
        </w:rPr>
        <w:t>, Apple</w:t>
      </w:r>
    </w:p>
    <w:p w14:paraId="50A529DB" w14:textId="70507D14" w:rsidR="006B344B" w:rsidRPr="0007361D" w:rsidRDefault="006B344B" w:rsidP="006977A6">
      <w:pPr>
        <w:pStyle w:val="ListParagraph"/>
        <w:numPr>
          <w:ilvl w:val="0"/>
          <w:numId w:val="5"/>
        </w:numPr>
        <w:ind w:right="-22"/>
        <w:rPr>
          <w:lang w:val="en-GB"/>
        </w:rPr>
      </w:pPr>
      <w:r w:rsidRPr="006B344B">
        <w:rPr>
          <w:lang w:val="en-GB"/>
        </w:rPr>
        <w:t>R4-2105835</w:t>
      </w:r>
      <w:r w:rsidRPr="006B344B">
        <w:rPr>
          <w:lang w:val="en-GB"/>
        </w:rPr>
        <w:tab/>
        <w:t>draftCR on RRC-based BWP switch on multiple CCs</w:t>
      </w:r>
      <w:r>
        <w:rPr>
          <w:lang w:val="en-GB"/>
        </w:rPr>
        <w:t>,</w:t>
      </w:r>
      <w:r w:rsidRPr="006B344B">
        <w:rPr>
          <w:lang w:val="en-GB"/>
        </w:rPr>
        <w:t xml:space="preserve"> </w:t>
      </w:r>
      <w:r>
        <w:rPr>
          <w:lang w:val="en-GB"/>
        </w:rPr>
        <w:t xml:space="preserve">Nokia, Nokia Shanghai Bell </w:t>
      </w:r>
    </w:p>
    <w:p w14:paraId="57FA99DC" w14:textId="606F71D5" w:rsidR="00E36A42" w:rsidRDefault="00E36A42" w:rsidP="00E36A42">
      <w:pPr>
        <w:pStyle w:val="ListParagraph"/>
        <w:numPr>
          <w:ilvl w:val="0"/>
          <w:numId w:val="5"/>
        </w:numPr>
        <w:ind w:right="-22"/>
        <w:rPr>
          <w:lang w:val="en-GB"/>
        </w:rPr>
      </w:pPr>
      <w:r w:rsidRPr="00C7357D">
        <w:rPr>
          <w:lang w:val="en-GB"/>
        </w:rPr>
        <w:t>R4-2</w:t>
      </w:r>
      <w:r>
        <w:rPr>
          <w:lang w:val="en-GB"/>
        </w:rPr>
        <w:t>1</w:t>
      </w:r>
      <w:r w:rsidR="00CE57FF">
        <w:rPr>
          <w:lang w:val="en-GB"/>
        </w:rPr>
        <w:t>11029</w:t>
      </w:r>
      <w:r w:rsidRPr="00C7357D">
        <w:rPr>
          <w:lang w:val="en-GB"/>
        </w:rPr>
        <w:tab/>
      </w:r>
      <w:r>
        <w:rPr>
          <w:lang w:val="en-GB"/>
        </w:rPr>
        <w:t>CR</w:t>
      </w:r>
      <w:r w:rsidR="002378EF">
        <w:rPr>
          <w:lang w:val="en-GB"/>
        </w:rPr>
        <w:t xml:space="preserve"> </w:t>
      </w:r>
      <w:r w:rsidR="0007361D">
        <w:rPr>
          <w:lang w:val="en-GB"/>
        </w:rPr>
        <w:t>on RRC-based BWP switch</w:t>
      </w:r>
      <w:r w:rsidR="002378EF">
        <w:rPr>
          <w:lang w:val="en-GB"/>
        </w:rPr>
        <w:t xml:space="preserve"> </w:t>
      </w:r>
      <w:r w:rsidR="00CA6643">
        <w:rPr>
          <w:lang w:val="en-GB"/>
        </w:rPr>
        <w:t xml:space="preserve">on single CC </w:t>
      </w:r>
      <w:r w:rsidR="0007361D">
        <w:rPr>
          <w:lang w:val="en-GB"/>
        </w:rPr>
        <w:t>in R15</w:t>
      </w:r>
      <w:r>
        <w:rPr>
          <w:lang w:val="en-GB"/>
        </w:rPr>
        <w:t>, Nokia, Nokia Shanghai Bell</w:t>
      </w:r>
    </w:p>
    <w:p w14:paraId="03FEFF45" w14:textId="77777777" w:rsidR="00CA6643" w:rsidRPr="00E36A42" w:rsidRDefault="00CA6643" w:rsidP="00CA6643">
      <w:pPr>
        <w:pStyle w:val="ListParagraph"/>
        <w:ind w:left="360" w:right="-22"/>
        <w:rPr>
          <w:lang w:val="en-GB"/>
        </w:rPr>
      </w:pPr>
    </w:p>
    <w:sectPr w:rsidR="00CA6643" w:rsidRPr="00E36A4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601298" w14:textId="77777777" w:rsidR="00974FB3" w:rsidRDefault="00974FB3" w:rsidP="00001C9B">
      <w:pPr>
        <w:spacing w:after="0" w:line="240" w:lineRule="auto"/>
      </w:pPr>
      <w:r>
        <w:separator/>
      </w:r>
    </w:p>
  </w:endnote>
  <w:endnote w:type="continuationSeparator" w:id="0">
    <w:p w14:paraId="4CB9BF87" w14:textId="77777777" w:rsidR="00974FB3" w:rsidRDefault="00974FB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1AC4D" w14:textId="77777777" w:rsidR="00974FB3" w:rsidRDefault="00974FB3" w:rsidP="00001C9B">
      <w:pPr>
        <w:spacing w:after="0" w:line="240" w:lineRule="auto"/>
      </w:pPr>
      <w:r>
        <w:separator/>
      </w:r>
    </w:p>
  </w:footnote>
  <w:footnote w:type="continuationSeparator" w:id="0">
    <w:p w14:paraId="496930F9" w14:textId="77777777" w:rsidR="00974FB3" w:rsidRDefault="00974FB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36C0A"/>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9E42D2E"/>
    <w:multiLevelType w:val="hybridMultilevel"/>
    <w:tmpl w:val="EF1CC27A"/>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E5B68"/>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CB64FAE"/>
    <w:multiLevelType w:val="hybridMultilevel"/>
    <w:tmpl w:val="C1C68146"/>
    <w:lvl w:ilvl="0" w:tplc="D86A1BCC">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A3115A"/>
    <w:multiLevelType w:val="hybridMultilevel"/>
    <w:tmpl w:val="C042248C"/>
    <w:lvl w:ilvl="0" w:tplc="6848156E">
      <w:start w:val="1"/>
      <w:numFmt w:val="bullet"/>
      <w:lvlText w:val="•"/>
      <w:lvlJc w:val="left"/>
      <w:pPr>
        <w:tabs>
          <w:tab w:val="num" w:pos="720"/>
        </w:tabs>
        <w:ind w:left="720" w:hanging="360"/>
      </w:pPr>
      <w:rPr>
        <w:rFonts w:ascii="Arial" w:hAnsi="Arial" w:hint="default"/>
      </w:rPr>
    </w:lvl>
    <w:lvl w:ilvl="1" w:tplc="5EB842DC" w:tentative="1">
      <w:start w:val="1"/>
      <w:numFmt w:val="bullet"/>
      <w:lvlText w:val="•"/>
      <w:lvlJc w:val="left"/>
      <w:pPr>
        <w:tabs>
          <w:tab w:val="num" w:pos="1440"/>
        </w:tabs>
        <w:ind w:left="1440" w:hanging="360"/>
      </w:pPr>
      <w:rPr>
        <w:rFonts w:ascii="Arial" w:hAnsi="Arial" w:hint="default"/>
      </w:rPr>
    </w:lvl>
    <w:lvl w:ilvl="2" w:tplc="64A22DAE" w:tentative="1">
      <w:start w:val="1"/>
      <w:numFmt w:val="bullet"/>
      <w:lvlText w:val="•"/>
      <w:lvlJc w:val="left"/>
      <w:pPr>
        <w:tabs>
          <w:tab w:val="num" w:pos="2160"/>
        </w:tabs>
        <w:ind w:left="2160" w:hanging="360"/>
      </w:pPr>
      <w:rPr>
        <w:rFonts w:ascii="Arial" w:hAnsi="Arial" w:hint="default"/>
      </w:rPr>
    </w:lvl>
    <w:lvl w:ilvl="3" w:tplc="B5E46B7E" w:tentative="1">
      <w:start w:val="1"/>
      <w:numFmt w:val="bullet"/>
      <w:lvlText w:val="•"/>
      <w:lvlJc w:val="left"/>
      <w:pPr>
        <w:tabs>
          <w:tab w:val="num" w:pos="2880"/>
        </w:tabs>
        <w:ind w:left="2880" w:hanging="360"/>
      </w:pPr>
      <w:rPr>
        <w:rFonts w:ascii="Arial" w:hAnsi="Arial" w:hint="default"/>
      </w:rPr>
    </w:lvl>
    <w:lvl w:ilvl="4" w:tplc="5F7ECDB2" w:tentative="1">
      <w:start w:val="1"/>
      <w:numFmt w:val="bullet"/>
      <w:lvlText w:val="•"/>
      <w:lvlJc w:val="left"/>
      <w:pPr>
        <w:tabs>
          <w:tab w:val="num" w:pos="3600"/>
        </w:tabs>
        <w:ind w:left="3600" w:hanging="360"/>
      </w:pPr>
      <w:rPr>
        <w:rFonts w:ascii="Arial" w:hAnsi="Arial" w:hint="default"/>
      </w:rPr>
    </w:lvl>
    <w:lvl w:ilvl="5" w:tplc="B53C4B40" w:tentative="1">
      <w:start w:val="1"/>
      <w:numFmt w:val="bullet"/>
      <w:lvlText w:val="•"/>
      <w:lvlJc w:val="left"/>
      <w:pPr>
        <w:tabs>
          <w:tab w:val="num" w:pos="4320"/>
        </w:tabs>
        <w:ind w:left="4320" w:hanging="360"/>
      </w:pPr>
      <w:rPr>
        <w:rFonts w:ascii="Arial" w:hAnsi="Arial" w:hint="default"/>
      </w:rPr>
    </w:lvl>
    <w:lvl w:ilvl="6" w:tplc="4B683C38" w:tentative="1">
      <w:start w:val="1"/>
      <w:numFmt w:val="bullet"/>
      <w:lvlText w:val="•"/>
      <w:lvlJc w:val="left"/>
      <w:pPr>
        <w:tabs>
          <w:tab w:val="num" w:pos="5040"/>
        </w:tabs>
        <w:ind w:left="5040" w:hanging="360"/>
      </w:pPr>
      <w:rPr>
        <w:rFonts w:ascii="Arial" w:hAnsi="Arial" w:hint="default"/>
      </w:rPr>
    </w:lvl>
    <w:lvl w:ilvl="7" w:tplc="B2C2349C" w:tentative="1">
      <w:start w:val="1"/>
      <w:numFmt w:val="bullet"/>
      <w:lvlText w:val="•"/>
      <w:lvlJc w:val="left"/>
      <w:pPr>
        <w:tabs>
          <w:tab w:val="num" w:pos="5760"/>
        </w:tabs>
        <w:ind w:left="5760" w:hanging="360"/>
      </w:pPr>
      <w:rPr>
        <w:rFonts w:ascii="Arial" w:hAnsi="Arial" w:hint="default"/>
      </w:rPr>
    </w:lvl>
    <w:lvl w:ilvl="8" w:tplc="9604A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A10B12"/>
    <w:multiLevelType w:val="hybridMultilevel"/>
    <w:tmpl w:val="DD76B882"/>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361DC"/>
    <w:multiLevelType w:val="hybridMultilevel"/>
    <w:tmpl w:val="033C93E0"/>
    <w:lvl w:ilvl="0" w:tplc="62023DEC">
      <w:start w:val="1"/>
      <w:numFmt w:val="bullet"/>
      <w:lvlText w:val="•"/>
      <w:lvlJc w:val="left"/>
      <w:pPr>
        <w:tabs>
          <w:tab w:val="num" w:pos="720"/>
        </w:tabs>
        <w:ind w:left="720" w:hanging="360"/>
      </w:pPr>
      <w:rPr>
        <w:rFonts w:ascii="Arial" w:hAnsi="Arial" w:hint="default"/>
      </w:rPr>
    </w:lvl>
    <w:lvl w:ilvl="1" w:tplc="D972A8EA" w:tentative="1">
      <w:start w:val="1"/>
      <w:numFmt w:val="bullet"/>
      <w:lvlText w:val="•"/>
      <w:lvlJc w:val="left"/>
      <w:pPr>
        <w:tabs>
          <w:tab w:val="num" w:pos="1440"/>
        </w:tabs>
        <w:ind w:left="1440" w:hanging="360"/>
      </w:pPr>
      <w:rPr>
        <w:rFonts w:ascii="Arial" w:hAnsi="Arial" w:hint="default"/>
      </w:rPr>
    </w:lvl>
    <w:lvl w:ilvl="2" w:tplc="AB22CE88" w:tentative="1">
      <w:start w:val="1"/>
      <w:numFmt w:val="bullet"/>
      <w:lvlText w:val="•"/>
      <w:lvlJc w:val="left"/>
      <w:pPr>
        <w:tabs>
          <w:tab w:val="num" w:pos="2160"/>
        </w:tabs>
        <w:ind w:left="2160" w:hanging="360"/>
      </w:pPr>
      <w:rPr>
        <w:rFonts w:ascii="Arial" w:hAnsi="Arial" w:hint="default"/>
      </w:rPr>
    </w:lvl>
    <w:lvl w:ilvl="3" w:tplc="B4DCFE90" w:tentative="1">
      <w:start w:val="1"/>
      <w:numFmt w:val="bullet"/>
      <w:lvlText w:val="•"/>
      <w:lvlJc w:val="left"/>
      <w:pPr>
        <w:tabs>
          <w:tab w:val="num" w:pos="2880"/>
        </w:tabs>
        <w:ind w:left="2880" w:hanging="360"/>
      </w:pPr>
      <w:rPr>
        <w:rFonts w:ascii="Arial" w:hAnsi="Arial" w:hint="default"/>
      </w:rPr>
    </w:lvl>
    <w:lvl w:ilvl="4" w:tplc="7C44D732" w:tentative="1">
      <w:start w:val="1"/>
      <w:numFmt w:val="bullet"/>
      <w:lvlText w:val="•"/>
      <w:lvlJc w:val="left"/>
      <w:pPr>
        <w:tabs>
          <w:tab w:val="num" w:pos="3600"/>
        </w:tabs>
        <w:ind w:left="3600" w:hanging="360"/>
      </w:pPr>
      <w:rPr>
        <w:rFonts w:ascii="Arial" w:hAnsi="Arial" w:hint="default"/>
      </w:rPr>
    </w:lvl>
    <w:lvl w:ilvl="5" w:tplc="418634B4" w:tentative="1">
      <w:start w:val="1"/>
      <w:numFmt w:val="bullet"/>
      <w:lvlText w:val="•"/>
      <w:lvlJc w:val="left"/>
      <w:pPr>
        <w:tabs>
          <w:tab w:val="num" w:pos="4320"/>
        </w:tabs>
        <w:ind w:left="4320" w:hanging="360"/>
      </w:pPr>
      <w:rPr>
        <w:rFonts w:ascii="Arial" w:hAnsi="Arial" w:hint="default"/>
      </w:rPr>
    </w:lvl>
    <w:lvl w:ilvl="6" w:tplc="52E6A0D2" w:tentative="1">
      <w:start w:val="1"/>
      <w:numFmt w:val="bullet"/>
      <w:lvlText w:val="•"/>
      <w:lvlJc w:val="left"/>
      <w:pPr>
        <w:tabs>
          <w:tab w:val="num" w:pos="5040"/>
        </w:tabs>
        <w:ind w:left="5040" w:hanging="360"/>
      </w:pPr>
      <w:rPr>
        <w:rFonts w:ascii="Arial" w:hAnsi="Arial" w:hint="default"/>
      </w:rPr>
    </w:lvl>
    <w:lvl w:ilvl="7" w:tplc="FF0298E2" w:tentative="1">
      <w:start w:val="1"/>
      <w:numFmt w:val="bullet"/>
      <w:lvlText w:val="•"/>
      <w:lvlJc w:val="left"/>
      <w:pPr>
        <w:tabs>
          <w:tab w:val="num" w:pos="5760"/>
        </w:tabs>
        <w:ind w:left="5760" w:hanging="360"/>
      </w:pPr>
      <w:rPr>
        <w:rFonts w:ascii="Arial" w:hAnsi="Arial" w:hint="default"/>
      </w:rPr>
    </w:lvl>
    <w:lvl w:ilvl="8" w:tplc="9B4657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D719BF"/>
    <w:multiLevelType w:val="hybridMultilevel"/>
    <w:tmpl w:val="F8FA3A00"/>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96F60"/>
    <w:multiLevelType w:val="hybridMultilevel"/>
    <w:tmpl w:val="F830CE5C"/>
    <w:lvl w:ilvl="0" w:tplc="2B1E96CE">
      <w:start w:val="1"/>
      <w:numFmt w:val="bullet"/>
      <w:lvlText w:val="•"/>
      <w:lvlJc w:val="left"/>
      <w:pPr>
        <w:tabs>
          <w:tab w:val="num" w:pos="720"/>
        </w:tabs>
        <w:ind w:left="720" w:hanging="360"/>
      </w:pPr>
      <w:rPr>
        <w:rFonts w:ascii="Arial" w:hAnsi="Arial" w:hint="default"/>
      </w:rPr>
    </w:lvl>
    <w:lvl w:ilvl="1" w:tplc="FAE8259A" w:tentative="1">
      <w:start w:val="1"/>
      <w:numFmt w:val="bullet"/>
      <w:lvlText w:val="•"/>
      <w:lvlJc w:val="left"/>
      <w:pPr>
        <w:tabs>
          <w:tab w:val="num" w:pos="1440"/>
        </w:tabs>
        <w:ind w:left="1440" w:hanging="360"/>
      </w:pPr>
      <w:rPr>
        <w:rFonts w:ascii="Arial" w:hAnsi="Arial" w:hint="default"/>
      </w:rPr>
    </w:lvl>
    <w:lvl w:ilvl="2" w:tplc="0C601E96" w:tentative="1">
      <w:start w:val="1"/>
      <w:numFmt w:val="bullet"/>
      <w:lvlText w:val="•"/>
      <w:lvlJc w:val="left"/>
      <w:pPr>
        <w:tabs>
          <w:tab w:val="num" w:pos="2160"/>
        </w:tabs>
        <w:ind w:left="2160" w:hanging="360"/>
      </w:pPr>
      <w:rPr>
        <w:rFonts w:ascii="Arial" w:hAnsi="Arial" w:hint="default"/>
      </w:rPr>
    </w:lvl>
    <w:lvl w:ilvl="3" w:tplc="C1FA1F24" w:tentative="1">
      <w:start w:val="1"/>
      <w:numFmt w:val="bullet"/>
      <w:lvlText w:val="•"/>
      <w:lvlJc w:val="left"/>
      <w:pPr>
        <w:tabs>
          <w:tab w:val="num" w:pos="2880"/>
        </w:tabs>
        <w:ind w:left="2880" w:hanging="360"/>
      </w:pPr>
      <w:rPr>
        <w:rFonts w:ascii="Arial" w:hAnsi="Arial" w:hint="default"/>
      </w:rPr>
    </w:lvl>
    <w:lvl w:ilvl="4" w:tplc="041034A4" w:tentative="1">
      <w:start w:val="1"/>
      <w:numFmt w:val="bullet"/>
      <w:lvlText w:val="•"/>
      <w:lvlJc w:val="left"/>
      <w:pPr>
        <w:tabs>
          <w:tab w:val="num" w:pos="3600"/>
        </w:tabs>
        <w:ind w:left="3600" w:hanging="360"/>
      </w:pPr>
      <w:rPr>
        <w:rFonts w:ascii="Arial" w:hAnsi="Arial" w:hint="default"/>
      </w:rPr>
    </w:lvl>
    <w:lvl w:ilvl="5" w:tplc="CF12950E" w:tentative="1">
      <w:start w:val="1"/>
      <w:numFmt w:val="bullet"/>
      <w:lvlText w:val="•"/>
      <w:lvlJc w:val="left"/>
      <w:pPr>
        <w:tabs>
          <w:tab w:val="num" w:pos="4320"/>
        </w:tabs>
        <w:ind w:left="4320" w:hanging="360"/>
      </w:pPr>
      <w:rPr>
        <w:rFonts w:ascii="Arial" w:hAnsi="Arial" w:hint="default"/>
      </w:rPr>
    </w:lvl>
    <w:lvl w:ilvl="6" w:tplc="AEE40AB2" w:tentative="1">
      <w:start w:val="1"/>
      <w:numFmt w:val="bullet"/>
      <w:lvlText w:val="•"/>
      <w:lvlJc w:val="left"/>
      <w:pPr>
        <w:tabs>
          <w:tab w:val="num" w:pos="5040"/>
        </w:tabs>
        <w:ind w:left="5040" w:hanging="360"/>
      </w:pPr>
      <w:rPr>
        <w:rFonts w:ascii="Arial" w:hAnsi="Arial" w:hint="default"/>
      </w:rPr>
    </w:lvl>
    <w:lvl w:ilvl="7" w:tplc="C1C40DC0" w:tentative="1">
      <w:start w:val="1"/>
      <w:numFmt w:val="bullet"/>
      <w:lvlText w:val="•"/>
      <w:lvlJc w:val="left"/>
      <w:pPr>
        <w:tabs>
          <w:tab w:val="num" w:pos="5760"/>
        </w:tabs>
        <w:ind w:left="5760" w:hanging="360"/>
      </w:pPr>
      <w:rPr>
        <w:rFonts w:ascii="Arial" w:hAnsi="Arial" w:hint="default"/>
      </w:rPr>
    </w:lvl>
    <w:lvl w:ilvl="8" w:tplc="D068DF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0D39AE"/>
    <w:multiLevelType w:val="hybridMultilevel"/>
    <w:tmpl w:val="670238C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C821349"/>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823603"/>
    <w:multiLevelType w:val="hybridMultilevel"/>
    <w:tmpl w:val="91AC0F30"/>
    <w:lvl w:ilvl="0" w:tplc="0D9A514C">
      <w:start w:val="1"/>
      <w:numFmt w:val="bullet"/>
      <w:lvlText w:val="•"/>
      <w:lvlJc w:val="left"/>
      <w:pPr>
        <w:tabs>
          <w:tab w:val="num" w:pos="720"/>
        </w:tabs>
        <w:ind w:left="720" w:hanging="360"/>
      </w:pPr>
      <w:rPr>
        <w:rFonts w:ascii="Arial" w:hAnsi="Arial" w:hint="default"/>
      </w:rPr>
    </w:lvl>
    <w:lvl w:ilvl="1" w:tplc="533483E4" w:tentative="1">
      <w:start w:val="1"/>
      <w:numFmt w:val="bullet"/>
      <w:lvlText w:val="•"/>
      <w:lvlJc w:val="left"/>
      <w:pPr>
        <w:tabs>
          <w:tab w:val="num" w:pos="1440"/>
        </w:tabs>
        <w:ind w:left="1440" w:hanging="360"/>
      </w:pPr>
      <w:rPr>
        <w:rFonts w:ascii="Arial" w:hAnsi="Arial" w:hint="default"/>
      </w:rPr>
    </w:lvl>
    <w:lvl w:ilvl="2" w:tplc="5D9A64F6" w:tentative="1">
      <w:start w:val="1"/>
      <w:numFmt w:val="bullet"/>
      <w:lvlText w:val="•"/>
      <w:lvlJc w:val="left"/>
      <w:pPr>
        <w:tabs>
          <w:tab w:val="num" w:pos="2160"/>
        </w:tabs>
        <w:ind w:left="2160" w:hanging="360"/>
      </w:pPr>
      <w:rPr>
        <w:rFonts w:ascii="Arial" w:hAnsi="Arial" w:hint="default"/>
      </w:rPr>
    </w:lvl>
    <w:lvl w:ilvl="3" w:tplc="87764C94" w:tentative="1">
      <w:start w:val="1"/>
      <w:numFmt w:val="bullet"/>
      <w:lvlText w:val="•"/>
      <w:lvlJc w:val="left"/>
      <w:pPr>
        <w:tabs>
          <w:tab w:val="num" w:pos="2880"/>
        </w:tabs>
        <w:ind w:left="2880" w:hanging="360"/>
      </w:pPr>
      <w:rPr>
        <w:rFonts w:ascii="Arial" w:hAnsi="Arial" w:hint="default"/>
      </w:rPr>
    </w:lvl>
    <w:lvl w:ilvl="4" w:tplc="529EF4AC" w:tentative="1">
      <w:start w:val="1"/>
      <w:numFmt w:val="bullet"/>
      <w:lvlText w:val="•"/>
      <w:lvlJc w:val="left"/>
      <w:pPr>
        <w:tabs>
          <w:tab w:val="num" w:pos="3600"/>
        </w:tabs>
        <w:ind w:left="3600" w:hanging="360"/>
      </w:pPr>
      <w:rPr>
        <w:rFonts w:ascii="Arial" w:hAnsi="Arial" w:hint="default"/>
      </w:rPr>
    </w:lvl>
    <w:lvl w:ilvl="5" w:tplc="15248C9E" w:tentative="1">
      <w:start w:val="1"/>
      <w:numFmt w:val="bullet"/>
      <w:lvlText w:val="•"/>
      <w:lvlJc w:val="left"/>
      <w:pPr>
        <w:tabs>
          <w:tab w:val="num" w:pos="4320"/>
        </w:tabs>
        <w:ind w:left="4320" w:hanging="360"/>
      </w:pPr>
      <w:rPr>
        <w:rFonts w:ascii="Arial" w:hAnsi="Arial" w:hint="default"/>
      </w:rPr>
    </w:lvl>
    <w:lvl w:ilvl="6" w:tplc="F3A0CB08" w:tentative="1">
      <w:start w:val="1"/>
      <w:numFmt w:val="bullet"/>
      <w:lvlText w:val="•"/>
      <w:lvlJc w:val="left"/>
      <w:pPr>
        <w:tabs>
          <w:tab w:val="num" w:pos="5040"/>
        </w:tabs>
        <w:ind w:left="5040" w:hanging="360"/>
      </w:pPr>
      <w:rPr>
        <w:rFonts w:ascii="Arial" w:hAnsi="Arial" w:hint="default"/>
      </w:rPr>
    </w:lvl>
    <w:lvl w:ilvl="7" w:tplc="75A019F8" w:tentative="1">
      <w:start w:val="1"/>
      <w:numFmt w:val="bullet"/>
      <w:lvlText w:val="•"/>
      <w:lvlJc w:val="left"/>
      <w:pPr>
        <w:tabs>
          <w:tab w:val="num" w:pos="5760"/>
        </w:tabs>
        <w:ind w:left="5760" w:hanging="360"/>
      </w:pPr>
      <w:rPr>
        <w:rFonts w:ascii="Arial" w:hAnsi="Arial" w:hint="default"/>
      </w:rPr>
    </w:lvl>
    <w:lvl w:ilvl="8" w:tplc="87D8F7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0F0FB9"/>
    <w:multiLevelType w:val="hybridMultilevel"/>
    <w:tmpl w:val="98EAC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F3583A6A"/>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000E6"/>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95924"/>
    <w:multiLevelType w:val="hybridMultilevel"/>
    <w:tmpl w:val="01D49100"/>
    <w:lvl w:ilvl="0" w:tplc="040B000F">
      <w:start w:val="1"/>
      <w:numFmt w:val="decimal"/>
      <w:lvlText w:val="%1."/>
      <w:lvlJc w:val="left"/>
      <w:pPr>
        <w:ind w:left="360" w:hanging="360"/>
      </w:pPr>
    </w:lvl>
    <w:lvl w:ilvl="1" w:tplc="040B0019">
      <w:start w:val="1"/>
      <w:numFmt w:val="lowerLetter"/>
      <w:lvlText w:val="%2."/>
      <w:lvlJc w:val="left"/>
      <w:pPr>
        <w:ind w:left="1080" w:hanging="360"/>
      </w:pPr>
    </w:lvl>
    <w:lvl w:ilvl="2" w:tplc="040B001B">
      <w:start w:val="1"/>
      <w:numFmt w:val="lowerRoman"/>
      <w:lvlText w:val="%3."/>
      <w:lvlJc w:val="right"/>
      <w:pPr>
        <w:ind w:left="1800" w:hanging="180"/>
      </w:pPr>
    </w:lvl>
    <w:lvl w:ilvl="3" w:tplc="040B000F">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2" w15:restartNumberingAfterBreak="0">
    <w:nsid w:val="68FC630F"/>
    <w:multiLevelType w:val="hybridMultilevel"/>
    <w:tmpl w:val="0552996C"/>
    <w:lvl w:ilvl="0" w:tplc="69F69562">
      <w:start w:val="1"/>
      <w:numFmt w:val="bullet"/>
      <w:lvlText w:val="•"/>
      <w:lvlJc w:val="left"/>
      <w:pPr>
        <w:tabs>
          <w:tab w:val="num" w:pos="720"/>
        </w:tabs>
        <w:ind w:left="720" w:hanging="360"/>
      </w:pPr>
      <w:rPr>
        <w:rFonts w:ascii="Arial" w:hAnsi="Arial" w:hint="default"/>
      </w:rPr>
    </w:lvl>
    <w:lvl w:ilvl="1" w:tplc="77325E1C" w:tentative="1">
      <w:start w:val="1"/>
      <w:numFmt w:val="bullet"/>
      <w:lvlText w:val="•"/>
      <w:lvlJc w:val="left"/>
      <w:pPr>
        <w:tabs>
          <w:tab w:val="num" w:pos="1440"/>
        </w:tabs>
        <w:ind w:left="1440" w:hanging="360"/>
      </w:pPr>
      <w:rPr>
        <w:rFonts w:ascii="Arial" w:hAnsi="Arial" w:hint="default"/>
      </w:rPr>
    </w:lvl>
    <w:lvl w:ilvl="2" w:tplc="EF24D898" w:tentative="1">
      <w:start w:val="1"/>
      <w:numFmt w:val="bullet"/>
      <w:lvlText w:val="•"/>
      <w:lvlJc w:val="left"/>
      <w:pPr>
        <w:tabs>
          <w:tab w:val="num" w:pos="2160"/>
        </w:tabs>
        <w:ind w:left="2160" w:hanging="360"/>
      </w:pPr>
      <w:rPr>
        <w:rFonts w:ascii="Arial" w:hAnsi="Arial" w:hint="default"/>
      </w:rPr>
    </w:lvl>
    <w:lvl w:ilvl="3" w:tplc="C9F0830C" w:tentative="1">
      <w:start w:val="1"/>
      <w:numFmt w:val="bullet"/>
      <w:lvlText w:val="•"/>
      <w:lvlJc w:val="left"/>
      <w:pPr>
        <w:tabs>
          <w:tab w:val="num" w:pos="2880"/>
        </w:tabs>
        <w:ind w:left="2880" w:hanging="360"/>
      </w:pPr>
      <w:rPr>
        <w:rFonts w:ascii="Arial" w:hAnsi="Arial" w:hint="default"/>
      </w:rPr>
    </w:lvl>
    <w:lvl w:ilvl="4" w:tplc="C2F8524A" w:tentative="1">
      <w:start w:val="1"/>
      <w:numFmt w:val="bullet"/>
      <w:lvlText w:val="•"/>
      <w:lvlJc w:val="left"/>
      <w:pPr>
        <w:tabs>
          <w:tab w:val="num" w:pos="3600"/>
        </w:tabs>
        <w:ind w:left="3600" w:hanging="360"/>
      </w:pPr>
      <w:rPr>
        <w:rFonts w:ascii="Arial" w:hAnsi="Arial" w:hint="default"/>
      </w:rPr>
    </w:lvl>
    <w:lvl w:ilvl="5" w:tplc="5622AE60" w:tentative="1">
      <w:start w:val="1"/>
      <w:numFmt w:val="bullet"/>
      <w:lvlText w:val="•"/>
      <w:lvlJc w:val="left"/>
      <w:pPr>
        <w:tabs>
          <w:tab w:val="num" w:pos="4320"/>
        </w:tabs>
        <w:ind w:left="4320" w:hanging="360"/>
      </w:pPr>
      <w:rPr>
        <w:rFonts w:ascii="Arial" w:hAnsi="Arial" w:hint="default"/>
      </w:rPr>
    </w:lvl>
    <w:lvl w:ilvl="6" w:tplc="4266B248" w:tentative="1">
      <w:start w:val="1"/>
      <w:numFmt w:val="bullet"/>
      <w:lvlText w:val="•"/>
      <w:lvlJc w:val="left"/>
      <w:pPr>
        <w:tabs>
          <w:tab w:val="num" w:pos="5040"/>
        </w:tabs>
        <w:ind w:left="5040" w:hanging="360"/>
      </w:pPr>
      <w:rPr>
        <w:rFonts w:ascii="Arial" w:hAnsi="Arial" w:hint="default"/>
      </w:rPr>
    </w:lvl>
    <w:lvl w:ilvl="7" w:tplc="FE7A5D1E" w:tentative="1">
      <w:start w:val="1"/>
      <w:numFmt w:val="bullet"/>
      <w:lvlText w:val="•"/>
      <w:lvlJc w:val="left"/>
      <w:pPr>
        <w:tabs>
          <w:tab w:val="num" w:pos="5760"/>
        </w:tabs>
        <w:ind w:left="5760" w:hanging="360"/>
      </w:pPr>
      <w:rPr>
        <w:rFonts w:ascii="Arial" w:hAnsi="Arial" w:hint="default"/>
      </w:rPr>
    </w:lvl>
    <w:lvl w:ilvl="8" w:tplc="E384D5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863D71"/>
    <w:multiLevelType w:val="hybridMultilevel"/>
    <w:tmpl w:val="01D4910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D9671D6"/>
    <w:multiLevelType w:val="hybridMultilevel"/>
    <w:tmpl w:val="E29288FC"/>
    <w:lvl w:ilvl="0" w:tplc="040B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1610C0"/>
    <w:multiLevelType w:val="hybridMultilevel"/>
    <w:tmpl w:val="83025BEC"/>
    <w:lvl w:ilvl="0" w:tplc="04440ACE">
      <w:start w:val="1"/>
      <w:numFmt w:val="bullet"/>
      <w:lvlText w:val="•"/>
      <w:lvlJc w:val="left"/>
      <w:pPr>
        <w:tabs>
          <w:tab w:val="num" w:pos="720"/>
        </w:tabs>
        <w:ind w:left="720" w:hanging="360"/>
      </w:pPr>
      <w:rPr>
        <w:rFonts w:ascii="Arial" w:hAnsi="Arial" w:hint="default"/>
      </w:rPr>
    </w:lvl>
    <w:lvl w:ilvl="1" w:tplc="FBA0CCBA" w:tentative="1">
      <w:start w:val="1"/>
      <w:numFmt w:val="bullet"/>
      <w:lvlText w:val="•"/>
      <w:lvlJc w:val="left"/>
      <w:pPr>
        <w:tabs>
          <w:tab w:val="num" w:pos="1440"/>
        </w:tabs>
        <w:ind w:left="1440" w:hanging="360"/>
      </w:pPr>
      <w:rPr>
        <w:rFonts w:ascii="Arial" w:hAnsi="Arial" w:hint="default"/>
      </w:rPr>
    </w:lvl>
    <w:lvl w:ilvl="2" w:tplc="948646C0" w:tentative="1">
      <w:start w:val="1"/>
      <w:numFmt w:val="bullet"/>
      <w:lvlText w:val="•"/>
      <w:lvlJc w:val="left"/>
      <w:pPr>
        <w:tabs>
          <w:tab w:val="num" w:pos="2160"/>
        </w:tabs>
        <w:ind w:left="2160" w:hanging="360"/>
      </w:pPr>
      <w:rPr>
        <w:rFonts w:ascii="Arial" w:hAnsi="Arial" w:hint="default"/>
      </w:rPr>
    </w:lvl>
    <w:lvl w:ilvl="3" w:tplc="96BA02BE" w:tentative="1">
      <w:start w:val="1"/>
      <w:numFmt w:val="bullet"/>
      <w:lvlText w:val="•"/>
      <w:lvlJc w:val="left"/>
      <w:pPr>
        <w:tabs>
          <w:tab w:val="num" w:pos="2880"/>
        </w:tabs>
        <w:ind w:left="2880" w:hanging="360"/>
      </w:pPr>
      <w:rPr>
        <w:rFonts w:ascii="Arial" w:hAnsi="Arial" w:hint="default"/>
      </w:rPr>
    </w:lvl>
    <w:lvl w:ilvl="4" w:tplc="B59EF468" w:tentative="1">
      <w:start w:val="1"/>
      <w:numFmt w:val="bullet"/>
      <w:lvlText w:val="•"/>
      <w:lvlJc w:val="left"/>
      <w:pPr>
        <w:tabs>
          <w:tab w:val="num" w:pos="3600"/>
        </w:tabs>
        <w:ind w:left="3600" w:hanging="360"/>
      </w:pPr>
      <w:rPr>
        <w:rFonts w:ascii="Arial" w:hAnsi="Arial" w:hint="default"/>
      </w:rPr>
    </w:lvl>
    <w:lvl w:ilvl="5" w:tplc="D7126218" w:tentative="1">
      <w:start w:val="1"/>
      <w:numFmt w:val="bullet"/>
      <w:lvlText w:val="•"/>
      <w:lvlJc w:val="left"/>
      <w:pPr>
        <w:tabs>
          <w:tab w:val="num" w:pos="4320"/>
        </w:tabs>
        <w:ind w:left="4320" w:hanging="360"/>
      </w:pPr>
      <w:rPr>
        <w:rFonts w:ascii="Arial" w:hAnsi="Arial" w:hint="default"/>
      </w:rPr>
    </w:lvl>
    <w:lvl w:ilvl="6" w:tplc="AF282756" w:tentative="1">
      <w:start w:val="1"/>
      <w:numFmt w:val="bullet"/>
      <w:lvlText w:val="•"/>
      <w:lvlJc w:val="left"/>
      <w:pPr>
        <w:tabs>
          <w:tab w:val="num" w:pos="5040"/>
        </w:tabs>
        <w:ind w:left="5040" w:hanging="360"/>
      </w:pPr>
      <w:rPr>
        <w:rFonts w:ascii="Arial" w:hAnsi="Arial" w:hint="default"/>
      </w:rPr>
    </w:lvl>
    <w:lvl w:ilvl="7" w:tplc="5D3428CE" w:tentative="1">
      <w:start w:val="1"/>
      <w:numFmt w:val="bullet"/>
      <w:lvlText w:val="•"/>
      <w:lvlJc w:val="left"/>
      <w:pPr>
        <w:tabs>
          <w:tab w:val="num" w:pos="5760"/>
        </w:tabs>
        <w:ind w:left="5760" w:hanging="360"/>
      </w:pPr>
      <w:rPr>
        <w:rFonts w:ascii="Arial" w:hAnsi="Arial" w:hint="default"/>
      </w:rPr>
    </w:lvl>
    <w:lvl w:ilvl="8" w:tplc="F24E3A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886317"/>
    <w:multiLevelType w:val="hybridMultilevel"/>
    <w:tmpl w:val="8142502A"/>
    <w:lvl w:ilvl="0" w:tplc="B308DFAE">
      <w:start w:val="1"/>
      <w:numFmt w:val="bullet"/>
      <w:lvlText w:val="•"/>
      <w:lvlJc w:val="left"/>
      <w:pPr>
        <w:tabs>
          <w:tab w:val="num" w:pos="720"/>
        </w:tabs>
        <w:ind w:left="720" w:hanging="360"/>
      </w:pPr>
      <w:rPr>
        <w:rFonts w:ascii="Arial" w:hAnsi="Arial" w:hint="default"/>
      </w:rPr>
    </w:lvl>
    <w:lvl w:ilvl="1" w:tplc="B0E0F892">
      <w:numFmt w:val="bullet"/>
      <w:lvlText w:val="–"/>
      <w:lvlJc w:val="left"/>
      <w:pPr>
        <w:tabs>
          <w:tab w:val="num" w:pos="1440"/>
        </w:tabs>
        <w:ind w:left="1440" w:hanging="360"/>
      </w:pPr>
      <w:rPr>
        <w:rFonts w:ascii="Arial" w:hAnsi="Arial" w:hint="default"/>
      </w:rPr>
    </w:lvl>
    <w:lvl w:ilvl="2" w:tplc="865E530E" w:tentative="1">
      <w:start w:val="1"/>
      <w:numFmt w:val="bullet"/>
      <w:lvlText w:val="•"/>
      <w:lvlJc w:val="left"/>
      <w:pPr>
        <w:tabs>
          <w:tab w:val="num" w:pos="2160"/>
        </w:tabs>
        <w:ind w:left="2160" w:hanging="360"/>
      </w:pPr>
      <w:rPr>
        <w:rFonts w:ascii="Arial" w:hAnsi="Arial" w:hint="default"/>
      </w:rPr>
    </w:lvl>
    <w:lvl w:ilvl="3" w:tplc="C3204B48" w:tentative="1">
      <w:start w:val="1"/>
      <w:numFmt w:val="bullet"/>
      <w:lvlText w:val="•"/>
      <w:lvlJc w:val="left"/>
      <w:pPr>
        <w:tabs>
          <w:tab w:val="num" w:pos="2880"/>
        </w:tabs>
        <w:ind w:left="2880" w:hanging="360"/>
      </w:pPr>
      <w:rPr>
        <w:rFonts w:ascii="Arial" w:hAnsi="Arial" w:hint="default"/>
      </w:rPr>
    </w:lvl>
    <w:lvl w:ilvl="4" w:tplc="907EC900" w:tentative="1">
      <w:start w:val="1"/>
      <w:numFmt w:val="bullet"/>
      <w:lvlText w:val="•"/>
      <w:lvlJc w:val="left"/>
      <w:pPr>
        <w:tabs>
          <w:tab w:val="num" w:pos="3600"/>
        </w:tabs>
        <w:ind w:left="3600" w:hanging="360"/>
      </w:pPr>
      <w:rPr>
        <w:rFonts w:ascii="Arial" w:hAnsi="Arial" w:hint="default"/>
      </w:rPr>
    </w:lvl>
    <w:lvl w:ilvl="5" w:tplc="806C307E" w:tentative="1">
      <w:start w:val="1"/>
      <w:numFmt w:val="bullet"/>
      <w:lvlText w:val="•"/>
      <w:lvlJc w:val="left"/>
      <w:pPr>
        <w:tabs>
          <w:tab w:val="num" w:pos="4320"/>
        </w:tabs>
        <w:ind w:left="4320" w:hanging="360"/>
      </w:pPr>
      <w:rPr>
        <w:rFonts w:ascii="Arial" w:hAnsi="Arial" w:hint="default"/>
      </w:rPr>
    </w:lvl>
    <w:lvl w:ilvl="6" w:tplc="9E2C96C2" w:tentative="1">
      <w:start w:val="1"/>
      <w:numFmt w:val="bullet"/>
      <w:lvlText w:val="•"/>
      <w:lvlJc w:val="left"/>
      <w:pPr>
        <w:tabs>
          <w:tab w:val="num" w:pos="5040"/>
        </w:tabs>
        <w:ind w:left="5040" w:hanging="360"/>
      </w:pPr>
      <w:rPr>
        <w:rFonts w:ascii="Arial" w:hAnsi="Arial" w:hint="default"/>
      </w:rPr>
    </w:lvl>
    <w:lvl w:ilvl="7" w:tplc="28943F4A" w:tentative="1">
      <w:start w:val="1"/>
      <w:numFmt w:val="bullet"/>
      <w:lvlText w:val="•"/>
      <w:lvlJc w:val="left"/>
      <w:pPr>
        <w:tabs>
          <w:tab w:val="num" w:pos="5760"/>
        </w:tabs>
        <w:ind w:left="5760" w:hanging="360"/>
      </w:pPr>
      <w:rPr>
        <w:rFonts w:ascii="Arial" w:hAnsi="Arial" w:hint="default"/>
      </w:rPr>
    </w:lvl>
    <w:lvl w:ilvl="8" w:tplc="5480047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16"/>
  </w:num>
  <w:num w:numId="4">
    <w:abstractNumId w:val="20"/>
  </w:num>
  <w:num w:numId="5">
    <w:abstractNumId w:val="4"/>
  </w:num>
  <w:num w:numId="6">
    <w:abstractNumId w:val="9"/>
  </w:num>
  <w:num w:numId="7">
    <w:abstractNumId w:val="16"/>
    <w:lvlOverride w:ilvl="0">
      <w:startOverride w:val="1"/>
    </w:lvlOverride>
  </w:num>
  <w:num w:numId="8">
    <w:abstractNumId w:val="13"/>
  </w:num>
  <w:num w:numId="9">
    <w:abstractNumId w:val="7"/>
  </w:num>
  <w:num w:numId="10">
    <w:abstractNumId w:val="5"/>
  </w:num>
  <w:num w:numId="11">
    <w:abstractNumId w:val="22"/>
  </w:num>
  <w:num w:numId="12">
    <w:abstractNumId w:val="16"/>
    <w:lvlOverride w:ilvl="0">
      <w:startOverride w:val="1"/>
    </w:lvlOverride>
  </w:num>
  <w:num w:numId="13">
    <w:abstractNumId w:val="0"/>
  </w:num>
  <w:num w:numId="14">
    <w:abstractNumId w:val="10"/>
  </w:num>
  <w:num w:numId="15">
    <w:abstractNumId w:val="2"/>
  </w:num>
  <w:num w:numId="16">
    <w:abstractNumId w:val="23"/>
  </w:num>
  <w:num w:numId="17">
    <w:abstractNumId w:val="19"/>
  </w:num>
  <w:num w:numId="18">
    <w:abstractNumId w:val="8"/>
  </w:num>
  <w:num w:numId="19">
    <w:abstractNumId w:val="6"/>
  </w:num>
  <w:num w:numId="20">
    <w:abstractNumId w:val="21"/>
  </w:num>
  <w:num w:numId="21">
    <w:abstractNumId w:val="11"/>
  </w:num>
  <w:num w:numId="22">
    <w:abstractNumId w:val="24"/>
  </w:num>
  <w:num w:numId="23">
    <w:abstractNumId w:val="1"/>
  </w:num>
  <w:num w:numId="24">
    <w:abstractNumId w:val="3"/>
  </w:num>
  <w:num w:numId="25">
    <w:abstractNumId w:val="25"/>
  </w:num>
  <w:num w:numId="26">
    <w:abstractNumId w:val="18"/>
  </w:num>
  <w:num w:numId="27">
    <w:abstractNumId w:val="15"/>
  </w:num>
  <w:num w:numId="28">
    <w:abstractNumId w:val="17"/>
    <w:lvlOverride w:ilvl="0">
      <w:startOverride w:val="1"/>
    </w:lvlOverride>
  </w:num>
  <w:num w:numId="29">
    <w:abstractNumId w:val="26"/>
  </w:num>
  <w:num w:numId="30">
    <w:abstractNumId w:val="12"/>
  </w:num>
  <w:num w:numId="31">
    <w:abstractNumId w:val="17"/>
  </w:num>
  <w:num w:numId="32">
    <w:abstractNumId w:val="17"/>
    <w:lvlOverride w:ilvl="0">
      <w:startOverride w:val="1"/>
    </w:lvlOverride>
  </w:num>
  <w:num w:numId="33">
    <w:abstractNumId w:val="17"/>
  </w:num>
  <w:num w:numId="34">
    <w:abstractNumId w:val="17"/>
    <w:lvlOverride w:ilvl="0">
      <w:startOverride w:val="1"/>
    </w:lvlOverride>
  </w:num>
  <w:num w:numId="35">
    <w:abstractNumId w:val="1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B84"/>
    <w:rsid w:val="00006D3C"/>
    <w:rsid w:val="00013EC8"/>
    <w:rsid w:val="00014930"/>
    <w:rsid w:val="00015375"/>
    <w:rsid w:val="000306AA"/>
    <w:rsid w:val="00031DDA"/>
    <w:rsid w:val="0003658C"/>
    <w:rsid w:val="0003689C"/>
    <w:rsid w:val="00040687"/>
    <w:rsid w:val="000566E0"/>
    <w:rsid w:val="00070045"/>
    <w:rsid w:val="0007121B"/>
    <w:rsid w:val="000733A5"/>
    <w:rsid w:val="0007361D"/>
    <w:rsid w:val="0008612A"/>
    <w:rsid w:val="00090F23"/>
    <w:rsid w:val="0009781E"/>
    <w:rsid w:val="000A4D95"/>
    <w:rsid w:val="000A6AF7"/>
    <w:rsid w:val="000A6C14"/>
    <w:rsid w:val="000A6FE7"/>
    <w:rsid w:val="000B0056"/>
    <w:rsid w:val="000B3851"/>
    <w:rsid w:val="000B765D"/>
    <w:rsid w:val="000D242F"/>
    <w:rsid w:val="000D2C5F"/>
    <w:rsid w:val="000F1716"/>
    <w:rsid w:val="000F4183"/>
    <w:rsid w:val="000F506F"/>
    <w:rsid w:val="00105F01"/>
    <w:rsid w:val="00111F4C"/>
    <w:rsid w:val="00115042"/>
    <w:rsid w:val="00120DC9"/>
    <w:rsid w:val="00122FFC"/>
    <w:rsid w:val="00130041"/>
    <w:rsid w:val="001323D5"/>
    <w:rsid w:val="001439E2"/>
    <w:rsid w:val="00144167"/>
    <w:rsid w:val="001515EF"/>
    <w:rsid w:val="001546B8"/>
    <w:rsid w:val="00162DFC"/>
    <w:rsid w:val="00164C74"/>
    <w:rsid w:val="0016752F"/>
    <w:rsid w:val="00173970"/>
    <w:rsid w:val="00173997"/>
    <w:rsid w:val="001745F8"/>
    <w:rsid w:val="00175A2F"/>
    <w:rsid w:val="00182F3F"/>
    <w:rsid w:val="001838CD"/>
    <w:rsid w:val="001838CF"/>
    <w:rsid w:val="00185CD2"/>
    <w:rsid w:val="00195D39"/>
    <w:rsid w:val="001A3BA4"/>
    <w:rsid w:val="001A5013"/>
    <w:rsid w:val="001B7147"/>
    <w:rsid w:val="001B7ECD"/>
    <w:rsid w:val="001E26C2"/>
    <w:rsid w:val="001E30F6"/>
    <w:rsid w:val="001F1813"/>
    <w:rsid w:val="001F3E3C"/>
    <w:rsid w:val="0020227E"/>
    <w:rsid w:val="00203104"/>
    <w:rsid w:val="00206422"/>
    <w:rsid w:val="00235F5C"/>
    <w:rsid w:val="00237498"/>
    <w:rsid w:val="002378EF"/>
    <w:rsid w:val="002444B1"/>
    <w:rsid w:val="00244F02"/>
    <w:rsid w:val="00247CDF"/>
    <w:rsid w:val="00253FFC"/>
    <w:rsid w:val="002541E5"/>
    <w:rsid w:val="00255DEB"/>
    <w:rsid w:val="00275F08"/>
    <w:rsid w:val="002A42A4"/>
    <w:rsid w:val="002B1E33"/>
    <w:rsid w:val="002B32D9"/>
    <w:rsid w:val="002B358D"/>
    <w:rsid w:val="002B4922"/>
    <w:rsid w:val="002C1BC0"/>
    <w:rsid w:val="002C2D19"/>
    <w:rsid w:val="002C5B8E"/>
    <w:rsid w:val="002D02B6"/>
    <w:rsid w:val="002D10FA"/>
    <w:rsid w:val="002D14DE"/>
    <w:rsid w:val="002D4C55"/>
    <w:rsid w:val="002D5887"/>
    <w:rsid w:val="002F4177"/>
    <w:rsid w:val="00302F8C"/>
    <w:rsid w:val="00305A9B"/>
    <w:rsid w:val="003127E4"/>
    <w:rsid w:val="00315DD2"/>
    <w:rsid w:val="00316102"/>
    <w:rsid w:val="00324124"/>
    <w:rsid w:val="00326A0E"/>
    <w:rsid w:val="0033140B"/>
    <w:rsid w:val="003360C2"/>
    <w:rsid w:val="00342243"/>
    <w:rsid w:val="00352070"/>
    <w:rsid w:val="003718C4"/>
    <w:rsid w:val="003804ED"/>
    <w:rsid w:val="00382B66"/>
    <w:rsid w:val="00387971"/>
    <w:rsid w:val="003A736A"/>
    <w:rsid w:val="003A7949"/>
    <w:rsid w:val="003B2D7B"/>
    <w:rsid w:val="003B659E"/>
    <w:rsid w:val="003C0946"/>
    <w:rsid w:val="003E0246"/>
    <w:rsid w:val="003E0263"/>
    <w:rsid w:val="003F7717"/>
    <w:rsid w:val="00400D32"/>
    <w:rsid w:val="00404FA3"/>
    <w:rsid w:val="00413D4B"/>
    <w:rsid w:val="00413E29"/>
    <w:rsid w:val="0041460E"/>
    <w:rsid w:val="00416F9B"/>
    <w:rsid w:val="00417770"/>
    <w:rsid w:val="004321D6"/>
    <w:rsid w:val="0043750A"/>
    <w:rsid w:val="00446270"/>
    <w:rsid w:val="004463E0"/>
    <w:rsid w:val="004541F2"/>
    <w:rsid w:val="00460D60"/>
    <w:rsid w:val="00464393"/>
    <w:rsid w:val="00466F5B"/>
    <w:rsid w:val="004670C1"/>
    <w:rsid w:val="00471838"/>
    <w:rsid w:val="00471DB0"/>
    <w:rsid w:val="004754A6"/>
    <w:rsid w:val="004A2E36"/>
    <w:rsid w:val="004A3B28"/>
    <w:rsid w:val="004D744A"/>
    <w:rsid w:val="004E0AEF"/>
    <w:rsid w:val="004E5E66"/>
    <w:rsid w:val="004F7B4C"/>
    <w:rsid w:val="005017F5"/>
    <w:rsid w:val="00503B4D"/>
    <w:rsid w:val="00503C94"/>
    <w:rsid w:val="00504EE9"/>
    <w:rsid w:val="00505829"/>
    <w:rsid w:val="005066E5"/>
    <w:rsid w:val="00512078"/>
    <w:rsid w:val="005263D1"/>
    <w:rsid w:val="00527C1F"/>
    <w:rsid w:val="005361CC"/>
    <w:rsid w:val="00543ADC"/>
    <w:rsid w:val="0054442C"/>
    <w:rsid w:val="00550285"/>
    <w:rsid w:val="0055679E"/>
    <w:rsid w:val="0055728F"/>
    <w:rsid w:val="00564E55"/>
    <w:rsid w:val="005736C1"/>
    <w:rsid w:val="00574324"/>
    <w:rsid w:val="00576356"/>
    <w:rsid w:val="005824C3"/>
    <w:rsid w:val="005836F8"/>
    <w:rsid w:val="00584071"/>
    <w:rsid w:val="00585A6F"/>
    <w:rsid w:val="005918FA"/>
    <w:rsid w:val="005A46C0"/>
    <w:rsid w:val="005B7E55"/>
    <w:rsid w:val="005C23A4"/>
    <w:rsid w:val="005C6DE3"/>
    <w:rsid w:val="005D1CDF"/>
    <w:rsid w:val="005D4789"/>
    <w:rsid w:val="005E61A8"/>
    <w:rsid w:val="005E753D"/>
    <w:rsid w:val="005F6419"/>
    <w:rsid w:val="005F73C6"/>
    <w:rsid w:val="006067AF"/>
    <w:rsid w:val="00616DAF"/>
    <w:rsid w:val="00617400"/>
    <w:rsid w:val="00627AC4"/>
    <w:rsid w:val="00637D49"/>
    <w:rsid w:val="00652AC1"/>
    <w:rsid w:val="00664950"/>
    <w:rsid w:val="006775B6"/>
    <w:rsid w:val="00683220"/>
    <w:rsid w:val="00687FA0"/>
    <w:rsid w:val="0069428B"/>
    <w:rsid w:val="006972DE"/>
    <w:rsid w:val="006977A6"/>
    <w:rsid w:val="006A21E2"/>
    <w:rsid w:val="006A337F"/>
    <w:rsid w:val="006A7245"/>
    <w:rsid w:val="006B0901"/>
    <w:rsid w:val="006B344B"/>
    <w:rsid w:val="006B4912"/>
    <w:rsid w:val="006B7010"/>
    <w:rsid w:val="006C6632"/>
    <w:rsid w:val="006D374C"/>
    <w:rsid w:val="006D6296"/>
    <w:rsid w:val="006E7A59"/>
    <w:rsid w:val="006F0CFC"/>
    <w:rsid w:val="006F415D"/>
    <w:rsid w:val="006F5492"/>
    <w:rsid w:val="006F62AE"/>
    <w:rsid w:val="00703A5B"/>
    <w:rsid w:val="00710835"/>
    <w:rsid w:val="00711C32"/>
    <w:rsid w:val="00711FBF"/>
    <w:rsid w:val="007141C8"/>
    <w:rsid w:val="007145FF"/>
    <w:rsid w:val="0071562E"/>
    <w:rsid w:val="0071633D"/>
    <w:rsid w:val="00720207"/>
    <w:rsid w:val="00720CD0"/>
    <w:rsid w:val="00723574"/>
    <w:rsid w:val="00724D26"/>
    <w:rsid w:val="00730AF6"/>
    <w:rsid w:val="007325FE"/>
    <w:rsid w:val="0073347B"/>
    <w:rsid w:val="00733B44"/>
    <w:rsid w:val="00740DE8"/>
    <w:rsid w:val="00740FE5"/>
    <w:rsid w:val="00743D09"/>
    <w:rsid w:val="00750902"/>
    <w:rsid w:val="00751515"/>
    <w:rsid w:val="007669A7"/>
    <w:rsid w:val="0076769C"/>
    <w:rsid w:val="00773EF6"/>
    <w:rsid w:val="00785232"/>
    <w:rsid w:val="007877FB"/>
    <w:rsid w:val="007A5945"/>
    <w:rsid w:val="007A6E80"/>
    <w:rsid w:val="007A751F"/>
    <w:rsid w:val="007B1A06"/>
    <w:rsid w:val="007B29C6"/>
    <w:rsid w:val="007C3ED0"/>
    <w:rsid w:val="007D2A8B"/>
    <w:rsid w:val="007E3D19"/>
    <w:rsid w:val="007F6E7A"/>
    <w:rsid w:val="007F7423"/>
    <w:rsid w:val="00801AF4"/>
    <w:rsid w:val="00806A76"/>
    <w:rsid w:val="00811C9D"/>
    <w:rsid w:val="008139E8"/>
    <w:rsid w:val="00816C80"/>
    <w:rsid w:val="008178EA"/>
    <w:rsid w:val="00837908"/>
    <w:rsid w:val="00841BCD"/>
    <w:rsid w:val="008448CC"/>
    <w:rsid w:val="00851A8E"/>
    <w:rsid w:val="00860184"/>
    <w:rsid w:val="00864888"/>
    <w:rsid w:val="00866A89"/>
    <w:rsid w:val="00867453"/>
    <w:rsid w:val="008826C1"/>
    <w:rsid w:val="00887467"/>
    <w:rsid w:val="008A0151"/>
    <w:rsid w:val="008B5BFD"/>
    <w:rsid w:val="008B63EC"/>
    <w:rsid w:val="008C5BDA"/>
    <w:rsid w:val="008C754A"/>
    <w:rsid w:val="008E4A46"/>
    <w:rsid w:val="008F0DB4"/>
    <w:rsid w:val="008F1B16"/>
    <w:rsid w:val="0090091A"/>
    <w:rsid w:val="009042BD"/>
    <w:rsid w:val="009048F8"/>
    <w:rsid w:val="00926BA4"/>
    <w:rsid w:val="00935FFF"/>
    <w:rsid w:val="00943933"/>
    <w:rsid w:val="00947D6E"/>
    <w:rsid w:val="00950577"/>
    <w:rsid w:val="00974FB3"/>
    <w:rsid w:val="00977E1D"/>
    <w:rsid w:val="00990419"/>
    <w:rsid w:val="00995625"/>
    <w:rsid w:val="009A4CF9"/>
    <w:rsid w:val="009B5137"/>
    <w:rsid w:val="009B7B51"/>
    <w:rsid w:val="009C3333"/>
    <w:rsid w:val="009C7379"/>
    <w:rsid w:val="009E15EA"/>
    <w:rsid w:val="009E65C0"/>
    <w:rsid w:val="00A10540"/>
    <w:rsid w:val="00A20149"/>
    <w:rsid w:val="00A22B78"/>
    <w:rsid w:val="00A25AE5"/>
    <w:rsid w:val="00A33070"/>
    <w:rsid w:val="00A36FA8"/>
    <w:rsid w:val="00A37002"/>
    <w:rsid w:val="00A4376C"/>
    <w:rsid w:val="00A51960"/>
    <w:rsid w:val="00A51E2F"/>
    <w:rsid w:val="00A51F0E"/>
    <w:rsid w:val="00A62E40"/>
    <w:rsid w:val="00A75C6A"/>
    <w:rsid w:val="00A9211D"/>
    <w:rsid w:val="00A94671"/>
    <w:rsid w:val="00A953D5"/>
    <w:rsid w:val="00A95DE0"/>
    <w:rsid w:val="00AA1B0E"/>
    <w:rsid w:val="00AC5CA7"/>
    <w:rsid w:val="00AC7279"/>
    <w:rsid w:val="00AE0C5D"/>
    <w:rsid w:val="00AE0ED3"/>
    <w:rsid w:val="00AE0F60"/>
    <w:rsid w:val="00AE1BBB"/>
    <w:rsid w:val="00AE56B1"/>
    <w:rsid w:val="00AE7B45"/>
    <w:rsid w:val="00AF37B6"/>
    <w:rsid w:val="00B017FF"/>
    <w:rsid w:val="00B02B34"/>
    <w:rsid w:val="00B06216"/>
    <w:rsid w:val="00B073FE"/>
    <w:rsid w:val="00B13863"/>
    <w:rsid w:val="00B16D71"/>
    <w:rsid w:val="00B21630"/>
    <w:rsid w:val="00B31EBA"/>
    <w:rsid w:val="00B3260E"/>
    <w:rsid w:val="00B33626"/>
    <w:rsid w:val="00B365AF"/>
    <w:rsid w:val="00B4335F"/>
    <w:rsid w:val="00B47493"/>
    <w:rsid w:val="00B71AB8"/>
    <w:rsid w:val="00B73862"/>
    <w:rsid w:val="00B869D9"/>
    <w:rsid w:val="00B91230"/>
    <w:rsid w:val="00BA6E48"/>
    <w:rsid w:val="00BB462D"/>
    <w:rsid w:val="00BB5E57"/>
    <w:rsid w:val="00BB7C01"/>
    <w:rsid w:val="00BE22D0"/>
    <w:rsid w:val="00BE40FB"/>
    <w:rsid w:val="00BE666D"/>
    <w:rsid w:val="00BF2218"/>
    <w:rsid w:val="00BF3C74"/>
    <w:rsid w:val="00C018E1"/>
    <w:rsid w:val="00C0485C"/>
    <w:rsid w:val="00C10470"/>
    <w:rsid w:val="00C244A0"/>
    <w:rsid w:val="00C27920"/>
    <w:rsid w:val="00C30B52"/>
    <w:rsid w:val="00C35922"/>
    <w:rsid w:val="00C42E4F"/>
    <w:rsid w:val="00C445CD"/>
    <w:rsid w:val="00C71093"/>
    <w:rsid w:val="00C7357D"/>
    <w:rsid w:val="00C73C66"/>
    <w:rsid w:val="00C73D1A"/>
    <w:rsid w:val="00C7686A"/>
    <w:rsid w:val="00C77CD6"/>
    <w:rsid w:val="00C85B5D"/>
    <w:rsid w:val="00C872B8"/>
    <w:rsid w:val="00C90587"/>
    <w:rsid w:val="00C95173"/>
    <w:rsid w:val="00C95314"/>
    <w:rsid w:val="00CA6643"/>
    <w:rsid w:val="00CD3C09"/>
    <w:rsid w:val="00CD7492"/>
    <w:rsid w:val="00CD7B70"/>
    <w:rsid w:val="00CE0137"/>
    <w:rsid w:val="00CE3A6B"/>
    <w:rsid w:val="00CE57FF"/>
    <w:rsid w:val="00CF03F8"/>
    <w:rsid w:val="00CF334E"/>
    <w:rsid w:val="00D00211"/>
    <w:rsid w:val="00D02584"/>
    <w:rsid w:val="00D06309"/>
    <w:rsid w:val="00D077E5"/>
    <w:rsid w:val="00D07A89"/>
    <w:rsid w:val="00D1114A"/>
    <w:rsid w:val="00D2108B"/>
    <w:rsid w:val="00D23E6E"/>
    <w:rsid w:val="00D351EA"/>
    <w:rsid w:val="00D43403"/>
    <w:rsid w:val="00D513D5"/>
    <w:rsid w:val="00D54EFE"/>
    <w:rsid w:val="00D558AF"/>
    <w:rsid w:val="00D62E71"/>
    <w:rsid w:val="00D740CA"/>
    <w:rsid w:val="00D82202"/>
    <w:rsid w:val="00D8402D"/>
    <w:rsid w:val="00D85728"/>
    <w:rsid w:val="00D916E4"/>
    <w:rsid w:val="00D91857"/>
    <w:rsid w:val="00DC7DAD"/>
    <w:rsid w:val="00DD3E18"/>
    <w:rsid w:val="00DD55C7"/>
    <w:rsid w:val="00DD6FE2"/>
    <w:rsid w:val="00DF2997"/>
    <w:rsid w:val="00E001DB"/>
    <w:rsid w:val="00E02456"/>
    <w:rsid w:val="00E06DED"/>
    <w:rsid w:val="00E0782B"/>
    <w:rsid w:val="00E13BA2"/>
    <w:rsid w:val="00E1544A"/>
    <w:rsid w:val="00E27A54"/>
    <w:rsid w:val="00E32E79"/>
    <w:rsid w:val="00E36A42"/>
    <w:rsid w:val="00E4031F"/>
    <w:rsid w:val="00E474C8"/>
    <w:rsid w:val="00E61A79"/>
    <w:rsid w:val="00E70BC1"/>
    <w:rsid w:val="00E70EF5"/>
    <w:rsid w:val="00E76531"/>
    <w:rsid w:val="00E81813"/>
    <w:rsid w:val="00E85425"/>
    <w:rsid w:val="00E95EE1"/>
    <w:rsid w:val="00EB07C4"/>
    <w:rsid w:val="00EB47DB"/>
    <w:rsid w:val="00EB4D5A"/>
    <w:rsid w:val="00EC0E1C"/>
    <w:rsid w:val="00EC7BC3"/>
    <w:rsid w:val="00ED7600"/>
    <w:rsid w:val="00EE5757"/>
    <w:rsid w:val="00EE58A9"/>
    <w:rsid w:val="00F079E6"/>
    <w:rsid w:val="00F1362C"/>
    <w:rsid w:val="00F209CD"/>
    <w:rsid w:val="00F20C04"/>
    <w:rsid w:val="00F43D53"/>
    <w:rsid w:val="00F568BC"/>
    <w:rsid w:val="00F6251E"/>
    <w:rsid w:val="00F65941"/>
    <w:rsid w:val="00F73481"/>
    <w:rsid w:val="00F824F5"/>
    <w:rsid w:val="00F9430F"/>
    <w:rsid w:val="00FA5962"/>
    <w:rsid w:val="00FB6CDC"/>
    <w:rsid w:val="00FC29B9"/>
    <w:rsid w:val="00FC6FD3"/>
    <w:rsid w:val="00FD13A5"/>
    <w:rsid w:val="00FE0CB4"/>
    <w:rsid w:val="00FF0301"/>
    <w:rsid w:val="00FF5B80"/>
    <w:rsid w:val="02208FE7"/>
    <w:rsid w:val="09627E7B"/>
    <w:rsid w:val="0A5DE1FB"/>
    <w:rsid w:val="14D1669F"/>
    <w:rsid w:val="16866856"/>
    <w:rsid w:val="2B6F2D39"/>
    <w:rsid w:val="38AB22AB"/>
    <w:rsid w:val="455E7012"/>
    <w:rsid w:val="4A47FB71"/>
    <w:rsid w:val="533C1271"/>
    <w:rsid w:val="5383423A"/>
    <w:rsid w:val="6976D65F"/>
    <w:rsid w:val="75EA1A4C"/>
    <w:rsid w:val="7FD4C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EF57B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B5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1F3E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semiHidden/>
    <w:unhideWhenUsed/>
    <w:qFormat/>
    <w:rsid w:val="00206422"/>
    <w:rPr>
      <w:sz w:val="16"/>
      <w:szCs w:val="16"/>
    </w:rPr>
  </w:style>
  <w:style w:type="paragraph" w:styleId="CommentText">
    <w:name w:val="annotation text"/>
    <w:basedOn w:val="Normal"/>
    <w:link w:val="CommentTextChar"/>
    <w:uiPriority w:val="99"/>
    <w:semiHidden/>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semiHidden/>
    <w:qFormat/>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1F3E3C"/>
    <w:rPr>
      <w:rFonts w:asciiTheme="majorHAnsi" w:eastAsiaTheme="majorEastAsia" w:hAnsiTheme="majorHAnsi" w:cstheme="majorBidi"/>
      <w:color w:val="1F3763" w:themeColor="accent1" w:themeShade="7F"/>
      <w:sz w:val="24"/>
      <w:szCs w:val="24"/>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1694572539">
          <w:marLeft w:val="360"/>
          <w:marRight w:val="0"/>
          <w:marTop w:val="2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33770059">
          <w:marLeft w:val="360"/>
          <w:marRight w:val="0"/>
          <w:marTop w:val="2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sChild>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367724271">
      <w:bodyDiv w:val="1"/>
      <w:marLeft w:val="0"/>
      <w:marRight w:val="0"/>
      <w:marTop w:val="0"/>
      <w:marBottom w:val="0"/>
      <w:divBdr>
        <w:top w:val="none" w:sz="0" w:space="0" w:color="auto"/>
        <w:left w:val="none" w:sz="0" w:space="0" w:color="auto"/>
        <w:bottom w:val="none" w:sz="0" w:space="0" w:color="auto"/>
        <w:right w:val="none" w:sz="0" w:space="0" w:color="auto"/>
      </w:divBdr>
      <w:divsChild>
        <w:div w:id="1510832671">
          <w:marLeft w:val="0"/>
          <w:marRight w:val="0"/>
          <w:marTop w:val="0"/>
          <w:marBottom w:val="0"/>
          <w:divBdr>
            <w:top w:val="none" w:sz="0" w:space="0" w:color="auto"/>
            <w:left w:val="none" w:sz="0" w:space="0" w:color="auto"/>
            <w:bottom w:val="none" w:sz="0" w:space="0" w:color="auto"/>
            <w:right w:val="none" w:sz="0" w:space="0" w:color="auto"/>
          </w:divBdr>
        </w:div>
      </w:divsChild>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sChild>
    </w:div>
    <w:div w:id="619456171">
      <w:bodyDiv w:val="1"/>
      <w:marLeft w:val="0"/>
      <w:marRight w:val="0"/>
      <w:marTop w:val="0"/>
      <w:marBottom w:val="0"/>
      <w:divBdr>
        <w:top w:val="none" w:sz="0" w:space="0" w:color="auto"/>
        <w:left w:val="none" w:sz="0" w:space="0" w:color="auto"/>
        <w:bottom w:val="none" w:sz="0" w:space="0" w:color="auto"/>
        <w:right w:val="none" w:sz="0" w:space="0" w:color="auto"/>
      </w:divBdr>
      <w:divsChild>
        <w:div w:id="547647493">
          <w:marLeft w:val="547"/>
          <w:marRight w:val="0"/>
          <w:marTop w:val="134"/>
          <w:marBottom w:val="0"/>
          <w:divBdr>
            <w:top w:val="none" w:sz="0" w:space="0" w:color="auto"/>
            <w:left w:val="none" w:sz="0" w:space="0" w:color="auto"/>
            <w:bottom w:val="none" w:sz="0" w:space="0" w:color="auto"/>
            <w:right w:val="none" w:sz="0" w:space="0" w:color="auto"/>
          </w:divBdr>
        </w:div>
        <w:div w:id="545680726">
          <w:marLeft w:val="547"/>
          <w:marRight w:val="0"/>
          <w:marTop w:val="134"/>
          <w:marBottom w:val="0"/>
          <w:divBdr>
            <w:top w:val="none" w:sz="0" w:space="0" w:color="auto"/>
            <w:left w:val="none" w:sz="0" w:space="0" w:color="auto"/>
            <w:bottom w:val="none" w:sz="0" w:space="0" w:color="auto"/>
            <w:right w:val="none" w:sz="0" w:space="0" w:color="auto"/>
          </w:divBdr>
        </w:div>
        <w:div w:id="760179805">
          <w:marLeft w:val="1166"/>
          <w:marRight w:val="0"/>
          <w:marTop w:val="118"/>
          <w:marBottom w:val="0"/>
          <w:divBdr>
            <w:top w:val="none" w:sz="0" w:space="0" w:color="auto"/>
            <w:left w:val="none" w:sz="0" w:space="0" w:color="auto"/>
            <w:bottom w:val="none" w:sz="0" w:space="0" w:color="auto"/>
            <w:right w:val="none" w:sz="0" w:space="0" w:color="auto"/>
          </w:divBdr>
        </w:div>
        <w:div w:id="1810434117">
          <w:marLeft w:val="1166"/>
          <w:marRight w:val="0"/>
          <w:marTop w:val="118"/>
          <w:marBottom w:val="0"/>
          <w:divBdr>
            <w:top w:val="none" w:sz="0" w:space="0" w:color="auto"/>
            <w:left w:val="none" w:sz="0" w:space="0" w:color="auto"/>
            <w:bottom w:val="none" w:sz="0" w:space="0" w:color="auto"/>
            <w:right w:val="none" w:sz="0" w:space="0" w:color="auto"/>
          </w:divBdr>
        </w:div>
        <w:div w:id="2050107162">
          <w:marLeft w:val="1166"/>
          <w:marRight w:val="0"/>
          <w:marTop w:val="118"/>
          <w:marBottom w:val="0"/>
          <w:divBdr>
            <w:top w:val="none" w:sz="0" w:space="0" w:color="auto"/>
            <w:left w:val="none" w:sz="0" w:space="0" w:color="auto"/>
            <w:bottom w:val="none" w:sz="0" w:space="0" w:color="auto"/>
            <w:right w:val="none" w:sz="0" w:space="0" w:color="auto"/>
          </w:divBdr>
        </w:div>
      </w:divsChild>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1161846580">
          <w:marLeft w:val="360"/>
          <w:marRight w:val="0"/>
          <w:marTop w:val="200"/>
          <w:marBottom w:val="0"/>
          <w:divBdr>
            <w:top w:val="none" w:sz="0" w:space="0" w:color="auto"/>
            <w:left w:val="none" w:sz="0" w:space="0" w:color="auto"/>
            <w:bottom w:val="none" w:sz="0" w:space="0" w:color="auto"/>
            <w:right w:val="none" w:sz="0" w:space="0" w:color="auto"/>
          </w:divBdr>
        </w:div>
        <w:div w:id="914974121">
          <w:marLeft w:val="360"/>
          <w:marRight w:val="0"/>
          <w:marTop w:val="200"/>
          <w:marBottom w:val="0"/>
          <w:divBdr>
            <w:top w:val="none" w:sz="0" w:space="0" w:color="auto"/>
            <w:left w:val="none" w:sz="0" w:space="0" w:color="auto"/>
            <w:bottom w:val="none" w:sz="0" w:space="0" w:color="auto"/>
            <w:right w:val="none" w:sz="0" w:space="0" w:color="auto"/>
          </w:divBdr>
        </w:div>
      </w:divsChild>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1800342727">
          <w:marLeft w:val="360"/>
          <w:marRight w:val="0"/>
          <w:marTop w:val="2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sChild>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2046786123">
          <w:marLeft w:val="360"/>
          <w:marRight w:val="0"/>
          <w:marTop w:val="2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190849470">
          <w:marLeft w:val="1800"/>
          <w:marRight w:val="0"/>
          <w:marTop w:val="1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385378855">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203295446">
          <w:marLeft w:val="360"/>
          <w:marRight w:val="0"/>
          <w:marTop w:val="200"/>
          <w:marBottom w:val="0"/>
          <w:divBdr>
            <w:top w:val="none" w:sz="0" w:space="0" w:color="auto"/>
            <w:left w:val="none" w:sz="0" w:space="0" w:color="auto"/>
            <w:bottom w:val="none" w:sz="0" w:space="0" w:color="auto"/>
            <w:right w:val="none" w:sz="0" w:space="0" w:color="auto"/>
          </w:divBdr>
        </w:div>
      </w:divsChild>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475871567">
      <w:bodyDiv w:val="1"/>
      <w:marLeft w:val="0"/>
      <w:marRight w:val="0"/>
      <w:marTop w:val="0"/>
      <w:marBottom w:val="0"/>
      <w:divBdr>
        <w:top w:val="none" w:sz="0" w:space="0" w:color="auto"/>
        <w:left w:val="none" w:sz="0" w:space="0" w:color="auto"/>
        <w:bottom w:val="none" w:sz="0" w:space="0" w:color="auto"/>
        <w:right w:val="none" w:sz="0" w:space="0" w:color="auto"/>
      </w:divBdr>
      <w:divsChild>
        <w:div w:id="1737046116">
          <w:marLeft w:val="547"/>
          <w:marRight w:val="0"/>
          <w:marTop w:val="134"/>
          <w:marBottom w:val="0"/>
          <w:divBdr>
            <w:top w:val="none" w:sz="0" w:space="0" w:color="auto"/>
            <w:left w:val="none" w:sz="0" w:space="0" w:color="auto"/>
            <w:bottom w:val="none" w:sz="0" w:space="0" w:color="auto"/>
            <w:right w:val="none" w:sz="0" w:space="0" w:color="auto"/>
          </w:divBdr>
        </w:div>
        <w:div w:id="1768311591">
          <w:marLeft w:val="547"/>
          <w:marRight w:val="0"/>
          <w:marTop w:val="134"/>
          <w:marBottom w:val="0"/>
          <w:divBdr>
            <w:top w:val="none" w:sz="0" w:space="0" w:color="auto"/>
            <w:left w:val="none" w:sz="0" w:space="0" w:color="auto"/>
            <w:bottom w:val="none" w:sz="0" w:space="0" w:color="auto"/>
            <w:right w:val="none" w:sz="0" w:space="0" w:color="auto"/>
          </w:divBdr>
        </w:div>
        <w:div w:id="1525514191">
          <w:marLeft w:val="547"/>
          <w:marRight w:val="0"/>
          <w:marTop w:val="134"/>
          <w:marBottom w:val="0"/>
          <w:divBdr>
            <w:top w:val="none" w:sz="0" w:space="0" w:color="auto"/>
            <w:left w:val="none" w:sz="0" w:space="0" w:color="auto"/>
            <w:bottom w:val="none" w:sz="0" w:space="0" w:color="auto"/>
            <w:right w:val="none" w:sz="0" w:space="0" w:color="auto"/>
          </w:divBdr>
        </w:div>
      </w:divsChild>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653480555">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667176328">
          <w:marLeft w:val="360"/>
          <w:marRight w:val="0"/>
          <w:marTop w:val="200"/>
          <w:marBottom w:val="12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 w:id="460077345">
          <w:marLeft w:val="1080"/>
          <w:marRight w:val="0"/>
          <w:marTop w:val="100"/>
          <w:marBottom w:val="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22049343">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5AIRPNAIUNRU-1328258698-4249</_dlc_DocId>
    <_dlc_DocIdUrl xmlns="71c5aaf6-e6ce-465b-b873-5148d2a4c105">
      <Url>https://nokia.sharepoint.com/sites/c5g/5gradio/_layouts/15/DocIdRedir.aspx?ID=5AIRPNAIUNRU-1328258698-4249</Url>
      <Description>5AIRPNAIUNRU-1328258698-4249</Description>
    </_dlc_DocIdUrl>
  </documentManagement>
</p:properties>
</file>

<file path=customXml/itemProps1.xml><?xml version="1.0" encoding="utf-8"?>
<ds:datastoreItem xmlns:ds="http://schemas.openxmlformats.org/officeDocument/2006/customXml" ds:itemID="{94D2D121-3A2D-43C6-852F-FD1A806613E0}">
  <ds:schemaRefs>
    <ds:schemaRef ds:uri="http://schemas.microsoft.com/sharepoint/v3/contenttype/forms"/>
  </ds:schemaRefs>
</ds:datastoreItem>
</file>

<file path=customXml/itemProps2.xml><?xml version="1.0" encoding="utf-8"?>
<ds:datastoreItem xmlns:ds="http://schemas.openxmlformats.org/officeDocument/2006/customXml" ds:itemID="{9CF968A9-EFFC-47CA-8F22-264F478A93B5}">
  <ds:schemaRefs>
    <ds:schemaRef ds:uri="http://schemas.microsoft.com/sharepoint/events"/>
  </ds:schemaRefs>
</ds:datastoreItem>
</file>

<file path=customXml/itemProps3.xml><?xml version="1.0" encoding="utf-8"?>
<ds:datastoreItem xmlns:ds="http://schemas.openxmlformats.org/officeDocument/2006/customXml" ds:itemID="{79F89FFB-FB90-446D-B33C-B1AB460B641D}">
  <ds:schemaRefs>
    <ds:schemaRef ds:uri="http://schemas.openxmlformats.org/officeDocument/2006/bibliography"/>
  </ds:schemaRefs>
</ds:datastoreItem>
</file>

<file path=customXml/itemProps4.xml><?xml version="1.0" encoding="utf-8"?>
<ds:datastoreItem xmlns:ds="http://schemas.openxmlformats.org/officeDocument/2006/customXml" ds:itemID="{B773F304-6879-41BD-B1F0-A879A6737EB0}">
  <ds:schemaRefs>
    <ds:schemaRef ds:uri="Microsoft.SharePoint.Taxonomy.ContentTypeSync"/>
  </ds:schemaRefs>
</ds:datastoreItem>
</file>

<file path=customXml/itemProps5.xml><?xml version="1.0" encoding="utf-8"?>
<ds:datastoreItem xmlns:ds="http://schemas.openxmlformats.org/officeDocument/2006/customXml" ds:itemID="{88A1F15E-4FF3-48EA-A509-DC330B9A3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526355-23E2-4917-9943-08F6FFEAF5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3</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248</cp:revision>
  <dcterms:created xsi:type="dcterms:W3CDTF">2019-06-10T11:05:00Z</dcterms:created>
  <dcterms:modified xsi:type="dcterms:W3CDTF">2021-05-11T17:03:00Z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28bd7e47-90c4-4c6a-a633-c4afbac681af</vt:lpwstr>
  </property>
</Properties>
</file>