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569BB59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sidR="004C7F5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1717A3">
        <w:rPr>
          <w:rFonts w:cs="Arial"/>
          <w:sz w:val="24"/>
          <w:szCs w:val="24"/>
          <w:lang w:val="de-DE"/>
        </w:rPr>
        <w:t>10984</w:t>
      </w:r>
    </w:p>
    <w:p w14:paraId="5A5E9D28" w14:textId="7B8503F4" w:rsidR="00A40206" w:rsidRPr="00DB3907" w:rsidRDefault="004C7F5D" w:rsidP="00A40206">
      <w:pPr>
        <w:pStyle w:val="Header"/>
        <w:tabs>
          <w:tab w:val="left" w:pos="6521"/>
        </w:tabs>
        <w:rPr>
          <w:rFonts w:cs="Arial"/>
          <w:sz w:val="24"/>
          <w:szCs w:val="24"/>
        </w:rPr>
      </w:pPr>
      <w:r>
        <w:rPr>
          <w:rFonts w:cs="Arial"/>
          <w:sz w:val="24"/>
          <w:szCs w:val="24"/>
        </w:rPr>
        <w:t>April</w:t>
      </w:r>
      <w:r w:rsidR="00A40206">
        <w:rPr>
          <w:rFonts w:cs="Arial"/>
          <w:sz w:val="24"/>
          <w:szCs w:val="24"/>
        </w:rPr>
        <w:t xml:space="preserve"> </w:t>
      </w:r>
      <w:r>
        <w:rPr>
          <w:rFonts w:cs="Arial"/>
          <w:sz w:val="24"/>
          <w:szCs w:val="24"/>
        </w:rPr>
        <w:t>12</w:t>
      </w:r>
      <w:r w:rsidR="00A40206">
        <w:rPr>
          <w:rFonts w:cs="Arial"/>
          <w:sz w:val="24"/>
          <w:szCs w:val="24"/>
          <w:vertAlign w:val="superscript"/>
        </w:rPr>
        <w:t>th</w:t>
      </w:r>
      <w:r w:rsidR="00A40206">
        <w:rPr>
          <w:rFonts w:cs="Arial"/>
          <w:sz w:val="24"/>
          <w:szCs w:val="24"/>
        </w:rPr>
        <w:t xml:space="preserve"> ‒ </w:t>
      </w:r>
      <w:r>
        <w:rPr>
          <w:rFonts w:cs="Arial"/>
          <w:sz w:val="24"/>
          <w:szCs w:val="24"/>
        </w:rPr>
        <w:t>20</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EC222A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C242D">
        <w:rPr>
          <w:rFonts w:ascii="Arial" w:hAnsi="Arial"/>
          <w:sz w:val="24"/>
          <w:lang w:val="en-US"/>
        </w:rPr>
        <w:t>4.1.2.1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CA5FBF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1578D">
        <w:rPr>
          <w:rFonts w:ascii="Arial" w:hAnsi="Arial"/>
          <w:sz w:val="24"/>
          <w:lang w:val="en-US"/>
        </w:rPr>
        <w:t xml:space="preserve">NS applicability for </w:t>
      </w:r>
      <w:r w:rsidR="00452A81">
        <w:rPr>
          <w:rFonts w:ascii="Arial" w:hAnsi="Arial"/>
          <w:sz w:val="24"/>
          <w:lang w:val="en-US"/>
        </w:rPr>
        <w:t xml:space="preserve">inter-band </w:t>
      </w:r>
      <w:r w:rsidR="0031578D">
        <w:rPr>
          <w:rFonts w:ascii="Arial" w:hAnsi="Arial"/>
          <w:sz w:val="24"/>
          <w:lang w:val="en-US"/>
        </w:rPr>
        <w:t>CA/DC</w:t>
      </w:r>
      <w:r w:rsidR="00FF3818">
        <w:rPr>
          <w:rFonts w:ascii="Arial" w:hAnsi="Arial"/>
          <w:sz w:val="24"/>
          <w:lang w:val="en-US"/>
        </w:rPr>
        <w:t xml:space="preserve"> </w:t>
      </w:r>
    </w:p>
    <w:p w14:paraId="013F978F" w14:textId="15B325B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FA23B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904905" w14:textId="23EC8BBA" w:rsidR="00EE2E39" w:rsidRDefault="0031578D" w:rsidP="00676DCA">
      <w:pPr>
        <w:rPr>
          <w:lang w:val="en-US"/>
        </w:rPr>
      </w:pPr>
      <w:r>
        <w:rPr>
          <w:lang w:val="en-US"/>
        </w:rPr>
        <w:t xml:space="preserve">In recent meetings, the applicability of additional emission requirements indicated by network signaling (NS) to carrier aggregation and dual connectivity has </w:t>
      </w:r>
      <w:r w:rsidR="005D6D2B">
        <w:rPr>
          <w:lang w:val="en-US"/>
        </w:rPr>
        <w:t>been discussed [1]</w:t>
      </w:r>
      <w:r>
        <w:rPr>
          <w:lang w:val="en-US"/>
        </w:rPr>
        <w:t xml:space="preserve">.  </w:t>
      </w:r>
      <w:r w:rsidR="005D6D2B">
        <w:rPr>
          <w:lang w:val="en-US"/>
        </w:rPr>
        <w:t xml:space="preserve">Initial agreements were reached that emission requirements should be met from all transmitters when the UE is configured for CA/DC [2], but details remain to be resolved.  </w:t>
      </w:r>
      <w:r>
        <w:rPr>
          <w:lang w:val="en-US"/>
        </w:rPr>
        <w:t xml:space="preserve">This contribution </w:t>
      </w:r>
      <w:r w:rsidR="005D6D2B">
        <w:rPr>
          <w:lang w:val="en-US"/>
        </w:rPr>
        <w:t>seeks to re</w:t>
      </w:r>
      <w:r w:rsidR="00C776FF">
        <w:rPr>
          <w:lang w:val="en-US"/>
        </w:rPr>
        <w:t>consider</w:t>
      </w:r>
      <w:r w:rsidR="005D6D2B">
        <w:rPr>
          <w:lang w:val="en-US"/>
        </w:rPr>
        <w:t xml:space="preserve"> the </w:t>
      </w:r>
      <w:r w:rsidR="00C776FF">
        <w:rPr>
          <w:lang w:val="en-US"/>
        </w:rPr>
        <w:t xml:space="preserve">way forward </w:t>
      </w:r>
      <w:r w:rsidR="005D6D2B">
        <w:rPr>
          <w:lang w:val="en-US"/>
        </w:rPr>
        <w:t>agreement based on further study of regulatory requirements.</w:t>
      </w:r>
    </w:p>
    <w:p w14:paraId="10F6602E" w14:textId="3FED651C" w:rsidR="007E1E78" w:rsidRDefault="007E1E78" w:rsidP="0099327E">
      <w:pPr>
        <w:pStyle w:val="Heading1"/>
        <w:tabs>
          <w:tab w:val="clear" w:pos="432"/>
          <w:tab w:val="num" w:pos="522"/>
        </w:tabs>
        <w:ind w:left="522" w:hanging="522"/>
        <w:rPr>
          <w:lang w:val="en-US"/>
        </w:rPr>
      </w:pPr>
      <w:r>
        <w:rPr>
          <w:lang w:val="en-US"/>
        </w:rPr>
        <w:t>Discussion</w:t>
      </w:r>
    </w:p>
    <w:p w14:paraId="4B4776D6" w14:textId="6D115CD5" w:rsidR="00C5061E" w:rsidRDefault="00C5061E" w:rsidP="00C5061E">
      <w:pPr>
        <w:pStyle w:val="Heading2"/>
        <w:rPr>
          <w:lang w:val="en-US"/>
        </w:rPr>
      </w:pPr>
      <w:r>
        <w:rPr>
          <w:lang w:val="en-US"/>
        </w:rPr>
        <w:t>Background</w:t>
      </w:r>
    </w:p>
    <w:p w14:paraId="34E3AEC8" w14:textId="25FD44B8" w:rsidR="00FC7EE0" w:rsidRDefault="0031578D" w:rsidP="00FC7EE0">
      <w:pPr>
        <w:rPr>
          <w:lang w:val="en-US"/>
        </w:rPr>
      </w:pPr>
      <w:r>
        <w:rPr>
          <w:lang w:val="en-US"/>
        </w:rPr>
        <w:t>The NS concept has been utilized since Rel-8 LTE to enable a common band to be used in multiple countries each with its own regulatory emission requirements.  A network with knowledge of the country in which it is deployed signals an indicator (NS) within a predefined set informing UE’s that additional spurious emissions apply for operation in the cell.  Moreover, associated with this NS is a specified A-MPR or other mechanism to enable the UE to meet the additional spurious emission requirement.  The concept is clear when the UE is operating on a single cell.  However, ambiguity exists in the applicability and interpretation of NS in the context of multiple cells in uplink carrier aggregation and/or dual connectivity</w:t>
      </w:r>
      <w:r w:rsidR="009F5421">
        <w:rPr>
          <w:lang w:val="en-US"/>
        </w:rPr>
        <w:t xml:space="preserve"> [1]</w:t>
      </w:r>
      <w:r>
        <w:rPr>
          <w:lang w:val="en-US"/>
        </w:rPr>
        <w:t>.</w:t>
      </w:r>
    </w:p>
    <w:p w14:paraId="7E666ADF" w14:textId="2AB10EA6" w:rsidR="009F5421" w:rsidRDefault="0031578D" w:rsidP="00FC7EE0">
      <w:pPr>
        <w:rPr>
          <w:lang w:val="en-US"/>
        </w:rPr>
      </w:pPr>
      <w:r>
        <w:rPr>
          <w:lang w:val="en-US"/>
        </w:rPr>
        <w:t xml:space="preserve">Consider the following hypothetical scenario.  Suppose that NS_xx is signaled in Band X to </w:t>
      </w:r>
      <w:r w:rsidR="00662644">
        <w:rPr>
          <w:lang w:val="en-US"/>
        </w:rPr>
        <w:t xml:space="preserve">alert UE’s that regulatory requirements are in effect to protect a certain frequency range </w:t>
      </w:r>
      <w:r w:rsidR="009F5421">
        <w:rPr>
          <w:lang w:val="en-US"/>
        </w:rPr>
        <w:t xml:space="preserve">Z </w:t>
      </w:r>
      <w:r w:rsidR="00662644">
        <w:rPr>
          <w:lang w:val="en-US"/>
        </w:rPr>
        <w:t xml:space="preserve">from spurious emissions.  When the UE is connected to the cell on Band X, it is clear that the UE is required to meet this requirement.  </w:t>
      </w:r>
      <w:r w:rsidR="009F5421">
        <w:rPr>
          <w:lang w:val="en-US"/>
        </w:rPr>
        <w:t>Now, further suppose that the UE is configured for aggregation, either UL CA or DC, with Band Y.  It is still clear that transmission in Band X is subject to the requirements of NS_xx, but what is unclear is whether a transmission in Band Y is also subject to the same requirement.  The NS_xx or equivalent was never signaled in Band Y.  Moreover, the joint transmission between uplink in Band X and uplink in Band Y may create additional intermodulation or cross mixing products that do not appear when either Band X or Band Y is transmitting by itself.  Are these additional IM products also subject to the requirements for NS_xx?</w:t>
      </w:r>
    </w:p>
    <w:p w14:paraId="658BBFF5" w14:textId="21770D1E" w:rsidR="009F5421" w:rsidRDefault="009F5421" w:rsidP="00FC7EE0">
      <w:pPr>
        <w:rPr>
          <w:lang w:val="en-US"/>
        </w:rPr>
      </w:pPr>
      <w:r>
        <w:rPr>
          <w:lang w:val="en-US"/>
        </w:rPr>
        <w:t>An agreement was reached in [2] as follows</w:t>
      </w:r>
    </w:p>
    <w:p w14:paraId="392C50C5" w14:textId="6F3EF663" w:rsidR="002501EB" w:rsidRDefault="002501EB" w:rsidP="002501EB">
      <w:pPr>
        <w:ind w:left="284"/>
      </w:pPr>
      <w:r w:rsidRPr="002501EB">
        <w:rPr>
          <w:b/>
          <w:bCs/>
        </w:rPr>
        <w:t xml:space="preserve">[Agreement-1] </w:t>
      </w:r>
      <w:r w:rsidRPr="002501EB">
        <w:t>If an NS value is indicated in a band, the additional requirement shall be met regardless if the UE has uplinks configured in the other bands</w:t>
      </w:r>
      <w:r>
        <w:t>.</w:t>
      </w:r>
    </w:p>
    <w:p w14:paraId="4B27DFDC" w14:textId="17CF0CF1" w:rsidR="009F5421" w:rsidRPr="009F5421" w:rsidRDefault="009F5421" w:rsidP="009F5421">
      <w:pPr>
        <w:rPr>
          <w:lang w:val="en-US"/>
        </w:rPr>
      </w:pPr>
      <w:r w:rsidRPr="009F5421">
        <w:rPr>
          <w:lang w:val="en-US"/>
        </w:rPr>
        <w:t xml:space="preserve">Based on the discussion </w:t>
      </w:r>
      <w:r>
        <w:rPr>
          <w:lang w:val="en-US"/>
        </w:rPr>
        <w:t>recorded</w:t>
      </w:r>
      <w:r w:rsidRPr="009F5421">
        <w:rPr>
          <w:lang w:val="en-US"/>
        </w:rPr>
        <w:t xml:space="preserve"> in [3]</w:t>
      </w:r>
      <w:r>
        <w:rPr>
          <w:lang w:val="en-US"/>
        </w:rPr>
        <w:t xml:space="preserve">, the agreement should be interpreted that the requirements associated with NS_xx to protect frequency range Z should apply to transmissions from Band X, from Band Y, and from the joint transmission of X+Y when the UE is configured for CA or DC between the two bands.  It is argued that the additional (new) requirements </w:t>
      </w:r>
      <w:r w:rsidR="00967E84">
        <w:rPr>
          <w:lang w:val="en-US"/>
        </w:rPr>
        <w:t xml:space="preserve">imposed </w:t>
      </w:r>
      <w:r>
        <w:rPr>
          <w:lang w:val="en-US"/>
        </w:rPr>
        <w:t xml:space="preserve">on Band Y are </w:t>
      </w:r>
      <w:r w:rsidR="00967E84">
        <w:rPr>
          <w:lang w:val="en-US"/>
        </w:rPr>
        <w:t>trivially met, i.e., they are inherently met by general spurious emissions, or else they would have been signaled independently for Band Y.  It was also understood that X+Y products would be further studied.  One further comment on the agreement above is that it only applies to the additional spurious emissions associated with the NS.  The A-MPR that is associated with the NS remains only with the carrier in Band X.  It does not convey to Band Y since A-MPR is defined to be band-specific.</w:t>
      </w:r>
    </w:p>
    <w:p w14:paraId="1A912757" w14:textId="6B413BBF" w:rsidR="00967E84" w:rsidRDefault="00967E84" w:rsidP="00967E84">
      <w:pPr>
        <w:pStyle w:val="Heading2"/>
        <w:rPr>
          <w:lang w:val="en-US"/>
        </w:rPr>
      </w:pPr>
      <w:r>
        <w:rPr>
          <w:lang w:val="en-US"/>
        </w:rPr>
        <w:lastRenderedPageBreak/>
        <w:t>Additional views</w:t>
      </w:r>
    </w:p>
    <w:p w14:paraId="409E0154" w14:textId="7F72CD3E" w:rsidR="00967E84" w:rsidRDefault="00967E84" w:rsidP="00967E84">
      <w:pPr>
        <w:rPr>
          <w:lang w:val="en-US"/>
        </w:rPr>
      </w:pPr>
      <w:r>
        <w:rPr>
          <w:lang w:val="en-US"/>
        </w:rPr>
        <w:t>The agreement from [2] was based on an understanding of regulatory requirements within a country.  The presumption is that the protected frequency range Z should be protected by all transmitters operating in the country.  The protection to frequency range Z is added explicitly as an NS requirement to Band X because Band X needs special accommodation (</w:t>
      </w:r>
      <w:r w:rsidR="00D9475D">
        <w:rPr>
          <w:lang w:val="en-US"/>
        </w:rPr>
        <w:t>e.g.</w:t>
      </w:r>
      <w:r>
        <w:rPr>
          <w:lang w:val="en-US"/>
        </w:rPr>
        <w:t>, A-MPR</w:t>
      </w:r>
      <w:r w:rsidR="00D9475D">
        <w:rPr>
          <w:lang w:val="en-US"/>
        </w:rPr>
        <w:t xml:space="preserve"> or RB restrictions</w:t>
      </w:r>
      <w:r>
        <w:rPr>
          <w:lang w:val="en-US"/>
        </w:rPr>
        <w:t xml:space="preserve">) to meet the emission perhaps due to close frequency separation.  </w:t>
      </w:r>
      <w:r w:rsidR="00C70591">
        <w:rPr>
          <w:lang w:val="en-US"/>
        </w:rPr>
        <w:t>On the other hand, the protection to Z is not written as an NS requirement to Band Y since protection is guaranteed by the general emission requirements.  However, this presumption may not always be accurate.  It is not necessarily the case that all transmitters operating within the country must protect frequency range Z equally.  For example, regulations may compel Band X to protect Z at or below -40 dBm/MHz but require Band Y to protect Z at -50 dBm/MHz.  In another example, Band Y may not be required to protect Z at all in the regulations.</w:t>
      </w:r>
    </w:p>
    <w:p w14:paraId="5E0F7980" w14:textId="796E556E" w:rsidR="00C70591" w:rsidRDefault="00C70591" w:rsidP="00967E84">
      <w:pPr>
        <w:rPr>
          <w:lang w:val="en-US"/>
        </w:rPr>
      </w:pPr>
      <w:r>
        <w:rPr>
          <w:lang w:val="en-US"/>
        </w:rPr>
        <w:t xml:space="preserve">As a specific example, consider the regulatory requirements imposed by the FCC in the US for transmitters operating in Band 48/n48 (CBRS).  </w:t>
      </w:r>
      <w:r w:rsidR="00D9475D">
        <w:rPr>
          <w:lang w:val="en-US"/>
        </w:rPr>
        <w:t>As shown below</w:t>
      </w:r>
      <w:r w:rsidR="00A0082C">
        <w:rPr>
          <w:lang w:val="en-US"/>
        </w:rPr>
        <w:t xml:space="preserve"> in an excerpt from Part 96 of e-CFR</w:t>
      </w:r>
      <w:r w:rsidR="00D9475D">
        <w:rPr>
          <w:lang w:val="en-US"/>
        </w:rPr>
        <w:t xml:space="preserve">, an emission requirement of -40 dBm/MHz is defined for frequency ranges below 3530 MHz and above 3720 MHz.  </w:t>
      </w:r>
    </w:p>
    <w:p w14:paraId="034031C1" w14:textId="2849A2F8" w:rsidR="00A0082C" w:rsidRDefault="00A0082C" w:rsidP="00A0082C">
      <w:pPr>
        <w:ind w:left="720" w:right="901"/>
        <w:rPr>
          <w:lang w:val="en-US"/>
        </w:rPr>
      </w:pPr>
      <w:r>
        <w:t xml:space="preserve">(2) </w:t>
      </w:r>
      <w:r>
        <w:rPr>
          <w:i/>
          <w:iCs/>
        </w:rPr>
        <w:t>Additional protection levels.</w:t>
      </w:r>
      <w:r>
        <w:t xml:space="preserve"> Notwithstanding paragraph (e)(1) of this section, for CBSDs and End User Devices, the conducted power of emissions below 3540 MHz or above 3710 MHz shall not exceed −25 dBm/MHz, and </w:t>
      </w:r>
      <w:r w:rsidRPr="00A0082C">
        <w:rPr>
          <w:highlight w:val="yellow"/>
        </w:rPr>
        <w:t>the conducted power of emissions below 3530 MHz or above 3720 MHz shall not exceed −40dBm/MHz</w:t>
      </w:r>
      <w:r>
        <w:t>.</w:t>
      </w:r>
    </w:p>
    <w:p w14:paraId="4ED14FBB" w14:textId="48D32FD0" w:rsidR="00967E84" w:rsidRDefault="00A0082C" w:rsidP="00967E84">
      <w:pPr>
        <w:rPr>
          <w:lang w:val="en-US"/>
        </w:rPr>
      </w:pPr>
      <w:r>
        <w:rPr>
          <w:lang w:val="en-US"/>
        </w:rPr>
        <w:t>This is reflected as part of NS_27 for Band n48 in 38.101-1</w:t>
      </w:r>
    </w:p>
    <w:p w14:paraId="2D7760C7" w14:textId="77777777" w:rsidR="00A0082C" w:rsidRPr="001C0CC4" w:rsidRDefault="00A0082C" w:rsidP="00A0082C">
      <w:pPr>
        <w:pStyle w:val="TH"/>
        <w:rPr>
          <w:b w:val="0"/>
        </w:rPr>
      </w:pPr>
      <w:r w:rsidRPr="001C0CC4">
        <w:t>Table 6.5.3.3.14-1: Additional requirements</w:t>
      </w:r>
      <w:r w:rsidRPr="005C11DD">
        <w:t xml:space="preserve"> </w:t>
      </w:r>
      <w:r w:rsidRPr="001C0CC4">
        <w:t xml:space="preserve">for </w:t>
      </w:r>
      <w:r w:rsidRPr="001C0CC4">
        <w:rPr>
          <w:rFonts w:eastAsia="SimSun"/>
        </w:rPr>
        <w:t>"</w:t>
      </w:r>
      <w:r>
        <w:t>NS_27</w:t>
      </w:r>
      <w:r w:rsidRPr="001C0CC4">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0082C" w:rsidRPr="001C0CC4" w14:paraId="02173759" w14:textId="77777777" w:rsidTr="00916A27">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57C88430" w14:textId="77777777" w:rsidR="00A0082C" w:rsidRPr="001C0CC4" w:rsidRDefault="00A0082C" w:rsidP="00916A27">
            <w:pPr>
              <w:pStyle w:val="TAH"/>
            </w:pPr>
            <w:r w:rsidRPr="001C0CC4">
              <w:t>Frequency range</w:t>
            </w:r>
          </w:p>
          <w:p w14:paraId="428413BB" w14:textId="77777777" w:rsidR="00A0082C" w:rsidRPr="001C0CC4" w:rsidRDefault="00A0082C" w:rsidP="00916A27">
            <w:pPr>
              <w:pStyle w:val="TAH"/>
            </w:pPr>
            <w:r w:rsidRPr="001C0CC4">
              <w:t>(MHz)</w:t>
            </w:r>
          </w:p>
        </w:tc>
        <w:tc>
          <w:tcPr>
            <w:tcW w:w="3347" w:type="dxa"/>
            <w:tcBorders>
              <w:top w:val="single" w:sz="4" w:space="0" w:color="auto"/>
              <w:left w:val="single" w:sz="4" w:space="0" w:color="auto"/>
              <w:bottom w:val="single" w:sz="4" w:space="0" w:color="auto"/>
              <w:right w:val="single" w:sz="4" w:space="0" w:color="auto"/>
            </w:tcBorders>
            <w:hideMark/>
          </w:tcPr>
          <w:p w14:paraId="5FF5D528" w14:textId="77777777" w:rsidR="00A0082C" w:rsidRPr="001C0CC4" w:rsidRDefault="00A0082C" w:rsidP="00916A27">
            <w:pPr>
              <w:pStyle w:val="TAH"/>
              <w:rPr>
                <w:rFonts w:eastAsia="SimSun"/>
              </w:rPr>
            </w:pPr>
            <w:r w:rsidRPr="001C0CC4">
              <w:t xml:space="preserve">Channel bandwidth </w:t>
            </w:r>
            <w:r>
              <w:t xml:space="preserve">(MHz) </w:t>
            </w:r>
            <w:r w:rsidRPr="001C0CC4">
              <w:t>/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74FF52C5" w14:textId="77777777" w:rsidR="00A0082C" w:rsidRPr="001C0CC4" w:rsidRDefault="00A0082C" w:rsidP="00916A27">
            <w:pPr>
              <w:pStyle w:val="TAH"/>
            </w:pPr>
            <w:r w:rsidRPr="001C0CC4">
              <w:t>Measurement bandwidth</w:t>
            </w:r>
          </w:p>
        </w:tc>
      </w:tr>
      <w:tr w:rsidR="00A0082C" w:rsidRPr="001C0CC4" w14:paraId="1F8137BD" w14:textId="77777777" w:rsidTr="00916A27">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4FB2F479" w14:textId="77777777" w:rsidR="00A0082C" w:rsidRPr="001C0CC4" w:rsidRDefault="00A0082C" w:rsidP="00916A27">
            <w:pPr>
              <w:spacing w:after="0"/>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1F59A712" w14:textId="77777777" w:rsidR="00A0082C" w:rsidRPr="001C0CC4" w:rsidRDefault="00A0082C" w:rsidP="00916A27">
            <w:pPr>
              <w:pStyle w:val="TAH"/>
            </w:pPr>
            <w:r w:rsidRPr="001C0CC4">
              <w:t>5, 10, 15, 20, 40</w:t>
            </w:r>
          </w:p>
        </w:tc>
        <w:tc>
          <w:tcPr>
            <w:tcW w:w="0" w:type="auto"/>
            <w:tcBorders>
              <w:top w:val="nil"/>
              <w:left w:val="single" w:sz="4" w:space="0" w:color="auto"/>
              <w:bottom w:val="single" w:sz="4" w:space="0" w:color="auto"/>
              <w:right w:val="single" w:sz="4" w:space="0" w:color="auto"/>
            </w:tcBorders>
            <w:shd w:val="clear" w:color="auto" w:fill="auto"/>
            <w:hideMark/>
          </w:tcPr>
          <w:p w14:paraId="4D6B113D" w14:textId="77777777" w:rsidR="00A0082C" w:rsidRPr="001C0CC4" w:rsidRDefault="00A0082C" w:rsidP="00916A27">
            <w:pPr>
              <w:pStyle w:val="TAH"/>
            </w:pPr>
          </w:p>
        </w:tc>
      </w:tr>
      <w:tr w:rsidR="00A0082C" w:rsidRPr="001C0CC4" w14:paraId="17E46E6E" w14:textId="77777777" w:rsidTr="00916A2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B441AB0" w14:textId="77777777" w:rsidR="00A0082C" w:rsidRPr="00A0082C" w:rsidRDefault="00A0082C" w:rsidP="00916A27">
            <w:pPr>
              <w:pStyle w:val="TAC"/>
              <w:rPr>
                <w:highlight w:val="yellow"/>
              </w:rPr>
            </w:pPr>
            <w:r w:rsidRPr="00A0082C">
              <w:rPr>
                <w:highlight w:val="yellow"/>
              </w:rPr>
              <w:t>9 kHz – 3530 MHz</w:t>
            </w:r>
          </w:p>
        </w:tc>
        <w:tc>
          <w:tcPr>
            <w:tcW w:w="3347" w:type="dxa"/>
            <w:tcBorders>
              <w:top w:val="single" w:sz="4" w:space="0" w:color="auto"/>
              <w:left w:val="single" w:sz="4" w:space="0" w:color="auto"/>
              <w:bottom w:val="single" w:sz="4" w:space="0" w:color="auto"/>
              <w:right w:val="single" w:sz="4" w:space="0" w:color="auto"/>
            </w:tcBorders>
            <w:hideMark/>
          </w:tcPr>
          <w:p w14:paraId="3EC0A149" w14:textId="77777777" w:rsidR="00A0082C" w:rsidRPr="00A0082C" w:rsidRDefault="00A0082C" w:rsidP="00916A27">
            <w:pPr>
              <w:pStyle w:val="TAC"/>
              <w:rPr>
                <w:highlight w:val="yellow"/>
              </w:rPr>
            </w:pPr>
            <w:r w:rsidRPr="00A0082C">
              <w:rPr>
                <w:highlight w:val="yellow"/>
              </w:rPr>
              <w:t>-40</w:t>
            </w:r>
          </w:p>
        </w:tc>
        <w:tc>
          <w:tcPr>
            <w:tcW w:w="1870" w:type="dxa"/>
            <w:tcBorders>
              <w:top w:val="single" w:sz="4" w:space="0" w:color="auto"/>
              <w:left w:val="single" w:sz="4" w:space="0" w:color="auto"/>
              <w:bottom w:val="nil"/>
              <w:right w:val="single" w:sz="4" w:space="0" w:color="auto"/>
            </w:tcBorders>
            <w:shd w:val="clear" w:color="auto" w:fill="auto"/>
            <w:hideMark/>
          </w:tcPr>
          <w:p w14:paraId="7EF85511" w14:textId="77777777" w:rsidR="00A0082C" w:rsidRPr="001C0CC4" w:rsidRDefault="00A0082C" w:rsidP="00916A27">
            <w:pPr>
              <w:pStyle w:val="TAC"/>
            </w:pPr>
            <w:r w:rsidRPr="001C0CC4">
              <w:t>1 MHz</w:t>
            </w:r>
          </w:p>
        </w:tc>
      </w:tr>
      <w:tr w:rsidR="00A0082C" w:rsidRPr="001C0CC4" w14:paraId="5E8BB942" w14:textId="77777777" w:rsidTr="00916A2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16D322D" w14:textId="77777777" w:rsidR="00A0082C" w:rsidRPr="001C0CC4" w:rsidRDefault="00A0082C" w:rsidP="00916A27">
            <w:pPr>
              <w:pStyle w:val="TAC"/>
            </w:pPr>
            <w:r w:rsidRPr="001C0CC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452AB560" w14:textId="77777777" w:rsidR="00A0082C" w:rsidRPr="001C0CC4" w:rsidRDefault="00A0082C" w:rsidP="00916A27">
            <w:pPr>
              <w:pStyle w:val="TAC"/>
            </w:pPr>
            <w:r w:rsidRPr="001C0CC4">
              <w:t>-25</w:t>
            </w:r>
          </w:p>
        </w:tc>
        <w:tc>
          <w:tcPr>
            <w:tcW w:w="1870" w:type="dxa"/>
            <w:tcBorders>
              <w:top w:val="nil"/>
              <w:left w:val="single" w:sz="4" w:space="0" w:color="auto"/>
              <w:bottom w:val="nil"/>
              <w:right w:val="single" w:sz="4" w:space="0" w:color="auto"/>
            </w:tcBorders>
            <w:shd w:val="clear" w:color="auto" w:fill="auto"/>
            <w:hideMark/>
          </w:tcPr>
          <w:p w14:paraId="127CF33A" w14:textId="77777777" w:rsidR="00A0082C" w:rsidRPr="001C0CC4" w:rsidRDefault="00A0082C" w:rsidP="00916A27">
            <w:pPr>
              <w:pStyle w:val="TAC"/>
            </w:pPr>
          </w:p>
        </w:tc>
      </w:tr>
      <w:tr w:rsidR="00A0082C" w:rsidRPr="001C0CC4" w14:paraId="16DAA486" w14:textId="77777777" w:rsidTr="00916A2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14EF3DE" w14:textId="77777777" w:rsidR="00A0082C" w:rsidRPr="001C0CC4" w:rsidRDefault="00A0082C" w:rsidP="00916A27">
            <w:pPr>
              <w:pStyle w:val="TAC"/>
            </w:pPr>
            <w:r w:rsidRPr="001C0CC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3CEE4BCA" w14:textId="77777777" w:rsidR="00A0082C" w:rsidRPr="001C0CC4" w:rsidRDefault="00A0082C" w:rsidP="00916A27">
            <w:pPr>
              <w:pStyle w:val="TAC"/>
            </w:pPr>
            <w:r w:rsidRPr="001C0CC4">
              <w:t>-25</w:t>
            </w:r>
          </w:p>
        </w:tc>
        <w:tc>
          <w:tcPr>
            <w:tcW w:w="1870" w:type="dxa"/>
            <w:tcBorders>
              <w:top w:val="nil"/>
              <w:left w:val="single" w:sz="4" w:space="0" w:color="auto"/>
              <w:bottom w:val="nil"/>
              <w:right w:val="single" w:sz="4" w:space="0" w:color="auto"/>
            </w:tcBorders>
            <w:shd w:val="clear" w:color="auto" w:fill="auto"/>
            <w:hideMark/>
          </w:tcPr>
          <w:p w14:paraId="1CDE4A71" w14:textId="77777777" w:rsidR="00A0082C" w:rsidRPr="001C0CC4" w:rsidRDefault="00A0082C" w:rsidP="00916A27">
            <w:pPr>
              <w:pStyle w:val="TAC"/>
            </w:pPr>
          </w:p>
        </w:tc>
      </w:tr>
      <w:tr w:rsidR="00A0082C" w:rsidRPr="001C0CC4" w14:paraId="3EB40C79" w14:textId="77777777" w:rsidTr="00916A27">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5CE6697E" w14:textId="77777777" w:rsidR="00A0082C" w:rsidRPr="00A0082C" w:rsidRDefault="00A0082C" w:rsidP="00916A27">
            <w:pPr>
              <w:pStyle w:val="TAC"/>
              <w:rPr>
                <w:highlight w:val="yellow"/>
              </w:rPr>
            </w:pPr>
            <w:r w:rsidRPr="00A0082C">
              <w:rPr>
                <w:highlight w:val="yellow"/>
              </w:rPr>
              <w:t>3720 MHz – 12.75 GHz</w:t>
            </w:r>
          </w:p>
        </w:tc>
        <w:tc>
          <w:tcPr>
            <w:tcW w:w="3347" w:type="dxa"/>
            <w:tcBorders>
              <w:top w:val="single" w:sz="4" w:space="0" w:color="auto"/>
              <w:left w:val="single" w:sz="4" w:space="0" w:color="auto"/>
              <w:bottom w:val="single" w:sz="4" w:space="0" w:color="auto"/>
              <w:right w:val="single" w:sz="4" w:space="0" w:color="auto"/>
            </w:tcBorders>
          </w:tcPr>
          <w:p w14:paraId="0E69E530" w14:textId="77777777" w:rsidR="00A0082C" w:rsidRPr="00A0082C" w:rsidRDefault="00A0082C" w:rsidP="00916A27">
            <w:pPr>
              <w:pStyle w:val="TAC"/>
              <w:rPr>
                <w:highlight w:val="yellow"/>
              </w:rPr>
            </w:pPr>
            <w:r w:rsidRPr="00A0082C">
              <w:rPr>
                <w:highlight w:val="yellow"/>
              </w:rPr>
              <w:t>-40</w:t>
            </w:r>
          </w:p>
        </w:tc>
        <w:tc>
          <w:tcPr>
            <w:tcW w:w="1870" w:type="dxa"/>
            <w:tcBorders>
              <w:top w:val="nil"/>
              <w:left w:val="single" w:sz="4" w:space="0" w:color="auto"/>
              <w:bottom w:val="single" w:sz="4" w:space="0" w:color="auto"/>
              <w:right w:val="single" w:sz="4" w:space="0" w:color="auto"/>
            </w:tcBorders>
            <w:shd w:val="clear" w:color="auto" w:fill="auto"/>
          </w:tcPr>
          <w:p w14:paraId="0F8A10D2" w14:textId="77777777" w:rsidR="00A0082C" w:rsidRPr="001C0CC4" w:rsidRDefault="00A0082C" w:rsidP="00916A27">
            <w:pPr>
              <w:pStyle w:val="TAC"/>
            </w:pPr>
          </w:p>
        </w:tc>
      </w:tr>
    </w:tbl>
    <w:p w14:paraId="1C4F630A" w14:textId="77777777" w:rsidR="00A0082C" w:rsidRPr="001C0CC4" w:rsidRDefault="00A0082C" w:rsidP="00A0082C"/>
    <w:p w14:paraId="68DE267C" w14:textId="7F9B429A" w:rsidR="00A0082C" w:rsidRDefault="003D1C0E" w:rsidP="00967E84">
      <w:pPr>
        <w:rPr>
          <w:lang w:val="en-US"/>
        </w:rPr>
      </w:pPr>
      <w:r>
        <w:rPr>
          <w:lang w:val="en-US"/>
        </w:rPr>
        <w:t>This requirement of -40 dBm/MHz below 3530 MHz and above 3720 MHz is not mentioned in the FCC regulations for any other band, nor is it included in 38.101-1 for any other band.  Yet, according to the way forward agreement above, this requirement would apply to any other band that is aggregated with Band n48.</w:t>
      </w:r>
    </w:p>
    <w:p w14:paraId="02570323" w14:textId="4CD6CA81" w:rsidR="003D1C0E" w:rsidRDefault="003D1C0E" w:rsidP="00967E84">
      <w:pPr>
        <w:rPr>
          <w:lang w:val="en-US"/>
        </w:rPr>
      </w:pPr>
      <w:r>
        <w:rPr>
          <w:lang w:val="en-US"/>
        </w:rPr>
        <w:t xml:space="preserve">Of course, such a requirement is not inherently met by general spurious emissions in other bands.  There is not even provision for the passband of </w:t>
      </w:r>
      <w:r w:rsidR="00573359">
        <w:rPr>
          <w:lang w:val="en-US"/>
        </w:rPr>
        <w:t xml:space="preserve">intended transmission from </w:t>
      </w:r>
      <w:r>
        <w:rPr>
          <w:lang w:val="en-US"/>
        </w:rPr>
        <w:t xml:space="preserve">another band to exceed -40 dBm/MHz, let alone </w:t>
      </w:r>
      <w:r w:rsidR="00573359">
        <w:rPr>
          <w:lang w:val="en-US"/>
        </w:rPr>
        <w:t>its</w:t>
      </w:r>
      <w:r>
        <w:rPr>
          <w:lang w:val="en-US"/>
        </w:rPr>
        <w:t xml:space="preserve"> sidebands, harmonics, or other spurious products.  Therefore, the interpretation that NS_xx emission requirements should convey to Band Y when the UE is configured for CA/DC between the two bands </w:t>
      </w:r>
      <w:r w:rsidR="00573359">
        <w:rPr>
          <w:lang w:val="en-US"/>
        </w:rPr>
        <w:t>cannot be realized in general</w:t>
      </w:r>
      <w:r>
        <w:rPr>
          <w:lang w:val="en-US"/>
        </w:rPr>
        <w:t>.</w:t>
      </w:r>
    </w:p>
    <w:p w14:paraId="67238B9B" w14:textId="45F685F7" w:rsidR="00A5063E" w:rsidRDefault="00A5063E" w:rsidP="00967E84">
      <w:pPr>
        <w:rPr>
          <w:lang w:val="en-US"/>
        </w:rPr>
      </w:pPr>
      <w:r>
        <w:rPr>
          <w:lang w:val="en-US"/>
        </w:rPr>
        <w:t>A second issue also exists.  NS requirements are generally not transferred from one cell or cell group to another when the UE is configured for CA or DC.  Each cell or cell group reacts independently to its own NS, especially in the case of DC.  Therefore, applying NS_xx requirements to Band Y is not generally supported behavior in the UE.</w:t>
      </w:r>
    </w:p>
    <w:p w14:paraId="1B1D38C8" w14:textId="1D7E2581" w:rsidR="003D1C0E" w:rsidRDefault="003D1C0E" w:rsidP="00967E84">
      <w:pPr>
        <w:rPr>
          <w:b/>
          <w:bCs/>
          <w:lang w:val="en-US"/>
        </w:rPr>
      </w:pPr>
      <w:r w:rsidRPr="00C531FD">
        <w:rPr>
          <w:b/>
          <w:bCs/>
          <w:lang w:val="en-US"/>
        </w:rPr>
        <w:t xml:space="preserve">Proposal:  </w:t>
      </w:r>
      <w:r w:rsidR="00C531FD" w:rsidRPr="00C531FD">
        <w:rPr>
          <w:b/>
          <w:bCs/>
          <w:lang w:val="en-US"/>
        </w:rPr>
        <w:t>Revert the agreement from [2].  NS emission requirements only apply for the band in which they are signaled.</w:t>
      </w:r>
    </w:p>
    <w:p w14:paraId="5CE1E38C" w14:textId="6B394048" w:rsidR="00A5063E" w:rsidRDefault="00A5063E" w:rsidP="00FB4C5F">
      <w:pPr>
        <w:rPr>
          <w:lang w:val="en-US"/>
        </w:rPr>
      </w:pPr>
      <w:r>
        <w:rPr>
          <w:lang w:val="en-US"/>
        </w:rPr>
        <w:t>With the condition that NS emission requirements only apply for the band in which they are signaled, the following scenarios may exist.  Suppose that NS_xx is signaled in Band X and NS_yy is signaled in Band Y.  These two NS’s may refer to the same protected frequency range Z and the same protection level, or they may not.  They reflect the regulations as defined for Band X and Band Y respectively.  The UE is configured for CA or DC between Band X and Band Y.  Three cases are described below where case 1 and 2 are simple to understand, but case 3 requires more consideration.</w:t>
      </w:r>
    </w:p>
    <w:p w14:paraId="2528CFFB" w14:textId="22A4F0CA" w:rsidR="00A5063E" w:rsidRDefault="00A5063E" w:rsidP="00A5063E">
      <w:pPr>
        <w:pStyle w:val="ListParagraph"/>
        <w:numPr>
          <w:ilvl w:val="0"/>
          <w:numId w:val="28"/>
        </w:numPr>
        <w:rPr>
          <w:lang w:val="en-US"/>
        </w:rPr>
      </w:pPr>
      <w:r w:rsidRPr="00A5063E">
        <w:rPr>
          <w:lang w:val="en-US"/>
        </w:rPr>
        <w:t>Transmission is scheduled only in Band X.  NS_xx emission requirements apply</w:t>
      </w:r>
      <w:r>
        <w:rPr>
          <w:lang w:val="en-US"/>
        </w:rPr>
        <w:t xml:space="preserve"> and A-MPR associated with NS_xx is allowed.</w:t>
      </w:r>
      <w:r w:rsidR="00607B6A">
        <w:rPr>
          <w:lang w:val="en-US"/>
        </w:rPr>
        <w:t xml:space="preserve">  NS_xx might be NS_01 if no additional requirements are applicable.</w:t>
      </w:r>
    </w:p>
    <w:p w14:paraId="2A96894E" w14:textId="23B9FFE0" w:rsidR="00A5063E" w:rsidRDefault="00A5063E" w:rsidP="00A5063E">
      <w:pPr>
        <w:pStyle w:val="ListParagraph"/>
        <w:numPr>
          <w:ilvl w:val="0"/>
          <w:numId w:val="28"/>
        </w:numPr>
        <w:rPr>
          <w:lang w:val="en-US"/>
        </w:rPr>
      </w:pPr>
      <w:r>
        <w:rPr>
          <w:lang w:val="en-US"/>
        </w:rPr>
        <w:t>Transmission is scheduled only in Band Y.</w:t>
      </w:r>
      <w:r w:rsidRPr="00A5063E">
        <w:rPr>
          <w:lang w:val="en-US"/>
        </w:rPr>
        <w:t xml:space="preserve"> </w:t>
      </w:r>
      <w:r>
        <w:rPr>
          <w:lang w:val="en-US"/>
        </w:rPr>
        <w:t xml:space="preserve"> </w:t>
      </w:r>
      <w:r w:rsidRPr="00A5063E">
        <w:rPr>
          <w:lang w:val="en-US"/>
        </w:rPr>
        <w:t>NS_</w:t>
      </w:r>
      <w:r>
        <w:rPr>
          <w:lang w:val="en-US"/>
        </w:rPr>
        <w:t>yy</w:t>
      </w:r>
      <w:r w:rsidRPr="00A5063E">
        <w:rPr>
          <w:lang w:val="en-US"/>
        </w:rPr>
        <w:t xml:space="preserve"> emission requirements apply</w:t>
      </w:r>
      <w:r>
        <w:rPr>
          <w:lang w:val="en-US"/>
        </w:rPr>
        <w:t xml:space="preserve"> and A-MPR associated with NS_yy is allowed.</w:t>
      </w:r>
      <w:r w:rsidR="00607B6A">
        <w:rPr>
          <w:lang w:val="en-US"/>
        </w:rPr>
        <w:t xml:space="preserve">  NS_yy might be NS_01 if no additional requirements are applicable.</w:t>
      </w:r>
    </w:p>
    <w:p w14:paraId="0570E62B" w14:textId="12BD3F26" w:rsidR="00A5063E" w:rsidRPr="00A5063E" w:rsidRDefault="00A5063E" w:rsidP="00A5063E">
      <w:pPr>
        <w:pStyle w:val="ListParagraph"/>
        <w:numPr>
          <w:ilvl w:val="0"/>
          <w:numId w:val="28"/>
        </w:numPr>
        <w:rPr>
          <w:lang w:val="en-US"/>
        </w:rPr>
      </w:pPr>
      <w:r>
        <w:rPr>
          <w:lang w:val="en-US"/>
        </w:rPr>
        <w:t>Transmission is schedule</w:t>
      </w:r>
      <w:r w:rsidR="00607B6A">
        <w:rPr>
          <w:lang w:val="en-US"/>
        </w:rPr>
        <w:t>d</w:t>
      </w:r>
      <w:r>
        <w:rPr>
          <w:lang w:val="en-US"/>
        </w:rPr>
        <w:t xml:space="preserve"> simultaneously for X+Y.</w:t>
      </w:r>
    </w:p>
    <w:p w14:paraId="68F870AF" w14:textId="0C2C1555" w:rsidR="00607B6A" w:rsidRDefault="00A5063E" w:rsidP="00FB4C5F">
      <w:pPr>
        <w:rPr>
          <w:lang w:val="en-US"/>
        </w:rPr>
      </w:pPr>
      <w:r>
        <w:rPr>
          <w:lang w:val="en-US"/>
        </w:rPr>
        <w:lastRenderedPageBreak/>
        <w:t xml:space="preserve">For case 3 with X+Y transmission, there will be </w:t>
      </w:r>
      <w:r w:rsidR="001E1E42">
        <w:rPr>
          <w:lang w:val="en-US"/>
        </w:rPr>
        <w:t xml:space="preserve">contributions to </w:t>
      </w:r>
      <w:r>
        <w:rPr>
          <w:lang w:val="en-US"/>
        </w:rPr>
        <w:t xml:space="preserve">spurious products from Band X alone, from Band Y alone, and from the joint transmission of X+Y.  In general, it is not </w:t>
      </w:r>
      <w:r w:rsidR="00401EAC">
        <w:rPr>
          <w:lang w:val="en-US"/>
        </w:rPr>
        <w:t xml:space="preserve">possible to separate these.  </w:t>
      </w:r>
      <w:r w:rsidR="001E1E42">
        <w:rPr>
          <w:lang w:val="en-US"/>
        </w:rPr>
        <w:t>Hence, it might be reasonable to assume that the union of requirements between NS_xx and NS_yy should apply.  Moreover, where two requirements overlap, it would be safest to assume that the stricter of the two requirements apply.</w:t>
      </w:r>
      <w:r w:rsidR="00607B6A">
        <w:rPr>
          <w:lang w:val="en-US"/>
        </w:rPr>
        <w:t xml:space="preserve">  For A-MPR, each band is allowed power backoff according to its respective NS.  In case this per-band backoff is insufficient to suppress spurious products generated by X+Y transmission, then a new A-MPR mechanism may be required.  This unfortunately places additional burden on the UE that seeks to reduce its actual A-MPR usage compared to what is allowed by the specifications.  The UE must now check A-MPR against single carrier requirements, but also all possible CA/DC emission requirements as well.  The outcome may be that the UE </w:t>
      </w:r>
      <w:r w:rsidR="00D82CFB">
        <w:rPr>
          <w:lang w:val="en-US"/>
        </w:rPr>
        <w:t>vendor will be disincentivized to pursue A-MPR optimization since many more conditions need to be checked with greater risk of failing emissions.</w:t>
      </w:r>
    </w:p>
    <w:p w14:paraId="06DB12AF" w14:textId="1897FA93" w:rsidR="00C531FD" w:rsidRPr="00734AE2" w:rsidRDefault="00D82CFB" w:rsidP="00734AE2">
      <w:pPr>
        <w:rPr>
          <w:lang w:val="en-US"/>
        </w:rPr>
      </w:pPr>
      <w:r>
        <w:rPr>
          <w:lang w:val="en-US"/>
        </w:rPr>
        <w:t>Even with this interpretation of NS applicability, the problem described above regard</w:t>
      </w:r>
      <w:r w:rsidR="00CB7AE5">
        <w:rPr>
          <w:lang w:val="en-US"/>
        </w:rPr>
        <w:t>ing</w:t>
      </w:r>
      <w:r>
        <w:rPr>
          <w:lang w:val="en-US"/>
        </w:rPr>
        <w:t xml:space="preserve"> CBRS emission requirements is still present for case 3.  For case 2, when transmission is only scheduled on Band Y, then the problem is not present (assuming NS_xx is NS_27) since NS_xx does not apply.  However, for case 3 with transmission on X+Y, the union of NS_xx and NS_yy suggests that -40 dBm/MHz needs to be met.  </w:t>
      </w:r>
      <w:r w:rsidR="00734AE2">
        <w:rPr>
          <w:lang w:val="en-US"/>
        </w:rPr>
        <w:t>It is proposed to clarify with the regulator how the rules should be interpreted in case of joint transmission.  One possible but undesirable outcome would be to disallow simultaneous X+Y transmission.</w:t>
      </w:r>
    </w:p>
    <w:p w14:paraId="3F8BEA58" w14:textId="180B23A4" w:rsidR="009C37D0" w:rsidRDefault="00FA01C7" w:rsidP="009C37D0">
      <w:pPr>
        <w:pStyle w:val="Heading1"/>
        <w:tabs>
          <w:tab w:val="clear" w:pos="432"/>
          <w:tab w:val="num" w:pos="522"/>
        </w:tabs>
        <w:ind w:left="522" w:hanging="522"/>
        <w:rPr>
          <w:lang w:val="en-US"/>
        </w:rPr>
      </w:pPr>
      <w:r>
        <w:rPr>
          <w:lang w:val="en-US"/>
        </w:rPr>
        <w:t>Conclusion</w:t>
      </w:r>
    </w:p>
    <w:p w14:paraId="6F066C5E" w14:textId="7FD1E3EC" w:rsidR="00324340" w:rsidRDefault="00AC025D" w:rsidP="00205BB2">
      <w:pPr>
        <w:rPr>
          <w:lang w:val="en-US"/>
        </w:rPr>
      </w:pPr>
      <w:r>
        <w:rPr>
          <w:lang w:val="en-US"/>
        </w:rPr>
        <w:t>In this contribution, it has been proposed to reconsider the agreement reached at the prior meeting on the applicability of NS requirements when the UE is configured for UL CA or DC.  It is proposed that the NS requirements should only apply for the band in which they are signaled, at least in the case where transmission is only scheduled for one band.  When transmission is scheduled for both bands simultaneously, then it may be necessary to jointly impose the requirements from NS’s signaled in both bands.  However, details for this case (X+Y transmission) are yet to be resolved including whether 2UL IM and mixing products necessitate a new A-MPR for inter-band CA or DC, whether the emission requirements apply in the passband of the fundamental, sidelobes, and harmonics of the alternate band, etc.  In all cases, regulations are to be followed, but clarification of the regulations may be helpful.</w:t>
      </w:r>
    </w:p>
    <w:p w14:paraId="573D8992" w14:textId="77777777" w:rsidR="00FA23B9" w:rsidRDefault="00FA23B9" w:rsidP="00FA23B9">
      <w:pPr>
        <w:rPr>
          <w:b/>
          <w:bCs/>
          <w:lang w:val="en-US"/>
        </w:rPr>
      </w:pPr>
      <w:r w:rsidRPr="00C531FD">
        <w:rPr>
          <w:b/>
          <w:bCs/>
          <w:lang w:val="en-US"/>
        </w:rPr>
        <w:t>Proposal:  Revert the agreement from [2].  NS emission requirements only apply for the band in which they are signaled.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9EEF9D2" w14:textId="79D34F15" w:rsidR="005D6D2B" w:rsidRDefault="005D6D2B" w:rsidP="001219FC">
      <w:pPr>
        <w:numPr>
          <w:ilvl w:val="0"/>
          <w:numId w:val="2"/>
        </w:numPr>
        <w:tabs>
          <w:tab w:val="left" w:pos="1080"/>
        </w:tabs>
        <w:rPr>
          <w:lang w:val="en-US" w:eastAsia="x-none"/>
        </w:rPr>
      </w:pPr>
      <w:bookmarkStart w:id="0" w:name="_Hlk859252"/>
      <w:r>
        <w:rPr>
          <w:lang w:val="en-US" w:eastAsia="x-none"/>
        </w:rPr>
        <w:t>R4-2101005, “</w:t>
      </w:r>
      <w:r w:rsidRPr="005D6D2B">
        <w:rPr>
          <w:lang w:val="en-US" w:eastAsia="x-none"/>
        </w:rPr>
        <w:t>On applicability of additional emission requirement to CA/DC</w:t>
      </w:r>
      <w:r>
        <w:rPr>
          <w:lang w:val="en-US" w:eastAsia="x-none"/>
        </w:rPr>
        <w:t>,” SoftBank Corp.</w:t>
      </w:r>
    </w:p>
    <w:p w14:paraId="22FDA171" w14:textId="49A3C3F8" w:rsidR="002501EB" w:rsidRDefault="00483E05" w:rsidP="001219FC">
      <w:pPr>
        <w:numPr>
          <w:ilvl w:val="0"/>
          <w:numId w:val="2"/>
        </w:numPr>
        <w:tabs>
          <w:tab w:val="left" w:pos="1080"/>
        </w:tabs>
        <w:rPr>
          <w:lang w:val="en-US" w:eastAsia="x-none"/>
        </w:rPr>
      </w:pPr>
      <w:r>
        <w:rPr>
          <w:lang w:val="en-US" w:eastAsia="x-none"/>
        </w:rPr>
        <w:t>R</w:t>
      </w:r>
      <w:r w:rsidR="002501EB">
        <w:rPr>
          <w:lang w:val="en-US" w:eastAsia="x-none"/>
        </w:rPr>
        <w:t>4</w:t>
      </w:r>
      <w:r w:rsidR="008F11DF">
        <w:rPr>
          <w:lang w:val="en-US" w:eastAsia="x-none"/>
        </w:rPr>
        <w:t>-2</w:t>
      </w:r>
      <w:r w:rsidR="002501EB">
        <w:rPr>
          <w:lang w:val="en-US" w:eastAsia="x-none"/>
        </w:rPr>
        <w:t>103120</w:t>
      </w:r>
      <w:r w:rsidR="008F11DF">
        <w:rPr>
          <w:lang w:val="en-US" w:eastAsia="x-none"/>
        </w:rPr>
        <w:t>, “</w:t>
      </w:r>
      <w:r w:rsidR="002501EB">
        <w:rPr>
          <w:lang w:val="en-US" w:eastAsia="x-none"/>
        </w:rPr>
        <w:t>WF on additional emission requirements for CA/DC,” SoftBank</w:t>
      </w:r>
    </w:p>
    <w:p w14:paraId="2AA1D876" w14:textId="3BD8E61D" w:rsidR="009F5421" w:rsidRDefault="009F5421" w:rsidP="001219FC">
      <w:pPr>
        <w:numPr>
          <w:ilvl w:val="0"/>
          <w:numId w:val="2"/>
        </w:numPr>
        <w:tabs>
          <w:tab w:val="left" w:pos="1080"/>
        </w:tabs>
        <w:rPr>
          <w:lang w:val="en-US" w:eastAsia="x-none"/>
        </w:rPr>
      </w:pPr>
      <w:r>
        <w:rPr>
          <w:lang w:val="en-US" w:eastAsia="x-none"/>
        </w:rPr>
        <w:t>R4-2103292, “Email discussion summary for [98e][102] NR_NewRAT_UE_RF_Part_1,” Moderator (Nokia)</w:t>
      </w:r>
      <w:bookmarkEnd w:id="0"/>
    </w:p>
    <w:sectPr w:rsidR="009F5421"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4F6B0" w14:textId="77777777" w:rsidR="002D5348" w:rsidRDefault="002D5348">
      <w:r>
        <w:separator/>
      </w:r>
    </w:p>
  </w:endnote>
  <w:endnote w:type="continuationSeparator" w:id="0">
    <w:p w14:paraId="50205EC7" w14:textId="77777777" w:rsidR="002D5348" w:rsidRDefault="002D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F4F41" w14:textId="77777777" w:rsidR="002D5348" w:rsidRDefault="002D5348">
      <w:r>
        <w:separator/>
      </w:r>
    </w:p>
  </w:footnote>
  <w:footnote w:type="continuationSeparator" w:id="0">
    <w:p w14:paraId="3EAA7A48" w14:textId="77777777" w:rsidR="002D5348" w:rsidRDefault="002D5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CC27E4"/>
    <w:multiLevelType w:val="hybridMultilevel"/>
    <w:tmpl w:val="46744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F3F26"/>
    <w:multiLevelType w:val="hybridMultilevel"/>
    <w:tmpl w:val="8C3C4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910A8B"/>
    <w:multiLevelType w:val="hybridMultilevel"/>
    <w:tmpl w:val="4FD61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21"/>
  </w:num>
  <w:num w:numId="4">
    <w:abstractNumId w:val="24"/>
  </w:num>
  <w:num w:numId="5">
    <w:abstractNumId w:val="17"/>
  </w:num>
  <w:num w:numId="6">
    <w:abstractNumId w:val="6"/>
  </w:num>
  <w:num w:numId="7">
    <w:abstractNumId w:val="2"/>
  </w:num>
  <w:num w:numId="8">
    <w:abstractNumId w:val="19"/>
  </w:num>
  <w:num w:numId="9">
    <w:abstractNumId w:val="7"/>
  </w:num>
  <w:num w:numId="10">
    <w:abstractNumId w:val="15"/>
  </w:num>
  <w:num w:numId="11">
    <w:abstractNumId w:val="26"/>
  </w:num>
  <w:num w:numId="12">
    <w:abstractNumId w:val="5"/>
  </w:num>
  <w:num w:numId="13">
    <w:abstractNumId w:val="14"/>
  </w:num>
  <w:num w:numId="14">
    <w:abstractNumId w:val="3"/>
  </w:num>
  <w:num w:numId="15">
    <w:abstractNumId w:val="13"/>
  </w:num>
  <w:num w:numId="16">
    <w:abstractNumId w:val="2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8"/>
  </w:num>
  <w:num w:numId="23">
    <w:abstractNumId w:val="16"/>
  </w:num>
  <w:num w:numId="24">
    <w:abstractNumId w:val="22"/>
  </w:num>
  <w:num w:numId="25">
    <w:abstractNumId w:val="23"/>
  </w:num>
  <w:num w:numId="26">
    <w:abstractNumId w:val="20"/>
  </w:num>
  <w:num w:numId="27">
    <w:abstractNumId w:val="9"/>
  </w:num>
  <w:num w:numId="2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7A3"/>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2A7A"/>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1E42"/>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4C6"/>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1EB"/>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348"/>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78D"/>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1CE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C0E"/>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1EAC"/>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2A81"/>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D90"/>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FB9"/>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5F4"/>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359"/>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D2B"/>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07B6A"/>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97E"/>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644"/>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989"/>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0B2"/>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AE2"/>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574"/>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5DF"/>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5C9"/>
    <w:rsid w:val="008C0BFD"/>
    <w:rsid w:val="008C10DA"/>
    <w:rsid w:val="008C12C5"/>
    <w:rsid w:val="008C23A2"/>
    <w:rsid w:val="008C23BB"/>
    <w:rsid w:val="008C242D"/>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67E84"/>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6D6A"/>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421"/>
    <w:rsid w:val="009F5E15"/>
    <w:rsid w:val="009F603A"/>
    <w:rsid w:val="009F6649"/>
    <w:rsid w:val="009F7216"/>
    <w:rsid w:val="009F7497"/>
    <w:rsid w:val="00A00386"/>
    <w:rsid w:val="00A0082C"/>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6D41"/>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63E"/>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3FA"/>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025D"/>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61E"/>
    <w:rsid w:val="00C50D18"/>
    <w:rsid w:val="00C517EC"/>
    <w:rsid w:val="00C51949"/>
    <w:rsid w:val="00C51D53"/>
    <w:rsid w:val="00C52110"/>
    <w:rsid w:val="00C524A8"/>
    <w:rsid w:val="00C52ABA"/>
    <w:rsid w:val="00C52CCA"/>
    <w:rsid w:val="00C531FD"/>
    <w:rsid w:val="00C53F79"/>
    <w:rsid w:val="00C541D2"/>
    <w:rsid w:val="00C542DD"/>
    <w:rsid w:val="00C546CB"/>
    <w:rsid w:val="00C5497A"/>
    <w:rsid w:val="00C55E50"/>
    <w:rsid w:val="00C56370"/>
    <w:rsid w:val="00C571F6"/>
    <w:rsid w:val="00C5751B"/>
    <w:rsid w:val="00C60DE1"/>
    <w:rsid w:val="00C6124F"/>
    <w:rsid w:val="00C615C8"/>
    <w:rsid w:val="00C61B32"/>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591"/>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6FF"/>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AE5"/>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A"/>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026"/>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6F4"/>
    <w:rsid w:val="00D82889"/>
    <w:rsid w:val="00D82950"/>
    <w:rsid w:val="00D82B34"/>
    <w:rsid w:val="00D82BB3"/>
    <w:rsid w:val="00D82CFB"/>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75D"/>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3EDA"/>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452"/>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23B9"/>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5F"/>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2021-05-11T15:52:00Z</dcterms:created>
  <dcterms:modified xsi:type="dcterms:W3CDTF">2021-05-11T15:52:00Z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