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6"/>
      <w:bookmarkStart w:id="1" w:name="OLE_LINK5"/>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WG4 Meeting # 9</w:t>
      </w:r>
      <w:r>
        <w:rPr>
          <w:rFonts w:hint="eastAsia" w:ascii="Arial" w:hAnsi="Arial" w:eastAsia="宋体" w:cs="Times New Roman"/>
          <w:b/>
          <w:sz w:val="24"/>
          <w:szCs w:val="20"/>
          <w:lang w:val="en-US" w:eastAsia="zh-CN"/>
        </w:rPr>
        <w:t>9-e</w:t>
      </w:r>
      <w:r>
        <w:rPr>
          <w:rFonts w:ascii="Arial" w:hAnsi="Arial" w:eastAsia="宋体" w:cs="Times New Roman"/>
          <w:b/>
          <w:sz w:val="24"/>
          <w:szCs w:val="20"/>
          <w:lang w:val="en-GB"/>
        </w:rPr>
        <w:t xml:space="preserv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R4-2110606</w:t>
      </w:r>
      <w:bookmarkStart w:id="4" w:name="_GoBack"/>
      <w:bookmarkEnd w:id="4"/>
    </w:p>
    <w:bookmarkEnd w:id="0"/>
    <w:bookmarkEnd w:id="1"/>
    <w:p>
      <w:pPr>
        <w:rPr>
          <w:rFonts w:ascii="Arial" w:hAnsi="Arial" w:eastAsia="宋体" w:cs="Times New Roman"/>
          <w:b/>
          <w:bCs/>
          <w:sz w:val="24"/>
          <w:szCs w:val="20"/>
          <w:lang w:val="en-GB" w:eastAsia="ja-JP"/>
        </w:rPr>
      </w:pPr>
      <w:r>
        <w:rPr>
          <w:rFonts w:hint="eastAsia" w:ascii="Arial" w:hAnsi="Arial" w:cs="Arial"/>
          <w:b/>
          <w:sz w:val="24"/>
          <w:szCs w:val="24"/>
        </w:rPr>
        <w:t>E-meeting,</w:t>
      </w:r>
      <w:r>
        <w:rPr>
          <w:rFonts w:hint="eastAsia" w:ascii="Arial" w:hAnsi="Arial" w:cs="Arial"/>
          <w:b/>
          <w:sz w:val="24"/>
          <w:szCs w:val="24"/>
          <w:lang w:val="en-US" w:eastAsia="zh-CN"/>
        </w:rPr>
        <w:t>19</w:t>
      </w:r>
      <w:r>
        <w:rPr>
          <w:rFonts w:hint="eastAsia" w:ascii="Arial" w:hAnsi="Arial" w:cs="Arial"/>
          <w:b/>
          <w:sz w:val="24"/>
          <w:szCs w:val="24"/>
          <w:vertAlign w:val="superscript"/>
        </w:rPr>
        <w:t>th</w:t>
      </w:r>
      <w:r>
        <w:rPr>
          <w:rFonts w:hint="eastAsia" w:ascii="Arial" w:hAnsi="Arial" w:cs="Arial"/>
          <w:b/>
          <w:sz w:val="24"/>
          <w:szCs w:val="24"/>
          <w:vertAlign w:val="superscript"/>
          <w:lang w:val="en-US" w:eastAsia="zh-CN"/>
        </w:rPr>
        <w:t xml:space="preserve"> </w:t>
      </w:r>
      <w:r>
        <w:rPr>
          <w:rFonts w:hint="eastAsia" w:ascii="Arial" w:hAnsi="Arial" w:cs="Arial"/>
          <w:b/>
          <w:sz w:val="24"/>
          <w:szCs w:val="24"/>
          <w:lang w:val="en-US" w:eastAsia="zh-CN"/>
        </w:rPr>
        <w:t>May</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27</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eastAsia="zh-CN"/>
        </w:rPr>
        <w:t>May</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21</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6</w:t>
      </w:r>
      <w:r>
        <w:rPr>
          <w:rFonts w:hint="eastAsia" w:ascii="Arial" w:hAnsi="Arial" w:cs="Arial"/>
          <w:b/>
          <w:sz w:val="24"/>
          <w:szCs w:val="24"/>
        </w:rPr>
        <w:t>.</w:t>
      </w:r>
      <w:r>
        <w:rPr>
          <w:rFonts w:hint="eastAsia" w:ascii="Arial" w:hAnsi="Arial" w:cs="Arial"/>
          <w:b/>
          <w:sz w:val="24"/>
          <w:szCs w:val="24"/>
          <w:lang w:val="en-US" w:eastAsia="zh-CN"/>
        </w:rPr>
        <w:t>2.1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Initial simulation results for NR 1024QAM</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eastAsia="宋体" w:cs="Arial"/>
          <w:b/>
          <w:sz w:val="24"/>
          <w:szCs w:val="24"/>
          <w:lang w:val="en-US" w:eastAsia="zh-CN"/>
        </w:rPr>
        <w:t>Approval</w:t>
      </w:r>
      <w:r>
        <w:rPr>
          <w:rFonts w:hint="eastAsia" w:ascii="Arial" w:hAnsi="Arial" w:cs="Arial"/>
          <w:b/>
          <w:sz w:val="24"/>
          <w:szCs w:val="24"/>
        </w:rPr>
        <w:t xml:space="preserve">  </w:t>
      </w:r>
    </w:p>
    <w:p>
      <w:pPr>
        <w:pStyle w:val="31"/>
        <w:ind w:left="357" w:hanging="357"/>
      </w:pPr>
      <w:r>
        <w:t>Background</w:t>
      </w:r>
    </w:p>
    <w:p>
      <w:pPr>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cs="Times New Roman" w:eastAsiaTheme="minorEastAsia"/>
          <w:lang w:val="en-US" w:eastAsia="zh-CN"/>
        </w:rPr>
      </w:pPr>
      <w:r>
        <w:rPr>
          <w:rFonts w:hint="default" w:ascii="Times New Roman" w:hAnsi="Times New Roman" w:cs="Times New Roman"/>
          <w:sz w:val="20"/>
          <w:szCs w:val="20"/>
          <w:lang w:val="en-US" w:eastAsia="zh-CN"/>
        </w:rPr>
        <w:t xml:space="preserve">In </w:t>
      </w:r>
      <w:r>
        <w:rPr>
          <w:rFonts w:hint="eastAsia" w:ascii="Times New Roman" w:hAnsi="Times New Roman" w:cs="Times New Roman"/>
          <w:sz w:val="20"/>
          <w:szCs w:val="20"/>
          <w:lang w:val="en-US" w:eastAsia="zh-CN"/>
        </w:rPr>
        <w:t xml:space="preserve">the previous RAN4 meetings, there were initial discussions on the simulation study for NR 1024QAM to investigate the reasonable EVM requirements. In this contribution, we want to share some initial simulation results for further discussion. </w:t>
      </w:r>
    </w:p>
    <w:p>
      <w:pPr>
        <w:pStyle w:val="31"/>
        <w:ind w:left="357" w:hanging="357"/>
      </w:pPr>
      <w:r>
        <w:rPr>
          <w:rFonts w:hint="eastAsia"/>
          <w:lang w:val="en-US" w:eastAsia="zh-CN"/>
        </w:rPr>
        <w:t>Discussion</w:t>
      </w:r>
    </w:p>
    <w:p>
      <w:pPr>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Simulation assumptions are listed in the following Table 1.</w:t>
      </w:r>
    </w:p>
    <w:p>
      <w:pPr>
        <w:pBdr>
          <w:top w:val="none" w:color="auto" w:sz="0" w:space="0"/>
          <w:left w:val="none" w:color="auto" w:sz="0" w:space="0"/>
          <w:bottom w:val="none" w:color="auto" w:sz="0" w:space="0"/>
          <w:right w:val="none" w:color="auto" w:sz="0" w:space="0"/>
          <w:between w:val="none" w:color="auto" w:sz="0" w:space="0"/>
        </w:pBd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Table 1. simulation assumption for NR 1024QAM vs 256QAM</w:t>
      </w:r>
    </w:p>
    <w:tbl>
      <w:tblPr>
        <w:tblStyle w:val="12"/>
        <w:tblW w:w="4998" w:type="pct"/>
        <w:jc w:val="center"/>
        <w:tblLayout w:type="fixed"/>
        <w:tblCellMar>
          <w:top w:w="0" w:type="dxa"/>
          <w:left w:w="0" w:type="dxa"/>
          <w:bottom w:w="0" w:type="dxa"/>
          <w:right w:w="0" w:type="dxa"/>
        </w:tblCellMar>
      </w:tblPr>
      <w:tblGrid>
        <w:gridCol w:w="3417"/>
        <w:gridCol w:w="6433"/>
      </w:tblGrid>
      <w:tr>
        <w:tblPrEx>
          <w:tblCellMar>
            <w:top w:w="0" w:type="dxa"/>
            <w:left w:w="0" w:type="dxa"/>
            <w:bottom w:w="0" w:type="dxa"/>
            <w:right w:w="0" w:type="dxa"/>
          </w:tblCellMar>
        </w:tblPrEx>
        <w:trPr>
          <w:trHeight w:val="177" w:hRule="atLeast"/>
          <w:jc w:val="center"/>
        </w:trPr>
        <w:tc>
          <w:tcPr>
            <w:tcW w:w="1734" w:type="pct"/>
            <w:tcBorders>
              <w:top w:val="double" w:color="000000" w:sz="6" w:space="0"/>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jc w:val="both"/>
              <w:rPr>
                <w:rFonts w:ascii="Arial" w:hAnsi="Arial" w:cs="Arial"/>
                <w:b/>
                <w:bCs/>
                <w:caps/>
                <w:szCs w:val="20"/>
                <w:lang w:val="en-GB"/>
              </w:rPr>
            </w:pPr>
            <w:r>
              <w:rPr>
                <w:rFonts w:ascii="Arial" w:hAnsi="Arial" w:cs="Arial"/>
                <w:b/>
                <w:bCs/>
                <w:caps/>
                <w:lang w:val="en-GB"/>
              </w:rPr>
              <w:t>Parameter</w:t>
            </w:r>
          </w:p>
        </w:tc>
        <w:tc>
          <w:tcPr>
            <w:tcW w:w="3265" w:type="pct"/>
            <w:tcBorders>
              <w:top w:val="double" w:color="000000" w:sz="6" w:space="0"/>
              <w:left w:val="nil"/>
              <w:bottom w:val="single" w:color="000000" w:sz="8" w:space="0"/>
              <w:right w:val="double" w:color="000000" w:sz="6" w:space="0"/>
            </w:tcBorders>
            <w:noWrap w:val="0"/>
            <w:tcMar>
              <w:top w:w="0" w:type="dxa"/>
              <w:left w:w="108" w:type="dxa"/>
              <w:bottom w:w="0" w:type="dxa"/>
              <w:right w:w="108" w:type="dxa"/>
            </w:tcMar>
            <w:vAlign w:val="top"/>
          </w:tcPr>
          <w:p>
            <w:pPr>
              <w:snapToGrid w:val="0"/>
              <w:jc w:val="both"/>
              <w:rPr>
                <w:rFonts w:ascii="Arial" w:hAnsi="Arial" w:cs="Arial"/>
                <w:b/>
                <w:bCs/>
                <w:caps/>
                <w:sz w:val="24"/>
                <w:lang w:val="en-GB"/>
              </w:rPr>
            </w:pPr>
            <w:r>
              <w:rPr>
                <w:rFonts w:ascii="Arial" w:hAnsi="Arial" w:cs="Arial"/>
                <w:b/>
                <w:bCs/>
                <w:caps/>
                <w:lang w:val="en-GB"/>
              </w:rPr>
              <w:t>Value</w:t>
            </w:r>
          </w:p>
        </w:tc>
      </w:tr>
      <w:tr>
        <w:tblPrEx>
          <w:tblCellMar>
            <w:top w:w="0" w:type="dxa"/>
            <w:left w:w="0" w:type="dxa"/>
            <w:bottom w:w="0" w:type="dxa"/>
            <w:right w:w="0" w:type="dxa"/>
          </w:tblCellMar>
        </w:tblPrEx>
        <w:trPr>
          <w:trHeight w:val="119"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lang w:val="en-GB"/>
              </w:rPr>
            </w:pPr>
            <w:r>
              <w:rPr>
                <w:rFonts w:hint="default" w:ascii="Times New Roman" w:hAnsi="Times New Roman" w:cs="Times New Roman"/>
                <w:lang w:val="en-GB"/>
              </w:rPr>
              <w:t>Carrier frequency, SCS, System BW</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color w:val="auto"/>
                <w:lang w:val="en-GB"/>
              </w:rPr>
            </w:pPr>
            <w:r>
              <w:rPr>
                <w:rFonts w:hint="default" w:ascii="Times New Roman" w:hAnsi="Times New Roman" w:cs="Times New Roman"/>
                <w:color w:val="auto"/>
                <w:lang w:val="en-GB"/>
              </w:rPr>
              <w:t xml:space="preserve">3.5GHz, 30kHz, 100 MHz </w:t>
            </w:r>
          </w:p>
        </w:tc>
      </w:tr>
      <w:tr>
        <w:tblPrEx>
          <w:tblCellMar>
            <w:top w:w="0" w:type="dxa"/>
            <w:left w:w="0" w:type="dxa"/>
            <w:bottom w:w="0" w:type="dxa"/>
            <w:right w:w="0" w:type="dxa"/>
          </w:tblCellMar>
        </w:tblPrEx>
        <w:trPr>
          <w:trHeight w:val="63"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lang w:val="en-GB"/>
              </w:rPr>
            </w:pPr>
            <w:r>
              <w:rPr>
                <w:rFonts w:hint="default" w:ascii="Times New Roman" w:hAnsi="Times New Roman" w:cs="Times New Roman"/>
                <w:lang w:val="en-GB"/>
              </w:rPr>
              <w:t>Channel model</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color w:val="auto"/>
                <w:highlight w:val="none"/>
                <w:lang w:val="en-GB"/>
              </w:rPr>
            </w:pPr>
            <w:r>
              <w:rPr>
                <w:rFonts w:hint="default" w:ascii="Times New Roman" w:hAnsi="Times New Roman" w:cs="Times New Roman"/>
                <w:color w:val="auto"/>
                <w:highlight w:val="none"/>
                <w:lang w:val="en-US" w:eastAsia="zh-CN"/>
              </w:rPr>
              <w:t>T</w:t>
            </w:r>
            <w:r>
              <w:rPr>
                <w:rFonts w:hint="default" w:ascii="Times New Roman" w:hAnsi="Times New Roman" w:cs="Times New Roman"/>
                <w:color w:val="auto"/>
                <w:highlight w:val="none"/>
                <w:lang w:val="en-GB"/>
              </w:rPr>
              <w:t>DL-</w:t>
            </w:r>
            <w:r>
              <w:rPr>
                <w:rFonts w:hint="default" w:ascii="Times New Roman" w:hAnsi="Times New Roman" w:cs="Times New Roman"/>
                <w:color w:val="auto"/>
                <w:highlight w:val="none"/>
                <w:lang w:val="en-US" w:eastAsia="zh-CN"/>
              </w:rPr>
              <w:t>A</w:t>
            </w:r>
            <w:r>
              <w:rPr>
                <w:rFonts w:hint="default" w:ascii="Times New Roman" w:hAnsi="Times New Roman" w:cs="Times New Roman"/>
                <w:color w:val="auto"/>
                <w:highlight w:val="none"/>
                <w:lang w:val="en-GB"/>
              </w:rPr>
              <w:t xml:space="preserve"> or </w:t>
            </w:r>
            <w:r>
              <w:rPr>
                <w:rFonts w:hint="default" w:ascii="Times New Roman" w:hAnsi="Times New Roman" w:cs="Times New Roman"/>
                <w:color w:val="auto"/>
                <w:highlight w:val="none"/>
                <w:lang w:val="en-US" w:eastAsia="zh-CN"/>
              </w:rPr>
              <w:t>T</w:t>
            </w:r>
            <w:r>
              <w:rPr>
                <w:rFonts w:hint="default" w:ascii="Times New Roman" w:hAnsi="Times New Roman" w:cs="Times New Roman"/>
                <w:color w:val="auto"/>
                <w:highlight w:val="none"/>
                <w:lang w:val="en-GB"/>
              </w:rPr>
              <w:t>DL-</w:t>
            </w:r>
            <w:r>
              <w:rPr>
                <w:rFonts w:hint="default" w:ascii="Times New Roman" w:hAnsi="Times New Roman" w:cs="Times New Roman"/>
                <w:color w:val="auto"/>
                <w:highlight w:val="none"/>
                <w:lang w:val="en-US" w:eastAsia="zh-CN"/>
              </w:rPr>
              <w:t>D</w:t>
            </w:r>
            <w:r>
              <w:rPr>
                <w:rFonts w:hint="default" w:ascii="Times New Roman" w:hAnsi="Times New Roman" w:cs="Times New Roman"/>
                <w:color w:val="auto"/>
                <w:highlight w:val="none"/>
                <w:lang w:val="en-GB"/>
              </w:rPr>
              <w:t xml:space="preserve"> in TR 38</w:t>
            </w:r>
            <w:r>
              <w:rPr>
                <w:rFonts w:hint="default" w:ascii="Times New Roman" w:hAnsi="Times New Roman" w:cs="Times New Roman"/>
                <w:color w:val="auto"/>
                <w:highlight w:val="none"/>
                <w:lang w:val="en-US" w:eastAsia="zh-CN"/>
              </w:rPr>
              <w:t>.9</w:t>
            </w:r>
            <w:r>
              <w:rPr>
                <w:rFonts w:hint="default" w:ascii="Times New Roman" w:hAnsi="Times New Roman" w:cs="Times New Roman"/>
                <w:color w:val="auto"/>
                <w:highlight w:val="none"/>
                <w:lang w:val="en-GB"/>
              </w:rPr>
              <w:t xml:space="preserve">01 with up to 30ns delay spread </w:t>
            </w:r>
          </w:p>
        </w:tc>
      </w:tr>
      <w:tr>
        <w:tblPrEx>
          <w:tblCellMar>
            <w:top w:w="0" w:type="dxa"/>
            <w:left w:w="0" w:type="dxa"/>
            <w:bottom w:w="0" w:type="dxa"/>
            <w:right w:w="0" w:type="dxa"/>
          </w:tblCellMar>
        </w:tblPrEx>
        <w:trPr>
          <w:trHeight w:val="53"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lang w:val="en-GB"/>
              </w:rPr>
            </w:pPr>
            <w:r>
              <w:rPr>
                <w:rFonts w:hint="default" w:ascii="Times New Roman" w:hAnsi="Times New Roman" w:cs="Times New Roman"/>
                <w:lang w:val="en-GB"/>
              </w:rPr>
              <w:t>UE speed</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color w:val="auto"/>
                <w:lang w:val="en-GB"/>
              </w:rPr>
            </w:pPr>
            <w:r>
              <w:rPr>
                <w:rFonts w:hint="default" w:ascii="Times New Roman" w:hAnsi="Times New Roman" w:cs="Times New Roman"/>
                <w:color w:val="auto"/>
                <w:lang w:val="en-GB"/>
              </w:rPr>
              <w:t>0km/h</w:t>
            </w:r>
          </w:p>
        </w:tc>
      </w:tr>
      <w:tr>
        <w:tblPrEx>
          <w:tblCellMar>
            <w:top w:w="0" w:type="dxa"/>
            <w:left w:w="0" w:type="dxa"/>
            <w:bottom w:w="0" w:type="dxa"/>
            <w:right w:w="0" w:type="dxa"/>
          </w:tblCellMar>
        </w:tblPrEx>
        <w:trPr>
          <w:trHeight w:val="133"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lang w:val="en-GB"/>
              </w:rPr>
            </w:pPr>
            <w:r>
              <w:rPr>
                <w:rFonts w:hint="default" w:ascii="Times New Roman" w:hAnsi="Times New Roman" w:cs="Times New Roman"/>
                <w:lang w:val="en-GB"/>
              </w:rPr>
              <w:t xml:space="preserve">Number of UE antennas </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color w:val="auto"/>
                <w:highlight w:val="none"/>
                <w:lang w:val="en-GB"/>
              </w:rPr>
            </w:pPr>
            <w:r>
              <w:rPr>
                <w:rFonts w:hint="default" w:ascii="Times New Roman" w:hAnsi="Times New Roman" w:cs="Times New Roman"/>
                <w:color w:val="auto"/>
                <w:highlight w:val="none"/>
                <w:lang w:val="en-GB"/>
              </w:rPr>
              <w:t>1T4R</w:t>
            </w:r>
          </w:p>
        </w:tc>
      </w:tr>
      <w:tr>
        <w:tblPrEx>
          <w:tblCellMar>
            <w:top w:w="0" w:type="dxa"/>
            <w:left w:w="0" w:type="dxa"/>
            <w:bottom w:w="0" w:type="dxa"/>
            <w:right w:w="0" w:type="dxa"/>
          </w:tblCellMar>
        </w:tblPrEx>
        <w:trPr>
          <w:trHeight w:val="90"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lang w:val="en-GB"/>
              </w:rPr>
            </w:pPr>
            <w:r>
              <w:rPr>
                <w:rFonts w:hint="default" w:ascii="Times New Roman" w:hAnsi="Times New Roman" w:cs="Times New Roman"/>
                <w:lang w:val="en-GB"/>
              </w:rPr>
              <w:t>Number of gNB antennas</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color w:val="auto"/>
                <w:highlight w:val="none"/>
                <w:lang w:val="en-GB"/>
              </w:rPr>
            </w:pPr>
            <w:r>
              <w:rPr>
                <w:rFonts w:hint="default" w:ascii="Times New Roman" w:hAnsi="Times New Roman" w:cs="Times New Roman"/>
                <w:color w:val="auto"/>
                <w:highlight w:val="none"/>
                <w:lang w:val="en-US" w:eastAsia="zh-CN"/>
              </w:rPr>
              <w:t>1T</w:t>
            </w:r>
            <w:r>
              <w:rPr>
                <w:rFonts w:hint="default" w:ascii="Times New Roman" w:hAnsi="Times New Roman" w:cs="Times New Roman"/>
                <w:color w:val="auto"/>
                <w:highlight w:val="none"/>
                <w:lang w:val="en-GB"/>
              </w:rPr>
              <w:t xml:space="preserve"> or 2T</w:t>
            </w:r>
          </w:p>
        </w:tc>
      </w:tr>
      <w:tr>
        <w:tblPrEx>
          <w:tblCellMar>
            <w:top w:w="0" w:type="dxa"/>
            <w:left w:w="0" w:type="dxa"/>
            <w:bottom w:w="0" w:type="dxa"/>
            <w:right w:w="0" w:type="dxa"/>
          </w:tblCellMar>
        </w:tblPrEx>
        <w:trPr>
          <w:trHeight w:val="63"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lang w:val="en-GB"/>
              </w:rPr>
            </w:pPr>
            <w:r>
              <w:rPr>
                <w:rFonts w:hint="default" w:ascii="Times New Roman" w:hAnsi="Times New Roman" w:cs="Times New Roman"/>
                <w:lang w:val="en-GB"/>
              </w:rPr>
              <w:t>Tx EVM</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snapToGrid w:val="0"/>
              <w:jc w:val="both"/>
              <w:rPr>
                <w:rFonts w:hint="default" w:ascii="Times New Roman" w:hAnsi="Times New Roman" w:eastAsia="宋体" w:cs="Times New Roman"/>
                <w:lang w:val="en-US" w:eastAsia="zh-CN"/>
              </w:rPr>
            </w:pPr>
            <w:r>
              <w:rPr>
                <w:rFonts w:hint="default" w:ascii="Times New Roman" w:hAnsi="Times New Roman" w:cs="Times New Roman"/>
                <w:lang w:val="en-GB"/>
              </w:rPr>
              <w:t>2%</w:t>
            </w:r>
            <w:r>
              <w:rPr>
                <w:rFonts w:hint="default" w:ascii="Times New Roman" w:hAnsi="Times New Roman" w:cs="Times New Roman"/>
                <w:lang w:val="en-US" w:eastAsia="zh-CN"/>
              </w:rPr>
              <w:t>, 2.5%, 3%</w:t>
            </w:r>
          </w:p>
        </w:tc>
      </w:tr>
      <w:tr>
        <w:tblPrEx>
          <w:tblCellMar>
            <w:top w:w="0" w:type="dxa"/>
            <w:left w:w="0" w:type="dxa"/>
            <w:bottom w:w="0" w:type="dxa"/>
            <w:right w:w="0" w:type="dxa"/>
          </w:tblCellMar>
        </w:tblPrEx>
        <w:trPr>
          <w:trHeight w:val="100"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jc w:val="both"/>
              <w:rPr>
                <w:rFonts w:hint="default" w:ascii="Times New Roman" w:hAnsi="Times New Roman" w:cs="Times New Roman"/>
                <w:lang w:val="en-GB"/>
              </w:rPr>
            </w:pPr>
            <w:r>
              <w:rPr>
                <w:rFonts w:hint="default" w:ascii="Times New Roman" w:hAnsi="Times New Roman" w:cs="Times New Roman"/>
                <w:lang w:val="en-GB"/>
              </w:rPr>
              <w:t>Rx EVM</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snapToGrid w:val="0"/>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2%</w:t>
            </w:r>
            <w:r>
              <w:rPr>
                <w:rFonts w:hint="default" w:ascii="Times New Roman" w:hAnsi="Times New Roman" w:cs="Times New Roman"/>
                <w:lang w:val="en-GB"/>
              </w:rPr>
              <w:t>, 3%</w:t>
            </w:r>
            <w:r>
              <w:rPr>
                <w:rFonts w:hint="default" w:ascii="Times New Roman" w:hAnsi="Times New Roman" w:cs="Times New Roman"/>
                <w:lang w:val="en-US" w:eastAsia="zh-CN"/>
              </w:rPr>
              <w:t>, 4%</w:t>
            </w:r>
          </w:p>
        </w:tc>
      </w:tr>
      <w:tr>
        <w:tblPrEx>
          <w:tblCellMar>
            <w:top w:w="0" w:type="dxa"/>
            <w:left w:w="0" w:type="dxa"/>
            <w:bottom w:w="0" w:type="dxa"/>
            <w:right w:w="0" w:type="dxa"/>
          </w:tblCellMar>
        </w:tblPrEx>
        <w:trPr>
          <w:trHeight w:val="87"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rPr>
                <w:rFonts w:hint="default" w:ascii="Times New Roman" w:hAnsi="Times New Roman" w:cs="Times New Roman"/>
                <w:color w:val="auto"/>
                <w:lang w:val="en-GB"/>
              </w:rPr>
            </w:pPr>
            <w:r>
              <w:rPr>
                <w:rFonts w:hint="default" w:ascii="Times New Roman" w:hAnsi="Times New Roman" w:cs="Times New Roman"/>
                <w:color w:val="auto"/>
                <w:lang w:val="en-GB"/>
              </w:rPr>
              <w:t>MCS</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256QAM: MCS 24~26 in Table 5.1.3.1-2: MCS index table 2 for PDSCH</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1036"/>
              <w:gridCol w:w="1411"/>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141" w:type="dxa"/>
                  <w:tcBorders>
                    <w:top w:val="single" w:color="auto" w:sz="4" w:space="0"/>
                    <w:left w:val="double" w:color="auto" w:sz="4" w:space="0"/>
                    <w:bottom w:val="single" w:color="auto" w:sz="4" w:space="0"/>
                    <w:right w:val="single" w:color="auto" w:sz="4" w:space="0"/>
                  </w:tcBorders>
                  <w:vAlign w:val="center"/>
                </w:tcPr>
                <w:p>
                  <w:pPr>
                    <w:pStyle w:val="10"/>
                    <w:keepNext w:val="0"/>
                    <w:keepLines w:val="0"/>
                    <w:widowControl/>
                    <w:suppressLineNumbers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MCS index</w:t>
                  </w:r>
                </w:p>
              </w:tc>
              <w:tc>
                <w:tcPr>
                  <w:tcW w:w="1036" w:type="dxa"/>
                  <w:tcBorders>
                    <w:top w:val="single" w:color="auto" w:sz="4" w:space="0"/>
                    <w:left w:val="double" w:color="auto" w:sz="4" w:space="0"/>
                    <w:bottom w:val="single" w:color="auto" w:sz="4" w:space="0"/>
                    <w:right w:val="single" w:color="auto" w:sz="4" w:space="0"/>
                  </w:tcBorders>
                  <w:vAlign w:val="center"/>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rPr>
                    <w:t>modulation</w:t>
                  </w:r>
                </w:p>
              </w:tc>
              <w:tc>
                <w:tcPr>
                  <w:tcW w:w="1411" w:type="dxa"/>
                  <w:tcBorders>
                    <w:top w:val="single" w:color="auto" w:sz="4" w:space="0"/>
                    <w:left w:val="single" w:color="auto" w:sz="4" w:space="0"/>
                    <w:bottom w:val="single" w:color="auto" w:sz="4" w:space="0"/>
                    <w:right w:val="single" w:color="auto" w:sz="4" w:space="0"/>
                  </w:tcBorders>
                  <w:vAlign w:val="center"/>
                </w:tcPr>
                <w:p>
                  <w:pPr>
                    <w:pStyle w:val="10"/>
                    <w:keepNext w:val="0"/>
                    <w:keepLines w:val="0"/>
                    <w:widowControl/>
                    <w:suppressLineNumbers w:val="0"/>
                    <w:rPr>
                      <w:rFonts w:hint="default" w:ascii="Times New Roman" w:hAnsi="Times New Roman" w:cs="Times New Roman"/>
                      <w:color w:val="auto"/>
                      <w:sz w:val="18"/>
                      <w:szCs w:val="18"/>
                      <w:highlight w:val="none"/>
                      <w:lang w:val="pt-BR" w:eastAsia="ja-JP"/>
                    </w:rPr>
                  </w:pPr>
                  <w:r>
                    <w:rPr>
                      <w:rFonts w:hint="default" w:ascii="Times New Roman" w:hAnsi="Times New Roman" w:cs="Times New Roman"/>
                      <w:color w:val="auto"/>
                      <w:sz w:val="18"/>
                      <w:szCs w:val="18"/>
                      <w:highlight w:val="none"/>
                    </w:rPr>
                    <w:t>code rate x 1024</w:t>
                  </w:r>
                </w:p>
              </w:tc>
              <w:tc>
                <w:tcPr>
                  <w:tcW w:w="984" w:type="dxa"/>
                  <w:tcBorders>
                    <w:top w:val="single" w:color="auto" w:sz="4" w:space="0"/>
                    <w:left w:val="single" w:color="auto" w:sz="4" w:space="0"/>
                    <w:bottom w:val="single" w:color="auto" w:sz="4" w:space="0"/>
                    <w:right w:val="single" w:color="auto" w:sz="4" w:space="0"/>
                  </w:tcBorders>
                  <w:vAlign w:val="center"/>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rPr>
                    <w:t>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141" w:type="dxa"/>
                  <w:tcBorders>
                    <w:top w:val="single" w:color="auto" w:sz="4" w:space="0"/>
                    <w:left w:val="doub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24</w:t>
                  </w:r>
                </w:p>
              </w:tc>
              <w:tc>
                <w:tcPr>
                  <w:tcW w:w="1036" w:type="dxa"/>
                  <w:tcBorders>
                    <w:top w:val="single" w:color="auto" w:sz="4" w:space="0"/>
                    <w:left w:val="doub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en-GB" w:eastAsia="ja-JP"/>
                    </w:rPr>
                    <w:t>8</w:t>
                  </w:r>
                </w:p>
              </w:tc>
              <w:tc>
                <w:tcPr>
                  <w:tcW w:w="1411" w:type="dxa"/>
                  <w:tcBorders>
                    <w:top w:val="single" w:color="auto" w:sz="4" w:space="0"/>
                    <w:left w:val="sing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pt-BR" w:eastAsia="ja-JP"/>
                    </w:rPr>
                    <w:t>841</w:t>
                  </w:r>
                </w:p>
              </w:tc>
              <w:tc>
                <w:tcPr>
                  <w:tcW w:w="984" w:type="dxa"/>
                  <w:tcBorders>
                    <w:top w:val="single" w:color="auto" w:sz="4" w:space="0"/>
                    <w:left w:val="sing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en-GB" w:eastAsia="ja-JP"/>
                    </w:rPr>
                    <w:t>6.5703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141" w:type="dxa"/>
                  <w:tcBorders>
                    <w:top w:val="single" w:color="auto" w:sz="4" w:space="0"/>
                    <w:left w:val="doub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25</w:t>
                  </w:r>
                </w:p>
              </w:tc>
              <w:tc>
                <w:tcPr>
                  <w:tcW w:w="1036" w:type="dxa"/>
                  <w:tcBorders>
                    <w:top w:val="single" w:color="auto" w:sz="4" w:space="0"/>
                    <w:left w:val="doub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en-GB" w:eastAsia="ja-JP"/>
                    </w:rPr>
                    <w:t>8</w:t>
                  </w:r>
                </w:p>
              </w:tc>
              <w:tc>
                <w:tcPr>
                  <w:tcW w:w="1411" w:type="dxa"/>
                  <w:tcBorders>
                    <w:top w:val="single" w:color="auto" w:sz="4" w:space="0"/>
                    <w:left w:val="sing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pt-BR" w:eastAsia="ja-JP"/>
                    </w:rPr>
                    <w:t>885</w:t>
                  </w:r>
                </w:p>
              </w:tc>
              <w:tc>
                <w:tcPr>
                  <w:tcW w:w="984" w:type="dxa"/>
                  <w:tcBorders>
                    <w:top w:val="single" w:color="auto" w:sz="4" w:space="0"/>
                    <w:left w:val="sing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en-GB" w:eastAsia="ja-JP"/>
                    </w:rPr>
                    <w:t>6.9141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141" w:type="dxa"/>
                  <w:tcBorders>
                    <w:top w:val="single" w:color="auto" w:sz="4" w:space="0"/>
                    <w:left w:val="doub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26</w:t>
                  </w:r>
                </w:p>
              </w:tc>
              <w:tc>
                <w:tcPr>
                  <w:tcW w:w="1036" w:type="dxa"/>
                  <w:tcBorders>
                    <w:top w:val="single" w:color="auto" w:sz="4" w:space="0"/>
                    <w:left w:val="doub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en-GB" w:eastAsia="ja-JP"/>
                    </w:rPr>
                    <w:t>8</w:t>
                  </w:r>
                </w:p>
              </w:tc>
              <w:tc>
                <w:tcPr>
                  <w:tcW w:w="1411" w:type="dxa"/>
                  <w:tcBorders>
                    <w:top w:val="single" w:color="auto" w:sz="4" w:space="0"/>
                    <w:left w:val="sing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pt-BR" w:eastAsia="ja-JP"/>
                    </w:rPr>
                    <w:t>916.5</w:t>
                  </w:r>
                </w:p>
              </w:tc>
              <w:tc>
                <w:tcPr>
                  <w:tcW w:w="984" w:type="dxa"/>
                  <w:tcBorders>
                    <w:top w:val="single" w:color="auto" w:sz="4" w:space="0"/>
                    <w:left w:val="sing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en-GB" w:eastAsia="ja-JP"/>
                    </w:rPr>
                    <w:t>7.1602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141" w:type="dxa"/>
                  <w:tcBorders>
                    <w:top w:val="single" w:color="auto" w:sz="4" w:space="0"/>
                    <w:left w:val="doub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27</w:t>
                  </w:r>
                </w:p>
              </w:tc>
              <w:tc>
                <w:tcPr>
                  <w:tcW w:w="1036" w:type="dxa"/>
                  <w:tcBorders>
                    <w:top w:val="single" w:color="auto" w:sz="4" w:space="0"/>
                    <w:left w:val="doub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en-GB" w:eastAsia="ja-JP"/>
                    </w:rPr>
                    <w:t>8</w:t>
                  </w:r>
                </w:p>
              </w:tc>
              <w:tc>
                <w:tcPr>
                  <w:tcW w:w="1411" w:type="dxa"/>
                  <w:tcBorders>
                    <w:top w:val="single" w:color="auto" w:sz="4" w:space="0"/>
                    <w:left w:val="sing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pt-BR" w:eastAsia="ja-JP"/>
                    </w:rPr>
                    <w:t>948</w:t>
                  </w:r>
                </w:p>
              </w:tc>
              <w:tc>
                <w:tcPr>
                  <w:tcW w:w="984" w:type="dxa"/>
                  <w:tcBorders>
                    <w:top w:val="single" w:color="auto" w:sz="4" w:space="0"/>
                    <w:left w:val="single" w:color="auto" w:sz="4" w:space="0"/>
                    <w:bottom w:val="single" w:color="auto" w:sz="4" w:space="0"/>
                    <w:right w:val="single" w:color="auto" w:sz="4" w:space="0"/>
                  </w:tcBorders>
                </w:tcPr>
                <w:p>
                  <w:pPr>
                    <w:pStyle w:val="10"/>
                    <w:keepNext w:val="0"/>
                    <w:keepLines w:val="0"/>
                    <w:widowControl/>
                    <w:suppressLineNumbers w:val="0"/>
                    <w:rPr>
                      <w:rFonts w:hint="default" w:ascii="Times New Roman" w:hAnsi="Times New Roman" w:cs="Times New Roman"/>
                      <w:color w:val="auto"/>
                      <w:sz w:val="18"/>
                      <w:szCs w:val="18"/>
                      <w:highlight w:val="none"/>
                      <w:lang w:val="en-GB" w:eastAsia="ja-JP"/>
                    </w:rPr>
                  </w:pPr>
                  <w:r>
                    <w:rPr>
                      <w:rFonts w:hint="default" w:ascii="Times New Roman" w:hAnsi="Times New Roman" w:cs="Times New Roman"/>
                      <w:color w:val="auto"/>
                      <w:sz w:val="18"/>
                      <w:szCs w:val="18"/>
                      <w:highlight w:val="none"/>
                      <w:lang w:val="en-GB" w:eastAsia="ja-JP"/>
                    </w:rPr>
                    <w:t>7.4063</w:t>
                  </w:r>
                </w:p>
              </w:tc>
            </w:tr>
          </w:tbl>
          <w:p>
            <w:pPr>
              <w:rPr>
                <w:rFonts w:hint="default" w:ascii="Times New Roman" w:hAnsi="Times New Roman" w:cs="Times New Roman"/>
                <w:color w:val="auto"/>
                <w:sz w:val="18"/>
                <w:szCs w:val="21"/>
                <w:highlight w:val="none"/>
                <w:lang w:val="en-US" w:eastAsia="zh-CN"/>
              </w:rPr>
            </w:pPr>
          </w:p>
          <w:p>
            <w:pP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1024QAM: </w:t>
            </w:r>
            <w:r>
              <w:rPr>
                <w:rFonts w:hint="default" w:ascii="Times New Roman" w:hAnsi="Times New Roman" w:cs="Times New Roman"/>
                <w:color w:val="auto"/>
                <w:kern w:val="2"/>
                <w:sz w:val="20"/>
                <w:szCs w:val="20"/>
                <w:highlight w:val="none"/>
                <w:lang w:val="fi-FI" w:eastAsia="zh-CN"/>
              </w:rPr>
              <w:t>MCS 24</w:t>
            </w:r>
            <w:r>
              <w:rPr>
                <w:rFonts w:hint="default" w:ascii="Times New Roman" w:hAnsi="Times New Roman" w:cs="Times New Roman"/>
                <w:color w:val="auto"/>
                <w:kern w:val="2"/>
                <w:sz w:val="20"/>
                <w:szCs w:val="20"/>
                <w:highlight w:val="none"/>
                <w:lang w:val="en-US" w:eastAsia="zh-CN"/>
              </w:rPr>
              <w:t>~26</w:t>
            </w:r>
            <w:r>
              <w:rPr>
                <w:rFonts w:hint="default" w:ascii="Times New Roman" w:hAnsi="Times New Roman" w:cs="Times New Roman"/>
                <w:color w:val="auto"/>
                <w:kern w:val="2"/>
                <w:sz w:val="20"/>
                <w:szCs w:val="20"/>
                <w:highlight w:val="none"/>
                <w:lang w:val="fi-FI" w:eastAsia="zh-CN"/>
              </w:rPr>
              <w:t xml:space="preserve"> in the following Table ac</w:t>
            </w:r>
            <w:r>
              <w:rPr>
                <w:rFonts w:hint="default" w:ascii="Times New Roman" w:hAnsi="Times New Roman" w:cs="Times New Roman"/>
                <w:color w:val="auto"/>
                <w:kern w:val="2"/>
                <w:sz w:val="20"/>
                <w:szCs w:val="20"/>
                <w:highlight w:val="none"/>
                <w:lang w:val="en-US" w:eastAsia="zh-CN"/>
              </w:rPr>
              <w:t>cor</w:t>
            </w:r>
            <w:r>
              <w:rPr>
                <w:rFonts w:hint="default" w:ascii="Times New Roman" w:hAnsi="Times New Roman" w:cs="Times New Roman"/>
                <w:color w:val="auto"/>
                <w:kern w:val="2"/>
                <w:sz w:val="20"/>
                <w:szCs w:val="20"/>
                <w:highlight w:val="none"/>
                <w:lang w:val="fi-FI" w:eastAsia="zh-CN"/>
              </w:rPr>
              <w:t>ding to the agreement in RAN1 #104</w:t>
            </w:r>
          </w:p>
          <w:tbl>
            <w:tblPr>
              <w:tblStyle w:val="12"/>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5"/>
              <w:gridCol w:w="907"/>
              <w:gridCol w:w="1282"/>
              <w:gridCol w:w="8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blCellSpacing w:w="0" w:type="dxa"/>
                <w:jc w:val="center"/>
              </w:trPr>
              <w:tc>
                <w:tcPr>
                  <w:tcW w:w="1065"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MCS index</w:t>
                  </w:r>
                </w:p>
              </w:tc>
              <w:tc>
                <w:tcPr>
                  <w:tcW w:w="907"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modulation</w:t>
                  </w:r>
                </w:p>
              </w:tc>
              <w:tc>
                <w:tcPr>
                  <w:tcW w:w="1282"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code rate x 1024</w:t>
                  </w:r>
                </w:p>
              </w:tc>
              <w:tc>
                <w:tcPr>
                  <w:tcW w:w="837"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Efficiency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blCellSpacing w:w="0" w:type="dxa"/>
                <w:jc w:val="center"/>
              </w:trPr>
              <w:tc>
                <w:tcPr>
                  <w:tcW w:w="1065"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23</w:t>
                  </w:r>
                </w:p>
              </w:tc>
              <w:tc>
                <w:tcPr>
                  <w:tcW w:w="907"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10</w:t>
                  </w:r>
                </w:p>
              </w:tc>
              <w:tc>
                <w:tcPr>
                  <w:tcW w:w="1282"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805.5</w:t>
                  </w:r>
                </w:p>
              </w:tc>
              <w:tc>
                <w:tcPr>
                  <w:tcW w:w="837"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7.8662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blCellSpacing w:w="0" w:type="dxa"/>
                <w:jc w:val="center"/>
              </w:trPr>
              <w:tc>
                <w:tcPr>
                  <w:tcW w:w="1065"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24</w:t>
                  </w:r>
                </w:p>
              </w:tc>
              <w:tc>
                <w:tcPr>
                  <w:tcW w:w="907"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10</w:t>
                  </w:r>
                </w:p>
              </w:tc>
              <w:tc>
                <w:tcPr>
                  <w:tcW w:w="1282"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853</w:t>
                  </w:r>
                </w:p>
              </w:tc>
              <w:tc>
                <w:tcPr>
                  <w:tcW w:w="837"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8.3301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blCellSpacing w:w="0" w:type="dxa"/>
                <w:jc w:val="center"/>
              </w:trPr>
              <w:tc>
                <w:tcPr>
                  <w:tcW w:w="1065"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25</w:t>
                  </w:r>
                </w:p>
              </w:tc>
              <w:tc>
                <w:tcPr>
                  <w:tcW w:w="907"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10</w:t>
                  </w:r>
                </w:p>
              </w:tc>
              <w:tc>
                <w:tcPr>
                  <w:tcW w:w="1282"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900.5</w:t>
                  </w:r>
                </w:p>
              </w:tc>
              <w:tc>
                <w:tcPr>
                  <w:tcW w:w="837"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8.7939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blCellSpacing w:w="0" w:type="dxa"/>
                <w:jc w:val="center"/>
              </w:trPr>
              <w:tc>
                <w:tcPr>
                  <w:tcW w:w="1065"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26</w:t>
                  </w:r>
                </w:p>
              </w:tc>
              <w:tc>
                <w:tcPr>
                  <w:tcW w:w="907"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10</w:t>
                  </w:r>
                </w:p>
              </w:tc>
              <w:tc>
                <w:tcPr>
                  <w:tcW w:w="1282"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948</w:t>
                  </w:r>
                </w:p>
              </w:tc>
              <w:tc>
                <w:tcPr>
                  <w:tcW w:w="837" w:type="dxa"/>
                  <w:tcBorders>
                    <w:top w:val="single" w:color="080000" w:sz="6" w:space="0"/>
                    <w:left w:val="single" w:color="080000" w:sz="6" w:space="0"/>
                    <w:bottom w:val="single" w:color="080000" w:sz="6" w:space="0"/>
                    <w:right w:val="single" w:color="080000" w:sz="6" w:space="0"/>
                  </w:tcBorders>
                  <w:shd w:val="clear" w:color="auto" w:fill="auto"/>
                  <w:tcMar>
                    <w:left w:w="57" w:type="dxa"/>
                  </w:tcMar>
                  <w:vAlign w:val="center"/>
                </w:tcPr>
                <w:p>
                  <w:pPr>
                    <w:pStyle w:val="10"/>
                    <w:keepNext w:val="0"/>
                    <w:keepLines w:val="0"/>
                    <w:widowControl/>
                    <w:suppressLineNumbers w:val="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9.2578</w:t>
                  </w:r>
                </w:p>
              </w:tc>
            </w:tr>
          </w:tbl>
          <w:p>
            <w:pPr>
              <w:rPr>
                <w:rFonts w:hint="default" w:ascii="Times New Roman" w:hAnsi="Times New Roman" w:cs="Times New Roman"/>
                <w:color w:val="auto"/>
                <w:sz w:val="18"/>
                <w:szCs w:val="21"/>
                <w:highlight w:val="none"/>
                <w:lang w:val="en-US" w:eastAsia="zh-CN"/>
              </w:rPr>
            </w:pPr>
          </w:p>
        </w:tc>
      </w:tr>
      <w:tr>
        <w:tblPrEx>
          <w:tblCellMar>
            <w:top w:w="0" w:type="dxa"/>
            <w:left w:w="0" w:type="dxa"/>
            <w:bottom w:w="0" w:type="dxa"/>
            <w:right w:w="0" w:type="dxa"/>
          </w:tblCellMar>
        </w:tblPrEx>
        <w:trPr>
          <w:trHeight w:val="123"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rPr>
                <w:rFonts w:hint="default" w:ascii="Times New Roman" w:hAnsi="Times New Roman" w:cs="Times New Roman"/>
                <w:lang w:val="en-GB"/>
              </w:rPr>
            </w:pPr>
            <w:r>
              <w:rPr>
                <w:rFonts w:hint="default" w:ascii="Times New Roman" w:hAnsi="Times New Roman" w:cs="Times New Roman"/>
                <w:lang w:val="en-GB"/>
              </w:rPr>
              <w:t>DMRS type</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rPr>
                <w:rFonts w:hint="default" w:ascii="Times New Roman" w:hAnsi="Times New Roman" w:cs="Times New Roman"/>
                <w:lang w:val="en-GB"/>
              </w:rPr>
            </w:pPr>
            <w:r>
              <w:rPr>
                <w:rFonts w:hint="default" w:ascii="Times New Roman" w:hAnsi="Times New Roman" w:cs="Times New Roman"/>
                <w:lang w:val="en-GB"/>
              </w:rPr>
              <w:t>DM-RS type 1</w:t>
            </w:r>
          </w:p>
        </w:tc>
      </w:tr>
      <w:tr>
        <w:tblPrEx>
          <w:tblCellMar>
            <w:top w:w="0" w:type="dxa"/>
            <w:left w:w="0" w:type="dxa"/>
            <w:bottom w:w="0" w:type="dxa"/>
            <w:right w:w="0" w:type="dxa"/>
          </w:tblCellMar>
        </w:tblPrEx>
        <w:trPr>
          <w:trHeight w:val="68"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rPr>
                <w:rFonts w:hint="default" w:ascii="Times New Roman" w:hAnsi="Times New Roman" w:cs="Times New Roman"/>
                <w:lang w:val="en-GB"/>
              </w:rPr>
            </w:pPr>
            <w:r>
              <w:rPr>
                <w:rFonts w:hint="default" w:ascii="Times New Roman" w:hAnsi="Times New Roman" w:cs="Times New Roman"/>
                <w:lang w:val="en-GB"/>
              </w:rPr>
              <w:t>Number of DMRS symbols</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rPr>
                <w:rFonts w:hint="default" w:ascii="Times New Roman" w:hAnsi="Times New Roman" w:cs="Times New Roman"/>
                <w:lang w:val="en-GB"/>
              </w:rPr>
            </w:pPr>
            <w:r>
              <w:rPr>
                <w:rFonts w:hint="default" w:ascii="Times New Roman" w:hAnsi="Times New Roman" w:cs="Times New Roman"/>
                <w:lang w:val="en-GB"/>
              </w:rPr>
              <w:t>1</w:t>
            </w:r>
          </w:p>
        </w:tc>
      </w:tr>
      <w:tr>
        <w:tblPrEx>
          <w:tblCellMar>
            <w:top w:w="0" w:type="dxa"/>
            <w:left w:w="0" w:type="dxa"/>
            <w:bottom w:w="0" w:type="dxa"/>
            <w:right w:w="0" w:type="dxa"/>
          </w:tblCellMar>
        </w:tblPrEx>
        <w:trPr>
          <w:trHeight w:val="152"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rPr>
                <w:rFonts w:hint="default" w:ascii="Times New Roman" w:hAnsi="Times New Roman" w:cs="Times New Roman"/>
                <w:lang w:val="en-GB"/>
              </w:rPr>
            </w:pPr>
            <w:r>
              <w:rPr>
                <w:rFonts w:hint="default" w:ascii="Times New Roman" w:hAnsi="Times New Roman" w:cs="Times New Roman"/>
                <w:lang w:val="en-GB"/>
              </w:rPr>
              <w:t>Number of scheduled RBs</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rPr>
                <w:rFonts w:hint="default" w:ascii="Times New Roman" w:hAnsi="Times New Roman" w:eastAsia="宋体" w:cs="Times New Roman"/>
                <w:highlight w:val="none"/>
                <w:lang w:val="en-GB" w:eastAsia="zh-CN"/>
              </w:rPr>
            </w:pPr>
            <w:r>
              <w:rPr>
                <w:rFonts w:hint="default" w:ascii="Times New Roman" w:hAnsi="Times New Roman" w:cs="Times New Roman"/>
                <w:highlight w:val="none"/>
                <w:lang w:val="en-GB"/>
              </w:rPr>
              <w:t>273</w:t>
            </w:r>
            <w:r>
              <w:rPr>
                <w:rFonts w:hint="default" w:ascii="Times New Roman" w:hAnsi="Times New Roman" w:cs="Times New Roman"/>
                <w:highlight w:val="none"/>
                <w:lang w:val="en-US" w:eastAsia="zh-CN"/>
              </w:rPr>
              <w:t xml:space="preserve"> (200RBs for data)</w:t>
            </w:r>
          </w:p>
        </w:tc>
      </w:tr>
      <w:tr>
        <w:tblPrEx>
          <w:tblCellMar>
            <w:top w:w="0" w:type="dxa"/>
            <w:left w:w="0" w:type="dxa"/>
            <w:bottom w:w="0" w:type="dxa"/>
            <w:right w:w="0" w:type="dxa"/>
          </w:tblCellMar>
        </w:tblPrEx>
        <w:trPr>
          <w:trHeight w:val="177"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rPr>
                <w:rFonts w:hint="default" w:ascii="Times New Roman" w:hAnsi="Times New Roman" w:cs="Times New Roman"/>
                <w:lang w:val="en-GB"/>
              </w:rPr>
            </w:pPr>
            <w:r>
              <w:rPr>
                <w:rFonts w:hint="default" w:ascii="Times New Roman" w:hAnsi="Times New Roman" w:cs="Times New Roman"/>
                <w:lang w:val="en-GB"/>
              </w:rPr>
              <w:t>PDSCH mapping</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rPr>
                <w:rFonts w:hint="default" w:ascii="Times New Roman" w:hAnsi="Times New Roman" w:eastAsia="宋体" w:cs="Times New Roman"/>
                <w:lang w:val="en-US" w:eastAsia="zh-CN"/>
              </w:rPr>
            </w:pPr>
            <w:r>
              <w:rPr>
                <w:rFonts w:hint="default" w:ascii="Times New Roman" w:hAnsi="Times New Roman" w:cs="Times New Roman"/>
                <w:lang w:val="en-GB"/>
              </w:rPr>
              <w:t>Type A, Start symbol 2, Duration 12</w:t>
            </w:r>
            <w:r>
              <w:rPr>
                <w:rFonts w:hint="default" w:ascii="Times New Roman" w:hAnsi="Times New Roman" w:cs="Times New Roman"/>
                <w:lang w:val="en-US" w:eastAsia="zh-CN"/>
              </w:rPr>
              <w:t xml:space="preserve"> </w:t>
            </w:r>
          </w:p>
        </w:tc>
      </w:tr>
      <w:tr>
        <w:tblPrEx>
          <w:tblCellMar>
            <w:top w:w="0" w:type="dxa"/>
            <w:left w:w="0" w:type="dxa"/>
            <w:bottom w:w="0" w:type="dxa"/>
            <w:right w:w="0" w:type="dxa"/>
          </w:tblCellMar>
        </w:tblPrEx>
        <w:trPr>
          <w:trHeight w:val="236"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rPr>
                <w:rFonts w:hint="default" w:ascii="Times New Roman" w:hAnsi="Times New Roman" w:cs="Times New Roman"/>
                <w:lang w:val="en-GB"/>
              </w:rPr>
            </w:pPr>
            <w:r>
              <w:rPr>
                <w:rFonts w:hint="default" w:ascii="Times New Roman" w:hAnsi="Times New Roman" w:cs="Times New Roman"/>
                <w:lang w:val="en-GB"/>
              </w:rPr>
              <w:t>Rank</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rPr>
                <w:rFonts w:hint="default" w:ascii="Times New Roman" w:hAnsi="Times New Roman" w:cs="Times New Roman"/>
                <w:highlight w:val="none"/>
                <w:lang w:val="en-GB"/>
              </w:rPr>
            </w:pPr>
            <w:r>
              <w:rPr>
                <w:rFonts w:hint="default" w:ascii="Times New Roman" w:hAnsi="Times New Roman" w:cs="Times New Roman"/>
                <w:highlight w:val="none"/>
                <w:lang w:val="en-GB"/>
              </w:rPr>
              <w:t>Rank1</w:t>
            </w:r>
            <w:r>
              <w:rPr>
                <w:rFonts w:hint="default" w:ascii="Times New Roman" w:hAnsi="Times New Roman" w:cs="Times New Roman"/>
                <w:color w:val="FF0000"/>
                <w:highlight w:val="none"/>
                <w:lang w:val="en-GB"/>
              </w:rPr>
              <w:t xml:space="preserve"> </w:t>
            </w:r>
          </w:p>
        </w:tc>
      </w:tr>
      <w:tr>
        <w:tblPrEx>
          <w:tblCellMar>
            <w:top w:w="0" w:type="dxa"/>
            <w:left w:w="0" w:type="dxa"/>
            <w:bottom w:w="0" w:type="dxa"/>
            <w:right w:w="0" w:type="dxa"/>
          </w:tblCellMar>
        </w:tblPrEx>
        <w:trPr>
          <w:trHeight w:val="177" w:hRule="atLeast"/>
          <w:jc w:val="center"/>
        </w:trPr>
        <w:tc>
          <w:tcPr>
            <w:tcW w:w="1734" w:type="pct"/>
            <w:tcBorders>
              <w:top w:val="nil"/>
              <w:left w:val="double" w:color="000000" w:sz="6" w:space="0"/>
              <w:bottom w:val="single" w:color="000000" w:sz="8" w:space="0"/>
              <w:right w:val="single" w:color="000000" w:sz="8" w:space="0"/>
            </w:tcBorders>
            <w:noWrap w:val="0"/>
            <w:tcMar>
              <w:top w:w="0" w:type="dxa"/>
              <w:left w:w="108" w:type="dxa"/>
              <w:bottom w:w="0" w:type="dxa"/>
              <w:right w:w="108" w:type="dxa"/>
            </w:tcMar>
            <w:vAlign w:val="top"/>
          </w:tcPr>
          <w:p>
            <w:pPr>
              <w:snapToGrid w:val="0"/>
              <w:rPr>
                <w:rFonts w:hint="default" w:ascii="Times New Roman" w:hAnsi="Times New Roman" w:cs="Times New Roman"/>
                <w:lang w:val="en-GB"/>
              </w:rPr>
            </w:pPr>
            <w:r>
              <w:rPr>
                <w:rFonts w:hint="default" w:ascii="Times New Roman" w:hAnsi="Times New Roman" w:cs="Times New Roman"/>
                <w:lang w:val="en-GB"/>
              </w:rPr>
              <w:t>Channel estimation</w:t>
            </w:r>
          </w:p>
        </w:tc>
        <w:tc>
          <w:tcPr>
            <w:tcW w:w="3265" w:type="pct"/>
            <w:tcBorders>
              <w:top w:val="nil"/>
              <w:left w:val="nil"/>
              <w:bottom w:val="single" w:color="000000" w:sz="8" w:space="0"/>
              <w:right w:val="double" w:color="000000" w:sz="6" w:space="0"/>
            </w:tcBorders>
            <w:noWrap w:val="0"/>
            <w:tcMar>
              <w:top w:w="0" w:type="dxa"/>
              <w:left w:w="108" w:type="dxa"/>
              <w:bottom w:w="0" w:type="dxa"/>
              <w:right w:w="108" w:type="dxa"/>
            </w:tcMar>
            <w:vAlign w:val="top"/>
          </w:tcPr>
          <w:p>
            <w:pPr>
              <w:rPr>
                <w:rFonts w:hint="default" w:ascii="Times New Roman" w:hAnsi="Times New Roman" w:cs="Times New Roman"/>
                <w:lang w:val="en-GB"/>
              </w:rPr>
            </w:pPr>
            <w:r>
              <w:rPr>
                <w:rFonts w:hint="default" w:ascii="Times New Roman" w:hAnsi="Times New Roman" w:cs="Times New Roman"/>
                <w:lang w:val="en-GB"/>
              </w:rPr>
              <w:t>Realistic channel estimation</w:t>
            </w:r>
          </w:p>
        </w:tc>
      </w:tr>
      <w:tr>
        <w:tblPrEx>
          <w:tblCellMar>
            <w:top w:w="0" w:type="dxa"/>
            <w:left w:w="0" w:type="dxa"/>
            <w:bottom w:w="0" w:type="dxa"/>
            <w:right w:w="0" w:type="dxa"/>
          </w:tblCellMar>
        </w:tblPrEx>
        <w:trPr>
          <w:trHeight w:val="93" w:hRule="atLeast"/>
          <w:jc w:val="center"/>
        </w:trPr>
        <w:tc>
          <w:tcPr>
            <w:tcW w:w="1734" w:type="pct"/>
            <w:tcBorders>
              <w:top w:val="nil"/>
              <w:left w:val="double" w:color="000000" w:sz="6" w:space="0"/>
              <w:bottom w:val="single" w:color="auto" w:sz="8" w:space="0"/>
              <w:right w:val="single" w:color="auto" w:sz="8" w:space="0"/>
            </w:tcBorders>
            <w:noWrap w:val="0"/>
            <w:tcMar>
              <w:top w:w="0" w:type="dxa"/>
              <w:left w:w="108" w:type="dxa"/>
              <w:bottom w:w="0" w:type="dxa"/>
              <w:right w:w="108" w:type="dxa"/>
            </w:tcMar>
            <w:vAlign w:val="top"/>
          </w:tcPr>
          <w:p>
            <w:pPr>
              <w:snapToGrid w:val="0"/>
              <w:rPr>
                <w:rFonts w:hint="default" w:ascii="Times New Roman" w:hAnsi="Times New Roman" w:cs="Times New Roman"/>
                <w:lang w:val="en-GB"/>
              </w:rPr>
            </w:pPr>
            <w:r>
              <w:rPr>
                <w:rFonts w:hint="default" w:ascii="Times New Roman" w:hAnsi="Times New Roman" w:cs="Times New Roman"/>
                <w:lang w:val="en-GB"/>
              </w:rPr>
              <w:t>Metric</w:t>
            </w:r>
          </w:p>
        </w:tc>
        <w:tc>
          <w:tcPr>
            <w:tcW w:w="3265" w:type="pct"/>
            <w:tcBorders>
              <w:top w:val="nil"/>
              <w:left w:val="nil"/>
              <w:bottom w:val="single" w:color="auto" w:sz="8" w:space="0"/>
              <w:right w:val="double" w:color="000000" w:sz="6" w:space="0"/>
            </w:tcBorders>
            <w:noWrap w:val="0"/>
            <w:tcMar>
              <w:top w:w="0" w:type="dxa"/>
              <w:left w:w="108" w:type="dxa"/>
              <w:bottom w:w="0" w:type="dxa"/>
              <w:right w:w="108" w:type="dxa"/>
            </w:tcMar>
            <w:vAlign w:val="top"/>
          </w:tcPr>
          <w:p>
            <w:pPr>
              <w:rPr>
                <w:rFonts w:hint="default" w:ascii="Times New Roman" w:hAnsi="Times New Roman" w:cs="Times New Roman"/>
                <w:lang w:val="en-GB"/>
              </w:rPr>
            </w:pPr>
            <w:r>
              <w:rPr>
                <w:rFonts w:hint="default" w:ascii="Times New Roman" w:hAnsi="Times New Roman" w:cs="Times New Roman"/>
                <w:lang w:val="en-GB"/>
              </w:rPr>
              <w:t>Crossover SNR at transition points between 256-QAM and 1024-QAM</w:t>
            </w:r>
          </w:p>
        </w:tc>
      </w:tr>
    </w:tbl>
    <w:p>
      <w:pPr>
        <w:rPr>
          <w:rFonts w:hint="eastAsia" w:ascii="Times New Roman" w:hAnsi="Times New Roman" w:cs="Times New Roman"/>
          <w:sz w:val="20"/>
          <w:szCs w:val="20"/>
          <w:lang w:val="en-US" w:eastAsia="zh-CN"/>
        </w:rPr>
      </w:pPr>
    </w:p>
    <w:p>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Based on the initial simulation results provided as following, with Tx EVM requirement from 2%-3%, NR 1024QAM could still have more than 20% performance gain than NR 256QAM. In addition, with the increasing Tx EVM requirement for NR 1024QAM, the crossover SNR between 256QAM and 1024QAM will increase from 21dB to 23dB.</w:t>
      </w:r>
    </w:p>
    <w:p>
      <w:pPr>
        <w:rPr>
          <w:rFonts w:hint="default" w:ascii="Times New Roman" w:hAnsi="Times New Roman" w:cs="Times New Roman"/>
          <w:sz w:val="20"/>
          <w:szCs w:val="20"/>
          <w:lang w:val="en-US" w:eastAsia="zh-CN"/>
        </w:rPr>
      </w:pPr>
      <w:r>
        <w:rPr>
          <w:rFonts w:hint="eastAsia" w:ascii="Times New Roman" w:hAnsi="Times New Roman" w:cs="Times New Roman"/>
          <w:b/>
          <w:bCs/>
          <w:sz w:val="20"/>
          <w:szCs w:val="20"/>
          <w:lang w:val="en-US" w:eastAsia="zh-CN"/>
        </w:rPr>
        <w:t>Observation 1</w:t>
      </w:r>
      <w:r>
        <w:rPr>
          <w:rFonts w:hint="eastAsia" w:ascii="Times New Roman" w:hAnsi="Times New Roman" w:cs="Times New Roman"/>
          <w:sz w:val="20"/>
          <w:szCs w:val="20"/>
          <w:lang w:val="en-US" w:eastAsia="zh-CN"/>
        </w:rPr>
        <w:t>:  with Tx EVM requirement ranging from 2%-3%, NR 1024QAM could have more than 20% performance gain than NR 256QAM</w:t>
      </w:r>
    </w:p>
    <w:p>
      <w:pPr>
        <w:jc w:val="center"/>
        <w:rPr>
          <w:rFonts w:hint="default" w:ascii="Times New Roman" w:hAnsi="Times New Roman" w:cs="Times New Roman"/>
          <w:sz w:val="20"/>
          <w:szCs w:val="20"/>
          <w:lang w:val="en-US" w:eastAsia="zh-CN"/>
        </w:rPr>
      </w:pPr>
      <w:r>
        <w:drawing>
          <wp:inline distT="0" distB="0" distL="114300" distR="114300">
            <wp:extent cx="3839845" cy="2879725"/>
            <wp:effectExtent l="0" t="0" r="0" b="1587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4"/>
                    <a:stretch>
                      <a:fillRect/>
                    </a:stretch>
                  </pic:blipFill>
                  <pic:spPr>
                    <a:xfrm>
                      <a:off x="0" y="0"/>
                      <a:ext cx="3839845" cy="2879725"/>
                    </a:xfrm>
                    <a:prstGeom prst="rect">
                      <a:avLst/>
                    </a:prstGeom>
                    <a:noFill/>
                    <a:ln>
                      <a:noFill/>
                    </a:ln>
                  </pic:spPr>
                </pic:pic>
              </a:graphicData>
            </a:graphic>
          </wp:inline>
        </w:drawing>
      </w:r>
      <w:r>
        <w:rPr>
          <w:rFonts w:hint="eastAsia" w:ascii="Times New Roman" w:hAnsi="Times New Roman" w:cs="Times New Roman"/>
          <w:sz w:val="20"/>
          <w:szCs w:val="20"/>
          <w:lang w:val="en-US" w:eastAsia="zh-CN"/>
        </w:rPr>
        <w:t>cross SNR：21,21,21.5 dB</w:t>
      </w:r>
    </w:p>
    <w:p>
      <w:pPr>
        <w:jc w:val="center"/>
      </w:pPr>
    </w:p>
    <w:p>
      <w:pPr>
        <w:jc w:val="center"/>
      </w:pPr>
      <w:r>
        <w:drawing>
          <wp:inline distT="0" distB="0" distL="114300" distR="114300">
            <wp:extent cx="3839845" cy="2879725"/>
            <wp:effectExtent l="0" t="0" r="0" b="1587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5"/>
                    <a:stretch>
                      <a:fillRect/>
                    </a:stretch>
                  </pic:blipFill>
                  <pic:spPr>
                    <a:xfrm>
                      <a:off x="0" y="0"/>
                      <a:ext cx="3839845" cy="2879725"/>
                    </a:xfrm>
                    <a:prstGeom prst="rect">
                      <a:avLst/>
                    </a:prstGeom>
                    <a:noFill/>
                    <a:ln>
                      <a:noFill/>
                    </a:ln>
                  </pic:spPr>
                </pic:pic>
              </a:graphicData>
            </a:graphic>
          </wp:inline>
        </w:drawing>
      </w:r>
      <w:r>
        <w:rPr>
          <w:rFonts w:hint="eastAsia" w:ascii="Times New Roman" w:hAnsi="Times New Roman" w:cs="Times New Roman"/>
          <w:sz w:val="20"/>
          <w:szCs w:val="20"/>
          <w:lang w:val="en-US" w:eastAsia="zh-CN"/>
        </w:rPr>
        <w:t>cross SNR：21, 21.5, 23.5 dB</w:t>
      </w:r>
    </w:p>
    <w:p>
      <w:pPr>
        <w:jc w:val="center"/>
        <w:rPr>
          <w:rFonts w:hint="eastAsia"/>
          <w:highlight w:val="none"/>
          <w:lang w:val="en-US" w:eastAsia="zh-CN"/>
        </w:rPr>
      </w:pPr>
      <w:r>
        <w:drawing>
          <wp:inline distT="0" distB="0" distL="114300" distR="114300">
            <wp:extent cx="3839845" cy="2879725"/>
            <wp:effectExtent l="0" t="0" r="0" b="1587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6"/>
                    <a:stretch>
                      <a:fillRect/>
                    </a:stretch>
                  </pic:blipFill>
                  <pic:spPr>
                    <a:xfrm>
                      <a:off x="0" y="0"/>
                      <a:ext cx="3839845" cy="2879725"/>
                    </a:xfrm>
                    <a:prstGeom prst="rect">
                      <a:avLst/>
                    </a:prstGeom>
                    <a:noFill/>
                    <a:ln>
                      <a:noFill/>
                    </a:ln>
                  </pic:spPr>
                </pic:pic>
              </a:graphicData>
            </a:graphic>
          </wp:inline>
        </w:drawing>
      </w:r>
      <w:r>
        <w:rPr>
          <w:rFonts w:hint="eastAsia" w:ascii="Times New Roman" w:hAnsi="Times New Roman" w:cs="Times New Roman"/>
          <w:sz w:val="20"/>
          <w:szCs w:val="20"/>
          <w:lang w:val="en-US" w:eastAsia="zh-CN"/>
        </w:rPr>
        <w:t>cross SNR：23, 23, 23 dB</w:t>
      </w:r>
    </w:p>
    <w:p>
      <w:pPr>
        <w:rPr>
          <w:rFonts w:hint="eastAsia" w:ascii="Times New Roman" w:hAnsi="Times New Roman" w:cs="Times New Roman"/>
          <w:sz w:val="20"/>
          <w:szCs w:val="20"/>
          <w:lang w:val="en-US" w:eastAsia="zh-CN"/>
        </w:rPr>
      </w:pPr>
    </w:p>
    <w:p>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simulation results for TDL-A channel will be provided later once it is ready.</w:t>
      </w:r>
    </w:p>
    <w:p>
      <w:pPr>
        <w:pStyle w:val="31"/>
        <w:ind w:left="357" w:hanging="357"/>
      </w:pPr>
      <w:r>
        <w:rPr>
          <w:rFonts w:hint="eastAsia"/>
          <w:lang w:val="en-US" w:eastAsia="zh-CN"/>
        </w:rPr>
        <w:t>Conclusion</w:t>
      </w:r>
    </w:p>
    <w:p>
      <w:pP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we proved some initial simulation results for the performance comparison between NR 1024QAM and 256QAM and  some observations are made as following:</w:t>
      </w:r>
    </w:p>
    <w:p>
      <w:pPr>
        <w:rPr>
          <w:rFonts w:hint="default" w:ascii="Times New Roman" w:hAnsi="Times New Roman" w:cs="Times New Roman"/>
          <w:sz w:val="20"/>
          <w:szCs w:val="20"/>
          <w:lang w:val="en-US" w:eastAsia="zh-CN"/>
        </w:rPr>
      </w:pPr>
      <w:r>
        <w:rPr>
          <w:rFonts w:hint="eastAsia" w:ascii="Times New Roman" w:hAnsi="Times New Roman" w:cs="Times New Roman"/>
          <w:b/>
          <w:bCs/>
          <w:sz w:val="20"/>
          <w:szCs w:val="20"/>
          <w:lang w:val="en-US" w:eastAsia="zh-CN"/>
        </w:rPr>
        <w:t>Observation 1:</w:t>
      </w:r>
      <w:r>
        <w:rPr>
          <w:rFonts w:hint="eastAsia" w:ascii="Times New Roman" w:hAnsi="Times New Roman" w:cs="Times New Roman"/>
          <w:sz w:val="20"/>
          <w:szCs w:val="20"/>
          <w:lang w:val="en-US" w:eastAsia="zh-CN"/>
        </w:rPr>
        <w:t xml:space="preserve">  with Tx EVM requirement ranging rom 2%-3%, NR 1024QAM could have more than 20% performance gain than NR 256QAM;</w:t>
      </w:r>
    </w:p>
    <w:p>
      <w:pPr>
        <w:pStyle w:val="31"/>
        <w:ind w:left="357" w:hanging="357"/>
      </w:pPr>
      <w:r>
        <w:rPr>
          <w:rFonts w:hint="eastAsia"/>
          <w:lang w:val="en-US" w:eastAsia="zh-CN"/>
        </w:rPr>
        <w:t>Reference</w:t>
      </w:r>
    </w:p>
    <w:p>
      <w:pPr>
        <w:numPr>
          <w:ilvl w:val="0"/>
          <w:numId w:val="2"/>
        </w:numPr>
        <w:spacing w:after="120"/>
        <w:ind w:left="1985" w:hanging="1985"/>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R4-2105416,Way forward on UE RF requirements for DL1024QAM, Ericsson</w:t>
      </w:r>
    </w:p>
    <w:p>
      <w:pPr>
        <w:numPr>
          <w:ilvl w:val="0"/>
          <w:numId w:val="2"/>
        </w:numPr>
        <w:spacing w:after="120"/>
        <w:ind w:left="1985" w:hanging="1985"/>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R4-2106858,Work plan for DL 1024QAM for NR FR1</w:t>
      </w:r>
    </w:p>
    <w:p>
      <w:pPr>
        <w:numPr>
          <w:ilvl w:val="0"/>
          <w:numId w:val="0"/>
        </w:numPr>
        <w:spacing w:after="120"/>
        <w:ind w:leftChars="0"/>
        <w:rPr>
          <w:rFonts w:hint="eastAsia" w:ascii="Times New Roman" w:hAnsi="Times New Roman" w:cs="Times New Roman"/>
          <w:sz w:val="20"/>
          <w:szCs w:val="20"/>
          <w:lang w:val="en-US" w:eastAsia="zh-CN"/>
        </w:rPr>
      </w:pPr>
    </w:p>
    <w:p>
      <w:pPr>
        <w:numPr>
          <w:ilvl w:val="0"/>
          <w:numId w:val="0"/>
        </w:numPr>
        <w:rPr>
          <w:rFonts w:hint="eastAsia" w:ascii="Times New Roman" w:hAnsi="Times New Roman" w:cs="Times New Roman"/>
          <w:sz w:val="20"/>
          <w:szCs w:val="20"/>
          <w:lang w:val="en-US" w:eastAsia="zh-CN"/>
        </w:rPr>
      </w:pPr>
    </w:p>
    <w:p>
      <w:pPr>
        <w:rPr>
          <w:rFonts w:hint="eastAsia" w:ascii="Times New Roman" w:hAnsi="Times New Roman" w:cs="Times New Roman"/>
          <w:sz w:val="20"/>
          <w:szCs w:val="20"/>
          <w:lang w:val="en-US" w:eastAsia="zh-CN"/>
        </w:rPr>
      </w:pPr>
    </w:p>
    <w:p>
      <w:pPr>
        <w:pStyle w:val="9"/>
        <w:tabs>
          <w:tab w:val="right" w:pos="10440"/>
          <w:tab w:val="right" w:pos="13323"/>
        </w:tabs>
        <w:rPr>
          <w:rFonts w:hint="default" w:eastAsia="宋体" w:cs="Arial"/>
          <w:sz w:val="24"/>
          <w:szCs w:val="24"/>
          <w:lang w:val="en-US" w:eastAsia="ja-JP"/>
        </w:rPr>
      </w:pPr>
    </w:p>
    <w:p>
      <w:pPr>
        <w:rPr>
          <w:rFonts w:hint="default" w:ascii="Times New Roman" w:hAnsi="Times New Roman" w:cs="Times New Roman"/>
          <w:sz w:val="20"/>
          <w:szCs w:val="20"/>
          <w:lang w:val="en-US" w:eastAsia="zh-CN"/>
        </w:rPr>
      </w:pPr>
    </w:p>
    <w:p>
      <w:pPr>
        <w:rPr>
          <w:rFonts w:hint="default" w:ascii="Times New Roman" w:hAnsi="Times New Roman" w:cs="Times New Roman"/>
          <w:sz w:val="20"/>
          <w:szCs w:val="20"/>
          <w:lang w:val="en-US" w:eastAsia="zh-CN"/>
        </w:rPr>
      </w:pPr>
    </w:p>
    <w:p>
      <w:pPr>
        <w:numPr>
          <w:ilvl w:val="0"/>
          <w:numId w:val="0"/>
        </w:numPr>
        <w:rPr>
          <w:rFonts w:hint="eastAsia" w:ascii="Times New Roman" w:hAnsi="Times New Roman" w:cs="Times New Roman"/>
          <w:lang w:val="en-US" w:eastAsia="zh-CN"/>
        </w:rPr>
      </w:pPr>
    </w:p>
    <w:p>
      <w:pPr>
        <w:rPr>
          <w:sz w:val="2"/>
          <w:szCs w:val="2"/>
          <w:lang w:val="en-GB"/>
        </w:rPr>
      </w:pPr>
    </w:p>
    <w:sectPr>
      <w:pgSz w:w="11906" w:h="16838"/>
      <w:pgMar w:top="1417" w:right="1134" w:bottom="1417" w:left="1134" w:header="708" w:footer="708" w:gutter="0"/>
      <w:pgBorders>
        <w:top w:val="single" w:color="auto" w:sz="4" w:space="1"/>
        <w:left w:val="single" w:color="auto" w:sz="4" w:space="4"/>
        <w:bottom w:val="single" w:color="auto" w:sz="4" w:space="1"/>
        <w:right w:val="single" w:color="auto" w:sz="4" w:space="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MS PGothic">
    <w:panose1 w:val="020B0600070205080204"/>
    <w:charset w:val="80"/>
    <w:family w:val="swiss"/>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E235FE"/>
    <w:multiLevelType w:val="singleLevel"/>
    <w:tmpl w:val="5CE235FE"/>
    <w:lvl w:ilvl="0" w:tentative="0">
      <w:start w:val="1"/>
      <w:numFmt w:val="decimal"/>
      <w:suff w:val="space"/>
      <w:lvlText w:val="[%1]"/>
      <w:lvlJc w:val="left"/>
    </w:lvl>
  </w:abstractNum>
  <w:abstractNum w:abstractNumId="1">
    <w:nsid w:val="665C217B"/>
    <w:multiLevelType w:val="multilevel"/>
    <w:tmpl w:val="665C217B"/>
    <w:lvl w:ilvl="0" w:tentative="0">
      <w:start w:val="1"/>
      <w:numFmt w:val="decimal"/>
      <w:pStyle w:val="31"/>
      <w:lvlText w:val="%1"/>
      <w:lvlJc w:val="left"/>
      <w:pPr>
        <w:ind w:left="5322" w:hanging="360"/>
      </w:pPr>
      <w:rPr>
        <w:rFonts w:hint="default"/>
      </w:rPr>
    </w:lvl>
    <w:lvl w:ilvl="1" w:tentative="0">
      <w:start w:val="1"/>
      <w:numFmt w:val="decimal"/>
      <w:pStyle w:val="30"/>
      <w:lvlText w:val="%1.%2"/>
      <w:lvlJc w:val="left"/>
      <w:pPr>
        <w:ind w:left="792" w:hanging="432"/>
      </w:pPr>
      <w:rPr>
        <w:rFonts w:hint="default"/>
        <w:lang w:val="en-US"/>
      </w:rPr>
    </w:lvl>
    <w:lvl w:ilvl="2" w:tentative="0">
      <w:start w:val="1"/>
      <w:numFmt w:val="decimal"/>
      <w:pStyle w:val="33"/>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A6A"/>
    <w:rsid w:val="00046F87"/>
    <w:rsid w:val="00082DBA"/>
    <w:rsid w:val="000B2E84"/>
    <w:rsid w:val="000C2305"/>
    <w:rsid w:val="00122AA1"/>
    <w:rsid w:val="00175954"/>
    <w:rsid w:val="001A1AB5"/>
    <w:rsid w:val="00250E71"/>
    <w:rsid w:val="00277DE8"/>
    <w:rsid w:val="00287C3E"/>
    <w:rsid w:val="002C1256"/>
    <w:rsid w:val="002E3CF4"/>
    <w:rsid w:val="00327E6C"/>
    <w:rsid w:val="00383D11"/>
    <w:rsid w:val="003B04FB"/>
    <w:rsid w:val="003C474A"/>
    <w:rsid w:val="00493745"/>
    <w:rsid w:val="004B67A8"/>
    <w:rsid w:val="004C5466"/>
    <w:rsid w:val="004E7E9D"/>
    <w:rsid w:val="0050312E"/>
    <w:rsid w:val="00526459"/>
    <w:rsid w:val="00533501"/>
    <w:rsid w:val="00592F0F"/>
    <w:rsid w:val="005F4B9F"/>
    <w:rsid w:val="005F4D4C"/>
    <w:rsid w:val="00631CE4"/>
    <w:rsid w:val="00635802"/>
    <w:rsid w:val="00653678"/>
    <w:rsid w:val="0066786F"/>
    <w:rsid w:val="006A65C1"/>
    <w:rsid w:val="006B5BE9"/>
    <w:rsid w:val="006C0AED"/>
    <w:rsid w:val="006C59A2"/>
    <w:rsid w:val="006E0357"/>
    <w:rsid w:val="006F7242"/>
    <w:rsid w:val="00702E51"/>
    <w:rsid w:val="007464CF"/>
    <w:rsid w:val="007B6EF9"/>
    <w:rsid w:val="007C2B39"/>
    <w:rsid w:val="007C5A87"/>
    <w:rsid w:val="007E145E"/>
    <w:rsid w:val="00821446"/>
    <w:rsid w:val="008266A6"/>
    <w:rsid w:val="0084769B"/>
    <w:rsid w:val="00850585"/>
    <w:rsid w:val="00867845"/>
    <w:rsid w:val="0087697D"/>
    <w:rsid w:val="008A0FFE"/>
    <w:rsid w:val="008B02EF"/>
    <w:rsid w:val="008C0A4D"/>
    <w:rsid w:val="00902649"/>
    <w:rsid w:val="00907F01"/>
    <w:rsid w:val="00936EBA"/>
    <w:rsid w:val="00937031"/>
    <w:rsid w:val="009627CA"/>
    <w:rsid w:val="009873D9"/>
    <w:rsid w:val="009B75AE"/>
    <w:rsid w:val="009D0DF6"/>
    <w:rsid w:val="00A14548"/>
    <w:rsid w:val="00A33A8F"/>
    <w:rsid w:val="00A65080"/>
    <w:rsid w:val="00A747A1"/>
    <w:rsid w:val="00A767A5"/>
    <w:rsid w:val="00A778AA"/>
    <w:rsid w:val="00AE00F6"/>
    <w:rsid w:val="00AE698B"/>
    <w:rsid w:val="00AF57B8"/>
    <w:rsid w:val="00B6166E"/>
    <w:rsid w:val="00B712F1"/>
    <w:rsid w:val="00BE6601"/>
    <w:rsid w:val="00CA5C5D"/>
    <w:rsid w:val="00CC3291"/>
    <w:rsid w:val="00CD7649"/>
    <w:rsid w:val="00CE0568"/>
    <w:rsid w:val="00D16C2B"/>
    <w:rsid w:val="00DC0577"/>
    <w:rsid w:val="00DE384E"/>
    <w:rsid w:val="00E704F3"/>
    <w:rsid w:val="00E72530"/>
    <w:rsid w:val="00F54A4B"/>
    <w:rsid w:val="00F8093B"/>
    <w:rsid w:val="00FD0B27"/>
    <w:rsid w:val="010956B9"/>
    <w:rsid w:val="011F2F24"/>
    <w:rsid w:val="0197601A"/>
    <w:rsid w:val="01A65967"/>
    <w:rsid w:val="01A9493D"/>
    <w:rsid w:val="01B31AB6"/>
    <w:rsid w:val="01EC722D"/>
    <w:rsid w:val="02060B01"/>
    <w:rsid w:val="02412FA9"/>
    <w:rsid w:val="0250155B"/>
    <w:rsid w:val="026B16F4"/>
    <w:rsid w:val="028A04A8"/>
    <w:rsid w:val="02B051C7"/>
    <w:rsid w:val="02D115CF"/>
    <w:rsid w:val="02D53AE2"/>
    <w:rsid w:val="02D730FF"/>
    <w:rsid w:val="03274C7D"/>
    <w:rsid w:val="032E52C5"/>
    <w:rsid w:val="035D654A"/>
    <w:rsid w:val="03A53295"/>
    <w:rsid w:val="043E2712"/>
    <w:rsid w:val="04497420"/>
    <w:rsid w:val="04504130"/>
    <w:rsid w:val="045A52BD"/>
    <w:rsid w:val="045E05B4"/>
    <w:rsid w:val="04B61819"/>
    <w:rsid w:val="04F82E8F"/>
    <w:rsid w:val="053B3CDA"/>
    <w:rsid w:val="056156D7"/>
    <w:rsid w:val="058F1907"/>
    <w:rsid w:val="05912EC2"/>
    <w:rsid w:val="05C84DFD"/>
    <w:rsid w:val="05D86D23"/>
    <w:rsid w:val="05DF72AC"/>
    <w:rsid w:val="05EA65F3"/>
    <w:rsid w:val="05F601AF"/>
    <w:rsid w:val="060106B3"/>
    <w:rsid w:val="0610298E"/>
    <w:rsid w:val="062A4E4D"/>
    <w:rsid w:val="062B5503"/>
    <w:rsid w:val="06423291"/>
    <w:rsid w:val="0675264F"/>
    <w:rsid w:val="06764A52"/>
    <w:rsid w:val="06A378CE"/>
    <w:rsid w:val="07035C48"/>
    <w:rsid w:val="072B542B"/>
    <w:rsid w:val="0747465C"/>
    <w:rsid w:val="07C84095"/>
    <w:rsid w:val="07EE4F66"/>
    <w:rsid w:val="07F05D66"/>
    <w:rsid w:val="08007F6C"/>
    <w:rsid w:val="08047EF5"/>
    <w:rsid w:val="0832678E"/>
    <w:rsid w:val="084D6F16"/>
    <w:rsid w:val="08720720"/>
    <w:rsid w:val="08917577"/>
    <w:rsid w:val="08BE52F7"/>
    <w:rsid w:val="08FE47BF"/>
    <w:rsid w:val="091F71E7"/>
    <w:rsid w:val="09633366"/>
    <w:rsid w:val="096A56B8"/>
    <w:rsid w:val="099E1B53"/>
    <w:rsid w:val="09BE1B7F"/>
    <w:rsid w:val="09E75B71"/>
    <w:rsid w:val="0A154DBC"/>
    <w:rsid w:val="0A2D24C9"/>
    <w:rsid w:val="0A557EC4"/>
    <w:rsid w:val="0AB05D9E"/>
    <w:rsid w:val="0AC44F75"/>
    <w:rsid w:val="0B0D502B"/>
    <w:rsid w:val="0B7C60E1"/>
    <w:rsid w:val="0BF312F3"/>
    <w:rsid w:val="0BFD5751"/>
    <w:rsid w:val="0C2C69B2"/>
    <w:rsid w:val="0C37692A"/>
    <w:rsid w:val="0C513E07"/>
    <w:rsid w:val="0D0103DD"/>
    <w:rsid w:val="0D2313B6"/>
    <w:rsid w:val="0D4B3E85"/>
    <w:rsid w:val="0D584E99"/>
    <w:rsid w:val="0D63739B"/>
    <w:rsid w:val="0D901731"/>
    <w:rsid w:val="0DF479B9"/>
    <w:rsid w:val="0E0F1749"/>
    <w:rsid w:val="0E103B2E"/>
    <w:rsid w:val="0E147F5D"/>
    <w:rsid w:val="0E200AE9"/>
    <w:rsid w:val="0E5B090F"/>
    <w:rsid w:val="0E713039"/>
    <w:rsid w:val="0E975B83"/>
    <w:rsid w:val="0EFB2A8B"/>
    <w:rsid w:val="0F00462F"/>
    <w:rsid w:val="0F4A40B0"/>
    <w:rsid w:val="0F56745C"/>
    <w:rsid w:val="0F95455A"/>
    <w:rsid w:val="0F964F69"/>
    <w:rsid w:val="0F9B7E21"/>
    <w:rsid w:val="0FA74CB9"/>
    <w:rsid w:val="0FA76D4B"/>
    <w:rsid w:val="0FED1C74"/>
    <w:rsid w:val="0FEE1D9F"/>
    <w:rsid w:val="10304397"/>
    <w:rsid w:val="104B0A3D"/>
    <w:rsid w:val="10A3734F"/>
    <w:rsid w:val="10A3793A"/>
    <w:rsid w:val="10B1451D"/>
    <w:rsid w:val="10D56BFF"/>
    <w:rsid w:val="10D7558F"/>
    <w:rsid w:val="10ED53A3"/>
    <w:rsid w:val="10F15B46"/>
    <w:rsid w:val="114429B1"/>
    <w:rsid w:val="11571A01"/>
    <w:rsid w:val="11600737"/>
    <w:rsid w:val="116956E8"/>
    <w:rsid w:val="116E5C05"/>
    <w:rsid w:val="119975E6"/>
    <w:rsid w:val="11B54A14"/>
    <w:rsid w:val="11B555E3"/>
    <w:rsid w:val="11FB453F"/>
    <w:rsid w:val="12413694"/>
    <w:rsid w:val="12557B9D"/>
    <w:rsid w:val="127D4D14"/>
    <w:rsid w:val="12EF1D14"/>
    <w:rsid w:val="1339095B"/>
    <w:rsid w:val="134A50F6"/>
    <w:rsid w:val="1355293B"/>
    <w:rsid w:val="14435FB2"/>
    <w:rsid w:val="147352A6"/>
    <w:rsid w:val="14DB6530"/>
    <w:rsid w:val="14DD571E"/>
    <w:rsid w:val="14EC230C"/>
    <w:rsid w:val="14FC3D3F"/>
    <w:rsid w:val="152C720E"/>
    <w:rsid w:val="15502B44"/>
    <w:rsid w:val="15D62E11"/>
    <w:rsid w:val="15E34C4A"/>
    <w:rsid w:val="161179A7"/>
    <w:rsid w:val="16141DF1"/>
    <w:rsid w:val="163368C0"/>
    <w:rsid w:val="164B76F9"/>
    <w:rsid w:val="1661730A"/>
    <w:rsid w:val="168121C6"/>
    <w:rsid w:val="16B67E2E"/>
    <w:rsid w:val="16C30031"/>
    <w:rsid w:val="16CA300B"/>
    <w:rsid w:val="16D373E2"/>
    <w:rsid w:val="16D51E73"/>
    <w:rsid w:val="171D4598"/>
    <w:rsid w:val="17480112"/>
    <w:rsid w:val="174E56B4"/>
    <w:rsid w:val="17751D02"/>
    <w:rsid w:val="178D1E2B"/>
    <w:rsid w:val="17FE46F6"/>
    <w:rsid w:val="17FE4A8D"/>
    <w:rsid w:val="180B674F"/>
    <w:rsid w:val="1835144B"/>
    <w:rsid w:val="184274EC"/>
    <w:rsid w:val="184A08DE"/>
    <w:rsid w:val="18513FAD"/>
    <w:rsid w:val="18A2447E"/>
    <w:rsid w:val="18A62FD6"/>
    <w:rsid w:val="18D8528B"/>
    <w:rsid w:val="18E21ABA"/>
    <w:rsid w:val="190004B4"/>
    <w:rsid w:val="1918542A"/>
    <w:rsid w:val="192247FB"/>
    <w:rsid w:val="192A7A76"/>
    <w:rsid w:val="193B0232"/>
    <w:rsid w:val="198162E3"/>
    <w:rsid w:val="19973FAC"/>
    <w:rsid w:val="19DB5CB9"/>
    <w:rsid w:val="19E54FE8"/>
    <w:rsid w:val="1A167283"/>
    <w:rsid w:val="1A1F50AD"/>
    <w:rsid w:val="1A2A3ED6"/>
    <w:rsid w:val="1A6D0F36"/>
    <w:rsid w:val="1ACF3083"/>
    <w:rsid w:val="1AD45518"/>
    <w:rsid w:val="1B05645E"/>
    <w:rsid w:val="1B074673"/>
    <w:rsid w:val="1B167875"/>
    <w:rsid w:val="1B284D48"/>
    <w:rsid w:val="1B5F65E5"/>
    <w:rsid w:val="1B61719E"/>
    <w:rsid w:val="1B7539A1"/>
    <w:rsid w:val="1B8537FB"/>
    <w:rsid w:val="1B8B39A2"/>
    <w:rsid w:val="1BA05BC9"/>
    <w:rsid w:val="1BE60B0A"/>
    <w:rsid w:val="1C187644"/>
    <w:rsid w:val="1C211ADE"/>
    <w:rsid w:val="1C345DA5"/>
    <w:rsid w:val="1C615B9C"/>
    <w:rsid w:val="1CB311C5"/>
    <w:rsid w:val="1CB40473"/>
    <w:rsid w:val="1CCD7219"/>
    <w:rsid w:val="1CDA1FC5"/>
    <w:rsid w:val="1CE819CE"/>
    <w:rsid w:val="1CF5135A"/>
    <w:rsid w:val="1D3B40F8"/>
    <w:rsid w:val="1D4110F7"/>
    <w:rsid w:val="1D437361"/>
    <w:rsid w:val="1D7E7319"/>
    <w:rsid w:val="1D8263AC"/>
    <w:rsid w:val="1DD678F3"/>
    <w:rsid w:val="1DD973E1"/>
    <w:rsid w:val="1DE00B9B"/>
    <w:rsid w:val="1DF51C5D"/>
    <w:rsid w:val="1E0C698A"/>
    <w:rsid w:val="1E5529DB"/>
    <w:rsid w:val="1E660EA8"/>
    <w:rsid w:val="1E9B1753"/>
    <w:rsid w:val="1EB178B6"/>
    <w:rsid w:val="1EC950F1"/>
    <w:rsid w:val="1ED56E58"/>
    <w:rsid w:val="1ED75EBD"/>
    <w:rsid w:val="1EDC767F"/>
    <w:rsid w:val="1EEA6814"/>
    <w:rsid w:val="1EF93BE8"/>
    <w:rsid w:val="1EFF3E03"/>
    <w:rsid w:val="1F665C58"/>
    <w:rsid w:val="1F6A262F"/>
    <w:rsid w:val="1F784E33"/>
    <w:rsid w:val="1FA01395"/>
    <w:rsid w:val="1FB31B36"/>
    <w:rsid w:val="1FB757FE"/>
    <w:rsid w:val="1FDA0448"/>
    <w:rsid w:val="1FDF2C96"/>
    <w:rsid w:val="2007051C"/>
    <w:rsid w:val="20142881"/>
    <w:rsid w:val="201B6190"/>
    <w:rsid w:val="204B50CB"/>
    <w:rsid w:val="20A13DFB"/>
    <w:rsid w:val="20BB67D7"/>
    <w:rsid w:val="20CB3F2D"/>
    <w:rsid w:val="20D03FFA"/>
    <w:rsid w:val="2158099E"/>
    <w:rsid w:val="215D5844"/>
    <w:rsid w:val="217E0FAF"/>
    <w:rsid w:val="2187092C"/>
    <w:rsid w:val="21E91AA5"/>
    <w:rsid w:val="22305865"/>
    <w:rsid w:val="227E4F7F"/>
    <w:rsid w:val="22856798"/>
    <w:rsid w:val="22A62E07"/>
    <w:rsid w:val="22C866CF"/>
    <w:rsid w:val="235620AA"/>
    <w:rsid w:val="23656354"/>
    <w:rsid w:val="236C5A40"/>
    <w:rsid w:val="238E7B53"/>
    <w:rsid w:val="23B2002A"/>
    <w:rsid w:val="23E67EEE"/>
    <w:rsid w:val="23E74337"/>
    <w:rsid w:val="23EC06EE"/>
    <w:rsid w:val="23F71FB1"/>
    <w:rsid w:val="24495D82"/>
    <w:rsid w:val="24517AC2"/>
    <w:rsid w:val="2490229D"/>
    <w:rsid w:val="24BE3E87"/>
    <w:rsid w:val="24FF5924"/>
    <w:rsid w:val="250462F2"/>
    <w:rsid w:val="25311E94"/>
    <w:rsid w:val="25495FB2"/>
    <w:rsid w:val="257148FD"/>
    <w:rsid w:val="257A14D4"/>
    <w:rsid w:val="25915232"/>
    <w:rsid w:val="25FA0E5B"/>
    <w:rsid w:val="26267A5A"/>
    <w:rsid w:val="26410861"/>
    <w:rsid w:val="264A0ADC"/>
    <w:rsid w:val="26782832"/>
    <w:rsid w:val="2681761D"/>
    <w:rsid w:val="268ECCE7"/>
    <w:rsid w:val="26C4117D"/>
    <w:rsid w:val="26C55077"/>
    <w:rsid w:val="26C67DCA"/>
    <w:rsid w:val="26D22FFA"/>
    <w:rsid w:val="277B7F45"/>
    <w:rsid w:val="279E0C94"/>
    <w:rsid w:val="27A46F3F"/>
    <w:rsid w:val="27B3298E"/>
    <w:rsid w:val="27C25739"/>
    <w:rsid w:val="27D04DEC"/>
    <w:rsid w:val="27D42F58"/>
    <w:rsid w:val="27DB768B"/>
    <w:rsid w:val="28435B7F"/>
    <w:rsid w:val="28600B66"/>
    <w:rsid w:val="286605A5"/>
    <w:rsid w:val="28A052DD"/>
    <w:rsid w:val="28A83FC2"/>
    <w:rsid w:val="28DD7362"/>
    <w:rsid w:val="28E77B78"/>
    <w:rsid w:val="294009BC"/>
    <w:rsid w:val="294E6999"/>
    <w:rsid w:val="297437D3"/>
    <w:rsid w:val="297E1138"/>
    <w:rsid w:val="29AD51F1"/>
    <w:rsid w:val="29DE78DA"/>
    <w:rsid w:val="29FF6359"/>
    <w:rsid w:val="2A2D2281"/>
    <w:rsid w:val="2A393165"/>
    <w:rsid w:val="2A3E5CE0"/>
    <w:rsid w:val="2A564B1A"/>
    <w:rsid w:val="2A59345D"/>
    <w:rsid w:val="2A8F0811"/>
    <w:rsid w:val="2AC361B8"/>
    <w:rsid w:val="2B14184F"/>
    <w:rsid w:val="2B1A7123"/>
    <w:rsid w:val="2B323216"/>
    <w:rsid w:val="2B5070C3"/>
    <w:rsid w:val="2B5349DD"/>
    <w:rsid w:val="2B5615F8"/>
    <w:rsid w:val="2B56490D"/>
    <w:rsid w:val="2B691AAF"/>
    <w:rsid w:val="2B960E47"/>
    <w:rsid w:val="2B9724D3"/>
    <w:rsid w:val="2BD21092"/>
    <w:rsid w:val="2BD23359"/>
    <w:rsid w:val="2BDF56D0"/>
    <w:rsid w:val="2C4F302F"/>
    <w:rsid w:val="2C5D01B4"/>
    <w:rsid w:val="2C8C386A"/>
    <w:rsid w:val="2C8F03EE"/>
    <w:rsid w:val="2D1113E7"/>
    <w:rsid w:val="2D5E10AC"/>
    <w:rsid w:val="2D83307B"/>
    <w:rsid w:val="2D906714"/>
    <w:rsid w:val="2D92748D"/>
    <w:rsid w:val="2D9F2933"/>
    <w:rsid w:val="2DA33F06"/>
    <w:rsid w:val="2DAC49D4"/>
    <w:rsid w:val="2DD4561F"/>
    <w:rsid w:val="2DDE6AD5"/>
    <w:rsid w:val="2ECE6823"/>
    <w:rsid w:val="2F3D1AB7"/>
    <w:rsid w:val="2F534FBA"/>
    <w:rsid w:val="2F5770A3"/>
    <w:rsid w:val="2F736200"/>
    <w:rsid w:val="2FB31D1D"/>
    <w:rsid w:val="2FCB06FD"/>
    <w:rsid w:val="30461A18"/>
    <w:rsid w:val="30554803"/>
    <w:rsid w:val="30734DCD"/>
    <w:rsid w:val="30AC0E10"/>
    <w:rsid w:val="30BD1FF5"/>
    <w:rsid w:val="31274871"/>
    <w:rsid w:val="313679C0"/>
    <w:rsid w:val="317B7F9A"/>
    <w:rsid w:val="318A7926"/>
    <w:rsid w:val="318C2B0A"/>
    <w:rsid w:val="31A51C61"/>
    <w:rsid w:val="31BA642B"/>
    <w:rsid w:val="320203E0"/>
    <w:rsid w:val="320A5BC8"/>
    <w:rsid w:val="32173476"/>
    <w:rsid w:val="324F6073"/>
    <w:rsid w:val="32537B6B"/>
    <w:rsid w:val="32606106"/>
    <w:rsid w:val="327407B2"/>
    <w:rsid w:val="32B36A31"/>
    <w:rsid w:val="32EA1BE4"/>
    <w:rsid w:val="335E5701"/>
    <w:rsid w:val="33AC62D3"/>
    <w:rsid w:val="33D34422"/>
    <w:rsid w:val="33E50A3D"/>
    <w:rsid w:val="33E53A89"/>
    <w:rsid w:val="33F33CDC"/>
    <w:rsid w:val="34024521"/>
    <w:rsid w:val="341D063E"/>
    <w:rsid w:val="34331021"/>
    <w:rsid w:val="34514A9F"/>
    <w:rsid w:val="3470513B"/>
    <w:rsid w:val="349506EC"/>
    <w:rsid w:val="34C80492"/>
    <w:rsid w:val="34E330D7"/>
    <w:rsid w:val="34FD6A58"/>
    <w:rsid w:val="350C09FB"/>
    <w:rsid w:val="351029CA"/>
    <w:rsid w:val="3518408E"/>
    <w:rsid w:val="352A38BA"/>
    <w:rsid w:val="352C256E"/>
    <w:rsid w:val="3570462E"/>
    <w:rsid w:val="35BD5C98"/>
    <w:rsid w:val="35C40BE4"/>
    <w:rsid w:val="35D752FB"/>
    <w:rsid w:val="35FF72CB"/>
    <w:rsid w:val="362C603B"/>
    <w:rsid w:val="364D5387"/>
    <w:rsid w:val="36630B18"/>
    <w:rsid w:val="367F175C"/>
    <w:rsid w:val="36BA360D"/>
    <w:rsid w:val="36D2459A"/>
    <w:rsid w:val="371A3554"/>
    <w:rsid w:val="37D25535"/>
    <w:rsid w:val="37DD3927"/>
    <w:rsid w:val="37DE0CE4"/>
    <w:rsid w:val="37E55200"/>
    <w:rsid w:val="38644C48"/>
    <w:rsid w:val="38672597"/>
    <w:rsid w:val="386A039A"/>
    <w:rsid w:val="386D15A8"/>
    <w:rsid w:val="388A79CA"/>
    <w:rsid w:val="38903767"/>
    <w:rsid w:val="38980CA7"/>
    <w:rsid w:val="38B040A0"/>
    <w:rsid w:val="38B76B06"/>
    <w:rsid w:val="38D03EEF"/>
    <w:rsid w:val="38F97BF9"/>
    <w:rsid w:val="391A1CBC"/>
    <w:rsid w:val="391E5B7E"/>
    <w:rsid w:val="393161D9"/>
    <w:rsid w:val="39B21616"/>
    <w:rsid w:val="39CC51A7"/>
    <w:rsid w:val="39D32B5B"/>
    <w:rsid w:val="39E4371E"/>
    <w:rsid w:val="3A403C81"/>
    <w:rsid w:val="3A45671E"/>
    <w:rsid w:val="3A5430B5"/>
    <w:rsid w:val="3A5663A7"/>
    <w:rsid w:val="3A8137CF"/>
    <w:rsid w:val="3A9C656E"/>
    <w:rsid w:val="3AA24AAD"/>
    <w:rsid w:val="3AA813B8"/>
    <w:rsid w:val="3AD938AF"/>
    <w:rsid w:val="3B306F8A"/>
    <w:rsid w:val="3B462AB3"/>
    <w:rsid w:val="3B4E1513"/>
    <w:rsid w:val="3B5D2578"/>
    <w:rsid w:val="3BB816AE"/>
    <w:rsid w:val="3BBB0DE7"/>
    <w:rsid w:val="3BC018CE"/>
    <w:rsid w:val="3BE46204"/>
    <w:rsid w:val="3BF22D88"/>
    <w:rsid w:val="3C0975AF"/>
    <w:rsid w:val="3C131646"/>
    <w:rsid w:val="3C30194D"/>
    <w:rsid w:val="3C845AD4"/>
    <w:rsid w:val="3C8D799B"/>
    <w:rsid w:val="3CAE04D4"/>
    <w:rsid w:val="3CC166C6"/>
    <w:rsid w:val="3CFB4E8F"/>
    <w:rsid w:val="3D0111BA"/>
    <w:rsid w:val="3D0B54D4"/>
    <w:rsid w:val="3D2F437F"/>
    <w:rsid w:val="3D620AEC"/>
    <w:rsid w:val="3D6300FB"/>
    <w:rsid w:val="3D9A0411"/>
    <w:rsid w:val="3DDA1A96"/>
    <w:rsid w:val="3DF142FD"/>
    <w:rsid w:val="3DF23BD4"/>
    <w:rsid w:val="3DFA1AB2"/>
    <w:rsid w:val="3E144DBF"/>
    <w:rsid w:val="3ED441DB"/>
    <w:rsid w:val="3EFD29B5"/>
    <w:rsid w:val="3F953DF0"/>
    <w:rsid w:val="3F9A3777"/>
    <w:rsid w:val="3FA946A4"/>
    <w:rsid w:val="3FAF085F"/>
    <w:rsid w:val="3FB87B34"/>
    <w:rsid w:val="3FBE2EAB"/>
    <w:rsid w:val="3FDF5D8B"/>
    <w:rsid w:val="4043537E"/>
    <w:rsid w:val="404D4317"/>
    <w:rsid w:val="405768AD"/>
    <w:rsid w:val="4058091B"/>
    <w:rsid w:val="408F7B93"/>
    <w:rsid w:val="40ED50EB"/>
    <w:rsid w:val="412A2DE8"/>
    <w:rsid w:val="412C7A19"/>
    <w:rsid w:val="419023B2"/>
    <w:rsid w:val="4195273E"/>
    <w:rsid w:val="41985B8A"/>
    <w:rsid w:val="41E22AA9"/>
    <w:rsid w:val="421637A2"/>
    <w:rsid w:val="42A44AC5"/>
    <w:rsid w:val="42BC2D5B"/>
    <w:rsid w:val="431F14DC"/>
    <w:rsid w:val="434D75B0"/>
    <w:rsid w:val="437331C5"/>
    <w:rsid w:val="438C5904"/>
    <w:rsid w:val="43AF4E51"/>
    <w:rsid w:val="440B099A"/>
    <w:rsid w:val="44456047"/>
    <w:rsid w:val="444724C3"/>
    <w:rsid w:val="446B447F"/>
    <w:rsid w:val="44734181"/>
    <w:rsid w:val="44786AF5"/>
    <w:rsid w:val="447D6B8A"/>
    <w:rsid w:val="44C656E9"/>
    <w:rsid w:val="450A7A8A"/>
    <w:rsid w:val="45145A92"/>
    <w:rsid w:val="451A7D67"/>
    <w:rsid w:val="452712C1"/>
    <w:rsid w:val="452A2D40"/>
    <w:rsid w:val="45484D30"/>
    <w:rsid w:val="455370E8"/>
    <w:rsid w:val="455F4CA1"/>
    <w:rsid w:val="45711DC0"/>
    <w:rsid w:val="459C2230"/>
    <w:rsid w:val="45AB60FB"/>
    <w:rsid w:val="46155BCE"/>
    <w:rsid w:val="46E346EA"/>
    <w:rsid w:val="472A51C3"/>
    <w:rsid w:val="47B44CF5"/>
    <w:rsid w:val="47D1378B"/>
    <w:rsid w:val="47EE7AC3"/>
    <w:rsid w:val="480E697B"/>
    <w:rsid w:val="481F4627"/>
    <w:rsid w:val="482350FB"/>
    <w:rsid w:val="4831629B"/>
    <w:rsid w:val="483A7313"/>
    <w:rsid w:val="48515D74"/>
    <w:rsid w:val="485355B6"/>
    <w:rsid w:val="487D07B7"/>
    <w:rsid w:val="48800121"/>
    <w:rsid w:val="48A823C1"/>
    <w:rsid w:val="48AE4E97"/>
    <w:rsid w:val="49632629"/>
    <w:rsid w:val="49651CD2"/>
    <w:rsid w:val="4970111A"/>
    <w:rsid w:val="499D3D8F"/>
    <w:rsid w:val="49AC7686"/>
    <w:rsid w:val="49B660D4"/>
    <w:rsid w:val="49C41EEE"/>
    <w:rsid w:val="49CB1B43"/>
    <w:rsid w:val="4A5D2FAF"/>
    <w:rsid w:val="4A5F692B"/>
    <w:rsid w:val="4A9A4319"/>
    <w:rsid w:val="4AAA389B"/>
    <w:rsid w:val="4AEB13D7"/>
    <w:rsid w:val="4B137ED7"/>
    <w:rsid w:val="4B761FE7"/>
    <w:rsid w:val="4B7C201B"/>
    <w:rsid w:val="4C1A24F2"/>
    <w:rsid w:val="4C446F89"/>
    <w:rsid w:val="4C8A4722"/>
    <w:rsid w:val="4CD13C7C"/>
    <w:rsid w:val="4CF87B3F"/>
    <w:rsid w:val="4D162412"/>
    <w:rsid w:val="4D4A09B2"/>
    <w:rsid w:val="4D796B65"/>
    <w:rsid w:val="4DA2076A"/>
    <w:rsid w:val="4DD931ED"/>
    <w:rsid w:val="4DDA341C"/>
    <w:rsid w:val="4E054491"/>
    <w:rsid w:val="4E193D8B"/>
    <w:rsid w:val="4E3126EA"/>
    <w:rsid w:val="4E96654E"/>
    <w:rsid w:val="4EB23440"/>
    <w:rsid w:val="4EBB2894"/>
    <w:rsid w:val="4ED013F0"/>
    <w:rsid w:val="4EE30DA5"/>
    <w:rsid w:val="4F0857E0"/>
    <w:rsid w:val="4F3563F6"/>
    <w:rsid w:val="4F4579BA"/>
    <w:rsid w:val="4F616E7F"/>
    <w:rsid w:val="4F6676CA"/>
    <w:rsid w:val="4F710E1B"/>
    <w:rsid w:val="4F863C52"/>
    <w:rsid w:val="4F880CC4"/>
    <w:rsid w:val="4FED6C1F"/>
    <w:rsid w:val="500463D5"/>
    <w:rsid w:val="50CA043D"/>
    <w:rsid w:val="50E66D2E"/>
    <w:rsid w:val="50F9379B"/>
    <w:rsid w:val="50FA2E24"/>
    <w:rsid w:val="51141173"/>
    <w:rsid w:val="51465EDE"/>
    <w:rsid w:val="516B13E1"/>
    <w:rsid w:val="51CC6774"/>
    <w:rsid w:val="51E9366A"/>
    <w:rsid w:val="51F85F6D"/>
    <w:rsid w:val="51FA3076"/>
    <w:rsid w:val="52021367"/>
    <w:rsid w:val="52033137"/>
    <w:rsid w:val="52037722"/>
    <w:rsid w:val="522D765F"/>
    <w:rsid w:val="524D5F42"/>
    <w:rsid w:val="527253F9"/>
    <w:rsid w:val="529973E7"/>
    <w:rsid w:val="52A60332"/>
    <w:rsid w:val="52A92E95"/>
    <w:rsid w:val="52C126BC"/>
    <w:rsid w:val="52D32445"/>
    <w:rsid w:val="52F03850"/>
    <w:rsid w:val="532000FC"/>
    <w:rsid w:val="53711E3B"/>
    <w:rsid w:val="53794EE4"/>
    <w:rsid w:val="537A41D7"/>
    <w:rsid w:val="53FB57B4"/>
    <w:rsid w:val="54344ED7"/>
    <w:rsid w:val="54A86561"/>
    <w:rsid w:val="54E663D0"/>
    <w:rsid w:val="54E875CB"/>
    <w:rsid w:val="54E91972"/>
    <w:rsid w:val="55455835"/>
    <w:rsid w:val="55460092"/>
    <w:rsid w:val="555C756B"/>
    <w:rsid w:val="55657E06"/>
    <w:rsid w:val="558B40AC"/>
    <w:rsid w:val="55A963BC"/>
    <w:rsid w:val="55B03AA7"/>
    <w:rsid w:val="55B76C77"/>
    <w:rsid w:val="55D07330"/>
    <w:rsid w:val="560F143B"/>
    <w:rsid w:val="56192FEB"/>
    <w:rsid w:val="561E122B"/>
    <w:rsid w:val="564B6FCB"/>
    <w:rsid w:val="569F2A2D"/>
    <w:rsid w:val="56A85F12"/>
    <w:rsid w:val="56E02DD9"/>
    <w:rsid w:val="56E256F1"/>
    <w:rsid w:val="571F3B9F"/>
    <w:rsid w:val="573524E8"/>
    <w:rsid w:val="573B2A5D"/>
    <w:rsid w:val="57A35304"/>
    <w:rsid w:val="57FB2995"/>
    <w:rsid w:val="5804571A"/>
    <w:rsid w:val="582D028C"/>
    <w:rsid w:val="586355FC"/>
    <w:rsid w:val="58815C65"/>
    <w:rsid w:val="58C05A08"/>
    <w:rsid w:val="58D917B1"/>
    <w:rsid w:val="5908356E"/>
    <w:rsid w:val="59824EC4"/>
    <w:rsid w:val="59895F5E"/>
    <w:rsid w:val="59B42ADB"/>
    <w:rsid w:val="59B6604B"/>
    <w:rsid w:val="59D565D7"/>
    <w:rsid w:val="5A1E6BB9"/>
    <w:rsid w:val="5A260973"/>
    <w:rsid w:val="5A78011B"/>
    <w:rsid w:val="5ABF4DD0"/>
    <w:rsid w:val="5AD308BA"/>
    <w:rsid w:val="5AE5646D"/>
    <w:rsid w:val="5B055454"/>
    <w:rsid w:val="5B195252"/>
    <w:rsid w:val="5B20492A"/>
    <w:rsid w:val="5B2637FF"/>
    <w:rsid w:val="5B2C291E"/>
    <w:rsid w:val="5B382F7E"/>
    <w:rsid w:val="5B754864"/>
    <w:rsid w:val="5B7F75ED"/>
    <w:rsid w:val="5B9448E0"/>
    <w:rsid w:val="5B9556D7"/>
    <w:rsid w:val="5B9D28A4"/>
    <w:rsid w:val="5BC43C58"/>
    <w:rsid w:val="5BF50752"/>
    <w:rsid w:val="5C1F53E5"/>
    <w:rsid w:val="5C474A79"/>
    <w:rsid w:val="5C493B17"/>
    <w:rsid w:val="5CC25487"/>
    <w:rsid w:val="5D382969"/>
    <w:rsid w:val="5D463890"/>
    <w:rsid w:val="5D5770D4"/>
    <w:rsid w:val="5E172203"/>
    <w:rsid w:val="5E313C33"/>
    <w:rsid w:val="5E5228DD"/>
    <w:rsid w:val="5E5D687A"/>
    <w:rsid w:val="5E6E1241"/>
    <w:rsid w:val="5E8E3441"/>
    <w:rsid w:val="5EAF4AD5"/>
    <w:rsid w:val="5EE87324"/>
    <w:rsid w:val="5EFD3AFE"/>
    <w:rsid w:val="5F002EB9"/>
    <w:rsid w:val="5F120B14"/>
    <w:rsid w:val="5F124D16"/>
    <w:rsid w:val="5F701C7F"/>
    <w:rsid w:val="5F8865A4"/>
    <w:rsid w:val="5F9D716C"/>
    <w:rsid w:val="5FEF30F6"/>
    <w:rsid w:val="6000238C"/>
    <w:rsid w:val="6034780D"/>
    <w:rsid w:val="604D731C"/>
    <w:rsid w:val="605E3AD6"/>
    <w:rsid w:val="607B7A2B"/>
    <w:rsid w:val="6097392B"/>
    <w:rsid w:val="60BE73CC"/>
    <w:rsid w:val="61EA3A83"/>
    <w:rsid w:val="61F05DF2"/>
    <w:rsid w:val="62393C12"/>
    <w:rsid w:val="623B4C06"/>
    <w:rsid w:val="62786599"/>
    <w:rsid w:val="62A720FF"/>
    <w:rsid w:val="62DB4A56"/>
    <w:rsid w:val="62E9425E"/>
    <w:rsid w:val="630D6C19"/>
    <w:rsid w:val="632145C8"/>
    <w:rsid w:val="632D02AC"/>
    <w:rsid w:val="634023A4"/>
    <w:rsid w:val="63577E17"/>
    <w:rsid w:val="6384306F"/>
    <w:rsid w:val="63972408"/>
    <w:rsid w:val="639F4BDA"/>
    <w:rsid w:val="640D1D95"/>
    <w:rsid w:val="64486E91"/>
    <w:rsid w:val="647A659D"/>
    <w:rsid w:val="64965EF8"/>
    <w:rsid w:val="64C76D10"/>
    <w:rsid w:val="64E877AE"/>
    <w:rsid w:val="65122B9A"/>
    <w:rsid w:val="65180024"/>
    <w:rsid w:val="653826DF"/>
    <w:rsid w:val="653A3911"/>
    <w:rsid w:val="656E70E5"/>
    <w:rsid w:val="657B0763"/>
    <w:rsid w:val="658B3245"/>
    <w:rsid w:val="65D344E5"/>
    <w:rsid w:val="65E90AA1"/>
    <w:rsid w:val="66281452"/>
    <w:rsid w:val="662F4375"/>
    <w:rsid w:val="66423767"/>
    <w:rsid w:val="666C539C"/>
    <w:rsid w:val="668521AA"/>
    <w:rsid w:val="66A568EF"/>
    <w:rsid w:val="67287D1E"/>
    <w:rsid w:val="672D2980"/>
    <w:rsid w:val="67330108"/>
    <w:rsid w:val="67475D8F"/>
    <w:rsid w:val="674939C6"/>
    <w:rsid w:val="67807707"/>
    <w:rsid w:val="67A179BC"/>
    <w:rsid w:val="67CB1EAD"/>
    <w:rsid w:val="67D81F2D"/>
    <w:rsid w:val="67F80619"/>
    <w:rsid w:val="68111616"/>
    <w:rsid w:val="68441023"/>
    <w:rsid w:val="68492CBE"/>
    <w:rsid w:val="68621E75"/>
    <w:rsid w:val="686A1960"/>
    <w:rsid w:val="68800415"/>
    <w:rsid w:val="68C40B7C"/>
    <w:rsid w:val="68D42CD1"/>
    <w:rsid w:val="68EF6867"/>
    <w:rsid w:val="69953CA6"/>
    <w:rsid w:val="69A37AFC"/>
    <w:rsid w:val="69BC11A3"/>
    <w:rsid w:val="69C21D1C"/>
    <w:rsid w:val="69EE6281"/>
    <w:rsid w:val="6A134BDC"/>
    <w:rsid w:val="6A182517"/>
    <w:rsid w:val="6A1F3F49"/>
    <w:rsid w:val="6A8D052A"/>
    <w:rsid w:val="6A9B31EF"/>
    <w:rsid w:val="6AA747C0"/>
    <w:rsid w:val="6AC200AA"/>
    <w:rsid w:val="6AC92F8B"/>
    <w:rsid w:val="6AE81992"/>
    <w:rsid w:val="6AF2255A"/>
    <w:rsid w:val="6B0541E5"/>
    <w:rsid w:val="6B16350B"/>
    <w:rsid w:val="6B447303"/>
    <w:rsid w:val="6B723766"/>
    <w:rsid w:val="6B7A5C08"/>
    <w:rsid w:val="6BDF2A06"/>
    <w:rsid w:val="6BE5244D"/>
    <w:rsid w:val="6BE652B2"/>
    <w:rsid w:val="6BFB2465"/>
    <w:rsid w:val="6C1B6401"/>
    <w:rsid w:val="6C216BDA"/>
    <w:rsid w:val="6C2A6555"/>
    <w:rsid w:val="6C3572D1"/>
    <w:rsid w:val="6C3A7DC0"/>
    <w:rsid w:val="6C6C54A8"/>
    <w:rsid w:val="6C902FAB"/>
    <w:rsid w:val="6CB02E6F"/>
    <w:rsid w:val="6CD60AD6"/>
    <w:rsid w:val="6CE92440"/>
    <w:rsid w:val="6D247286"/>
    <w:rsid w:val="6D7169BE"/>
    <w:rsid w:val="6D8E73BE"/>
    <w:rsid w:val="6D9C5231"/>
    <w:rsid w:val="6DC3279E"/>
    <w:rsid w:val="6DF25F1A"/>
    <w:rsid w:val="6E007E6C"/>
    <w:rsid w:val="6E0B3553"/>
    <w:rsid w:val="6E30321A"/>
    <w:rsid w:val="6E5A7A79"/>
    <w:rsid w:val="6E9C1F7D"/>
    <w:rsid w:val="6EA66200"/>
    <w:rsid w:val="6EBA14FC"/>
    <w:rsid w:val="6F0E281D"/>
    <w:rsid w:val="6F4C0241"/>
    <w:rsid w:val="6F5E00F8"/>
    <w:rsid w:val="6F617440"/>
    <w:rsid w:val="6F6B3CDD"/>
    <w:rsid w:val="6F7A0754"/>
    <w:rsid w:val="6F802244"/>
    <w:rsid w:val="6F836EA2"/>
    <w:rsid w:val="6FBB7254"/>
    <w:rsid w:val="700F1EEC"/>
    <w:rsid w:val="702421EC"/>
    <w:rsid w:val="70323CA3"/>
    <w:rsid w:val="706C6E1C"/>
    <w:rsid w:val="706F4F60"/>
    <w:rsid w:val="708A7564"/>
    <w:rsid w:val="70F97BEF"/>
    <w:rsid w:val="71056675"/>
    <w:rsid w:val="71217808"/>
    <w:rsid w:val="714C32F8"/>
    <w:rsid w:val="716F3BDA"/>
    <w:rsid w:val="71A066EB"/>
    <w:rsid w:val="71A2371C"/>
    <w:rsid w:val="71B172AE"/>
    <w:rsid w:val="71B53319"/>
    <w:rsid w:val="71F97F26"/>
    <w:rsid w:val="72057A5D"/>
    <w:rsid w:val="724B525A"/>
    <w:rsid w:val="72AD27A3"/>
    <w:rsid w:val="72AF0BE6"/>
    <w:rsid w:val="72B17246"/>
    <w:rsid w:val="72CC32D2"/>
    <w:rsid w:val="72DB7CC0"/>
    <w:rsid w:val="72F0657E"/>
    <w:rsid w:val="72F677EE"/>
    <w:rsid w:val="72F938B1"/>
    <w:rsid w:val="73163614"/>
    <w:rsid w:val="73356E2F"/>
    <w:rsid w:val="733F20F9"/>
    <w:rsid w:val="734F7AF0"/>
    <w:rsid w:val="73694C57"/>
    <w:rsid w:val="73790097"/>
    <w:rsid w:val="738D707D"/>
    <w:rsid w:val="739B01DE"/>
    <w:rsid w:val="73E3436D"/>
    <w:rsid w:val="73F74C1B"/>
    <w:rsid w:val="73FB406D"/>
    <w:rsid w:val="740327A1"/>
    <w:rsid w:val="7426378C"/>
    <w:rsid w:val="747F36ED"/>
    <w:rsid w:val="749361AD"/>
    <w:rsid w:val="74CA3652"/>
    <w:rsid w:val="74FE3C35"/>
    <w:rsid w:val="7533351C"/>
    <w:rsid w:val="75403A38"/>
    <w:rsid w:val="75986EAB"/>
    <w:rsid w:val="75B5059E"/>
    <w:rsid w:val="7606053C"/>
    <w:rsid w:val="760C20EC"/>
    <w:rsid w:val="76132EED"/>
    <w:rsid w:val="764B6827"/>
    <w:rsid w:val="76C437CA"/>
    <w:rsid w:val="76C71670"/>
    <w:rsid w:val="772B6DDC"/>
    <w:rsid w:val="778843F2"/>
    <w:rsid w:val="77AB49A9"/>
    <w:rsid w:val="77E062F9"/>
    <w:rsid w:val="77E377CC"/>
    <w:rsid w:val="77EC3D62"/>
    <w:rsid w:val="77F70538"/>
    <w:rsid w:val="78271C50"/>
    <w:rsid w:val="78446BC0"/>
    <w:rsid w:val="78533A51"/>
    <w:rsid w:val="78563854"/>
    <w:rsid w:val="78826C44"/>
    <w:rsid w:val="78A7520D"/>
    <w:rsid w:val="78F83A46"/>
    <w:rsid w:val="78FA7AD7"/>
    <w:rsid w:val="78FD3560"/>
    <w:rsid w:val="791657D0"/>
    <w:rsid w:val="791F32F7"/>
    <w:rsid w:val="79216700"/>
    <w:rsid w:val="792B0267"/>
    <w:rsid w:val="793A0D98"/>
    <w:rsid w:val="79743B4E"/>
    <w:rsid w:val="798668EE"/>
    <w:rsid w:val="79B64076"/>
    <w:rsid w:val="79BE1DD4"/>
    <w:rsid w:val="79CF3B35"/>
    <w:rsid w:val="79D064AC"/>
    <w:rsid w:val="79EB6152"/>
    <w:rsid w:val="7A1C166A"/>
    <w:rsid w:val="7A284AEE"/>
    <w:rsid w:val="7A5633C8"/>
    <w:rsid w:val="7A865FFF"/>
    <w:rsid w:val="7A895431"/>
    <w:rsid w:val="7A9D4EF3"/>
    <w:rsid w:val="7AB70DF5"/>
    <w:rsid w:val="7ABF7835"/>
    <w:rsid w:val="7ADC6D54"/>
    <w:rsid w:val="7B105840"/>
    <w:rsid w:val="7B2F04FE"/>
    <w:rsid w:val="7B4C2D7A"/>
    <w:rsid w:val="7B5372C9"/>
    <w:rsid w:val="7B915EA9"/>
    <w:rsid w:val="7BB60F1E"/>
    <w:rsid w:val="7BE32DC8"/>
    <w:rsid w:val="7C120319"/>
    <w:rsid w:val="7C3E5BBE"/>
    <w:rsid w:val="7C87516E"/>
    <w:rsid w:val="7CC0644F"/>
    <w:rsid w:val="7CCB393D"/>
    <w:rsid w:val="7CE828AF"/>
    <w:rsid w:val="7CE87237"/>
    <w:rsid w:val="7CEE7E59"/>
    <w:rsid w:val="7D033D55"/>
    <w:rsid w:val="7D0A50EB"/>
    <w:rsid w:val="7D0B2B16"/>
    <w:rsid w:val="7D21741B"/>
    <w:rsid w:val="7D2D5311"/>
    <w:rsid w:val="7D456E5C"/>
    <w:rsid w:val="7D602EB0"/>
    <w:rsid w:val="7D622D63"/>
    <w:rsid w:val="7D9F13C0"/>
    <w:rsid w:val="7DA427D7"/>
    <w:rsid w:val="7DEF0324"/>
    <w:rsid w:val="7DEF7477"/>
    <w:rsid w:val="7E1615DC"/>
    <w:rsid w:val="7E2F690B"/>
    <w:rsid w:val="7E536168"/>
    <w:rsid w:val="7E925F9B"/>
    <w:rsid w:val="7EA47312"/>
    <w:rsid w:val="7F0614EB"/>
    <w:rsid w:val="7F0A77A6"/>
    <w:rsid w:val="7F205D68"/>
    <w:rsid w:val="7F601BE3"/>
    <w:rsid w:val="7F6E1773"/>
    <w:rsid w:val="7FBB4867"/>
    <w:rsid w:val="7FD124F5"/>
    <w:rsid w:val="7FD54C6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fi-FI" w:eastAsia="en-US" w:bidi="ar-SA"/>
    </w:rPr>
  </w:style>
  <w:style w:type="paragraph" w:styleId="2">
    <w:name w:val="heading 1"/>
    <w:next w:val="1"/>
    <w:link w:val="27"/>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1"/>
    <w:next w:val="1"/>
    <w:link w:val="34"/>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before="120" w:after="120"/>
    </w:pPr>
    <w:rPr>
      <w:b/>
    </w:rPr>
  </w:style>
  <w:style w:type="paragraph" w:styleId="5">
    <w:name w:val="annotation text"/>
    <w:basedOn w:val="1"/>
    <w:link w:val="21"/>
    <w:semiHidden/>
    <w:unhideWhenUsed/>
    <w:qFormat/>
    <w:uiPriority w:val="99"/>
    <w:pPr>
      <w:spacing w:line="240" w:lineRule="auto"/>
    </w:pPr>
    <w:rPr>
      <w:sz w:val="20"/>
      <w:szCs w:val="20"/>
    </w:rPr>
  </w:style>
  <w:style w:type="paragraph" w:styleId="6">
    <w:name w:val="Body Text"/>
    <w:basedOn w:val="1"/>
    <w:link w:val="29"/>
    <w:qFormat/>
    <w:uiPriority w:val="99"/>
    <w:pPr>
      <w:spacing w:after="120" w:line="240" w:lineRule="auto"/>
    </w:pPr>
    <w:rPr>
      <w:rFonts w:ascii="Times New Roman" w:hAnsi="Times New Roman" w:cs="Times New Roman"/>
      <w:sz w:val="20"/>
      <w:szCs w:val="20"/>
      <w:lang w:val="en-GB"/>
    </w:rPr>
  </w:style>
  <w:style w:type="paragraph" w:styleId="7">
    <w:name w:val="Balloon Text"/>
    <w:basedOn w:val="1"/>
    <w:link w:val="23"/>
    <w:semiHidden/>
    <w:unhideWhenUsed/>
    <w:qFormat/>
    <w:uiPriority w:val="99"/>
    <w:pPr>
      <w:spacing w:after="0" w:line="240" w:lineRule="auto"/>
    </w:pPr>
    <w:rPr>
      <w:rFonts w:ascii="Segoe UI" w:hAnsi="Segoe UI" w:cs="Segoe UI"/>
      <w:sz w:val="18"/>
      <w:szCs w:val="18"/>
    </w:rPr>
  </w:style>
  <w:style w:type="paragraph" w:styleId="8">
    <w:name w:val="footer"/>
    <w:basedOn w:val="1"/>
    <w:semiHidden/>
    <w:qFormat/>
    <w:uiPriority w:val="0"/>
    <w:pPr>
      <w:tabs>
        <w:tab w:val="center" w:pos="4153"/>
        <w:tab w:val="right" w:pos="8306"/>
      </w:tabs>
      <w:snapToGrid w:val="0"/>
      <w:jc w:val="left"/>
    </w:pPr>
    <w:rPr>
      <w:sz w:val="18"/>
      <w:szCs w:val="18"/>
    </w:rPr>
  </w:style>
  <w:style w:type="paragraph" w:styleId="9">
    <w:name w:val="header"/>
    <w:basedOn w:val="1"/>
    <w:link w:val="28"/>
    <w:qFormat/>
    <w:uiPriority w:val="0"/>
    <w:pPr>
      <w:widowControl w:val="0"/>
      <w:overflowPunct w:val="0"/>
      <w:autoSpaceDE w:val="0"/>
      <w:autoSpaceDN w:val="0"/>
      <w:adjustRightInd w:val="0"/>
      <w:spacing w:after="0" w:line="240" w:lineRule="auto"/>
      <w:textAlignment w:val="baseline"/>
    </w:pPr>
    <w:rPr>
      <w:rFonts w:ascii="Arial" w:hAnsi="Arial" w:cs="Times New Roman" w:eastAsiaTheme="minorEastAsia"/>
      <w:b/>
      <w:sz w:val="18"/>
      <w:szCs w:val="20"/>
      <w:lang w:val="en-GB" w:eastAsia="ja-JP" w:bidi="ar-SA"/>
    </w:rPr>
  </w:style>
  <w:style w:type="paragraph" w:styleId="10">
    <w:name w:val="Normal (Web)"/>
    <w:basedOn w:val="1"/>
    <w:unhideWhenUsed/>
    <w:qFormat/>
    <w:uiPriority w:val="99"/>
    <w:pPr>
      <w:widowControl/>
      <w:spacing w:before="100" w:beforeAutospacing="1" w:after="100" w:afterAutospacing="1" w:line="259" w:lineRule="auto"/>
    </w:pPr>
    <w:rPr>
      <w:rFonts w:ascii="MS PGothic" w:hAnsi="MS PGothic" w:eastAsia="MS PGothic" w:cs="MS PGothic"/>
      <w:kern w:val="0"/>
      <w:sz w:val="24"/>
      <w:szCs w:val="24"/>
      <w:lang w:eastAsia="ja-JP"/>
    </w:rPr>
  </w:style>
  <w:style w:type="paragraph" w:styleId="11">
    <w:name w:val="annotation subject"/>
    <w:basedOn w:val="5"/>
    <w:next w:val="5"/>
    <w:link w:val="22"/>
    <w:semiHidden/>
    <w:unhideWhenUsed/>
    <w:qFormat/>
    <w:uiPriority w:val="99"/>
    <w:rPr>
      <w:b/>
      <w:bCs/>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semiHidden/>
    <w:qFormat/>
    <w:uiPriority w:val="0"/>
  </w:style>
  <w:style w:type="character" w:styleId="16">
    <w:name w:val="Hyperlink"/>
    <w:qFormat/>
    <w:uiPriority w:val="99"/>
    <w:rPr>
      <w:color w:val="0000FF"/>
      <w:u w:val="single"/>
    </w:rPr>
  </w:style>
  <w:style w:type="character" w:styleId="17">
    <w:name w:val="annotation reference"/>
    <w:basedOn w:val="14"/>
    <w:semiHidden/>
    <w:unhideWhenUsed/>
    <w:qFormat/>
    <w:uiPriority w:val="99"/>
    <w:rPr>
      <w:sz w:val="16"/>
      <w:szCs w:val="16"/>
    </w:rPr>
  </w:style>
  <w:style w:type="paragraph" w:customStyle="1" w:styleId="18">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fi-FI"/>
    </w:rPr>
  </w:style>
  <w:style w:type="character" w:customStyle="1" w:styleId="19">
    <w:name w:val="normaltextrun"/>
    <w:basedOn w:val="14"/>
    <w:qFormat/>
    <w:uiPriority w:val="0"/>
  </w:style>
  <w:style w:type="character" w:customStyle="1" w:styleId="20">
    <w:name w:val="eop"/>
    <w:basedOn w:val="14"/>
    <w:qFormat/>
    <w:uiPriority w:val="0"/>
  </w:style>
  <w:style w:type="character" w:customStyle="1" w:styleId="21">
    <w:name w:val="Comment Text Char"/>
    <w:basedOn w:val="14"/>
    <w:link w:val="5"/>
    <w:semiHidden/>
    <w:qFormat/>
    <w:uiPriority w:val="99"/>
    <w:rPr>
      <w:sz w:val="20"/>
      <w:szCs w:val="20"/>
    </w:rPr>
  </w:style>
  <w:style w:type="character" w:customStyle="1" w:styleId="22">
    <w:name w:val="Comment Subject Char"/>
    <w:basedOn w:val="21"/>
    <w:link w:val="11"/>
    <w:semiHidden/>
    <w:qFormat/>
    <w:uiPriority w:val="99"/>
    <w:rPr>
      <w:b/>
      <w:bCs/>
      <w:sz w:val="20"/>
      <w:szCs w:val="20"/>
    </w:rPr>
  </w:style>
  <w:style w:type="character" w:customStyle="1" w:styleId="23">
    <w:name w:val="Balloon Text Char"/>
    <w:basedOn w:val="14"/>
    <w:link w:val="7"/>
    <w:semiHidden/>
    <w:qFormat/>
    <w:uiPriority w:val="99"/>
    <w:rPr>
      <w:rFonts w:ascii="Segoe UI" w:hAnsi="Segoe UI" w:cs="Segoe UI"/>
      <w:sz w:val="18"/>
      <w:szCs w:val="18"/>
    </w:rPr>
  </w:style>
  <w:style w:type="character" w:customStyle="1" w:styleId="24">
    <w:name w:val="advancedproofingissue"/>
    <w:basedOn w:val="14"/>
    <w:qFormat/>
    <w:uiPriority w:val="0"/>
  </w:style>
  <w:style w:type="paragraph" w:customStyle="1" w:styleId="25">
    <w:name w:val="Revision"/>
    <w:hidden/>
    <w:semiHidden/>
    <w:qFormat/>
    <w:uiPriority w:val="99"/>
    <w:pPr>
      <w:spacing w:after="0" w:line="240" w:lineRule="auto"/>
    </w:pPr>
    <w:rPr>
      <w:rFonts w:asciiTheme="minorHAnsi" w:hAnsiTheme="minorHAnsi" w:eastAsiaTheme="minorEastAsia" w:cstheme="minorBidi"/>
      <w:sz w:val="22"/>
      <w:szCs w:val="22"/>
      <w:lang w:val="fi-FI" w:eastAsia="en-US" w:bidi="ar-SA"/>
    </w:rPr>
  </w:style>
  <w:style w:type="paragraph" w:styleId="26">
    <w:name w:val="List Paragraph"/>
    <w:basedOn w:val="1"/>
    <w:qFormat/>
    <w:uiPriority w:val="34"/>
    <w:pPr>
      <w:spacing w:after="0" w:line="240" w:lineRule="auto"/>
      <w:ind w:left="720"/>
      <w:contextualSpacing/>
    </w:pPr>
    <w:rPr>
      <w:rFonts w:ascii="Times New Roman" w:hAnsi="Times New Roman" w:eastAsia="Times New Roman" w:cs="Times New Roman"/>
      <w:sz w:val="24"/>
      <w:szCs w:val="24"/>
      <w:lang w:val="da-DK" w:eastAsia="da-DK"/>
    </w:rPr>
  </w:style>
  <w:style w:type="character" w:customStyle="1" w:styleId="27">
    <w:name w:val="Heading 1 Char"/>
    <w:basedOn w:val="14"/>
    <w:link w:val="2"/>
    <w:qFormat/>
    <w:uiPriority w:val="0"/>
    <w:rPr>
      <w:rFonts w:ascii="Arial" w:hAnsi="Arial" w:cs="Times New Roman" w:eastAsiaTheme="minorEastAsia"/>
      <w:sz w:val="36"/>
      <w:szCs w:val="20"/>
      <w:lang w:val="en-GB"/>
    </w:rPr>
  </w:style>
  <w:style w:type="character" w:customStyle="1" w:styleId="28">
    <w:name w:val="Header Char"/>
    <w:basedOn w:val="14"/>
    <w:link w:val="9"/>
    <w:qFormat/>
    <w:uiPriority w:val="0"/>
    <w:rPr>
      <w:rFonts w:ascii="Arial" w:hAnsi="Arial" w:cs="Times New Roman" w:eastAsiaTheme="minorEastAsia"/>
      <w:b/>
      <w:sz w:val="18"/>
      <w:szCs w:val="20"/>
      <w:lang w:val="en-GB" w:eastAsia="ja-JP"/>
    </w:rPr>
  </w:style>
  <w:style w:type="character" w:customStyle="1" w:styleId="29">
    <w:name w:val="Body Text Char"/>
    <w:basedOn w:val="14"/>
    <w:link w:val="6"/>
    <w:qFormat/>
    <w:uiPriority w:val="99"/>
    <w:rPr>
      <w:rFonts w:ascii="Times New Roman" w:hAnsi="Times New Roman" w:cs="Times New Roman" w:eastAsiaTheme="minorEastAsia"/>
      <w:sz w:val="20"/>
      <w:szCs w:val="20"/>
      <w:lang w:val="en-GB"/>
    </w:rPr>
  </w:style>
  <w:style w:type="paragraph" w:customStyle="1" w:styleId="30">
    <w:name w:val="RAN4 H2"/>
    <w:basedOn w:val="3"/>
    <w:next w:val="1"/>
    <w:qFormat/>
    <w:uiPriority w:val="0"/>
    <w:pPr>
      <w:numPr>
        <w:ilvl w:val="1"/>
        <w:numId w:val="1"/>
      </w:numPr>
      <w:spacing w:before="180" w:after="180" w:line="240" w:lineRule="auto"/>
      <w:ind w:left="431" w:hanging="431"/>
    </w:pPr>
    <w:rPr>
      <w:rFonts w:ascii="Arial" w:hAnsi="Arial" w:eastAsia="Times New Roman" w:cs="Times New Roman"/>
      <w:color w:val="auto"/>
      <w:sz w:val="32"/>
      <w:szCs w:val="20"/>
      <w:lang w:val="en-US"/>
    </w:rPr>
  </w:style>
  <w:style w:type="paragraph" w:customStyle="1" w:styleId="31">
    <w:name w:val="RAN4 H1"/>
    <w:basedOn w:val="1"/>
    <w:next w:val="1"/>
    <w:link w:val="32"/>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32">
    <w:name w:val="RAN4 H1 Char"/>
    <w:basedOn w:val="14"/>
    <w:link w:val="31"/>
    <w:qFormat/>
    <w:uiPriority w:val="0"/>
    <w:rPr>
      <w:rFonts w:ascii="Arial" w:hAnsi="Arial" w:eastAsia="宋体" w:cs="Times New Roman"/>
      <w:sz w:val="36"/>
      <w:szCs w:val="20"/>
      <w:lang w:val="en-GB"/>
    </w:rPr>
  </w:style>
  <w:style w:type="paragraph" w:customStyle="1" w:styleId="33">
    <w:name w:val="RAN4 H3"/>
    <w:basedOn w:val="1"/>
    <w:qFormat/>
    <w:uiPriority w:val="0"/>
    <w:pPr>
      <w:numPr>
        <w:ilvl w:val="2"/>
        <w:numId w:val="1"/>
      </w:numPr>
      <w:ind w:left="505" w:hanging="505"/>
    </w:pPr>
    <w:rPr>
      <w:rFonts w:ascii="Arial" w:hAnsi="Arial" w:cs="Arial"/>
      <w:sz w:val="24"/>
      <w:lang w:val="en-US"/>
    </w:rPr>
  </w:style>
  <w:style w:type="character" w:customStyle="1" w:styleId="34">
    <w:name w:val="Heading 2 Char"/>
    <w:basedOn w:val="14"/>
    <w:link w:val="3"/>
    <w:semiHidden/>
    <w:qFormat/>
    <w:uiPriority w:val="9"/>
    <w:rPr>
      <w:rFonts w:asciiTheme="majorHAnsi" w:hAnsiTheme="majorHAnsi" w:eastAsiaTheme="majorEastAsia" w:cstheme="majorBidi"/>
      <w:color w:val="2F5597" w:themeColor="accent1" w:themeShade="BF"/>
      <w:sz w:val="26"/>
      <w:szCs w:val="26"/>
    </w:rPr>
  </w:style>
  <w:style w:type="paragraph" w:customStyle="1" w:styleId="35">
    <w:name w:val="B1"/>
    <w:basedOn w:val="1"/>
    <w:qFormat/>
    <w:uiPriority w:val="0"/>
    <w:pPr>
      <w:ind w:left="568" w:hanging="284"/>
    </w:pPr>
    <w:rPr>
      <w:lang w:eastAsia="zh-CN"/>
    </w:rPr>
  </w:style>
  <w:style w:type="paragraph" w:customStyle="1" w:styleId="36">
    <w:name w:val="B2"/>
    <w:basedOn w:val="1"/>
    <w:qFormat/>
    <w:uiPriority w:val="0"/>
    <w:pPr>
      <w:ind w:left="851" w:hanging="284"/>
    </w:pPr>
    <w:rPr>
      <w:lang w:eastAsia="zh-CN"/>
    </w:rPr>
  </w:style>
  <w:style w:type="paragraph" w:customStyle="1" w:styleId="37">
    <w:name w:val="CR Cover Page"/>
    <w:qFormat/>
    <w:uiPriority w:val="0"/>
    <w:pPr>
      <w:spacing w:after="120" w:line="240" w:lineRule="auto"/>
    </w:pPr>
    <w:rPr>
      <w:rFonts w:ascii="Arial" w:hAnsi="Arial" w:eastAsia="Times New Roman" w:cs="Times New Roman"/>
      <w:sz w:val="20"/>
      <w:szCs w:val="20"/>
      <w:lang w:val="en-GB" w:eastAsia="en-US" w:bidi="ar-SA"/>
    </w:rPr>
  </w:style>
  <w:style w:type="paragraph" w:customStyle="1" w:styleId="3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39">
    <w:name w:val="3GPP_Header"/>
    <w:basedOn w:val="6"/>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11C0D6-D16D-4350-B2E1-A7DB68A55523}">
  <ds:schemaRefs/>
</ds:datastoreItem>
</file>

<file path=customXml/itemProps3.xml><?xml version="1.0" encoding="utf-8"?>
<ds:datastoreItem xmlns:ds="http://schemas.openxmlformats.org/officeDocument/2006/customXml" ds:itemID="{9DA44A59-2E3C-44C4-90C6-A2F0A9AD11DA}">
  <ds:schemaRefs/>
</ds:datastoreItem>
</file>

<file path=customXml/itemProps4.xml><?xml version="1.0" encoding="utf-8"?>
<ds:datastoreItem xmlns:ds="http://schemas.openxmlformats.org/officeDocument/2006/customXml" ds:itemID="{B7253312-9ED1-4BD4-AACF-2C181B9C77DB}">
  <ds:schemaRefs/>
</ds:datastoreItem>
</file>

<file path=customXml/itemProps5.xml><?xml version="1.0" encoding="utf-8"?>
<ds:datastoreItem xmlns:ds="http://schemas.openxmlformats.org/officeDocument/2006/customXml" ds:itemID="{900C736C-38F3-4CF2-A589-D87BDB84521F}">
  <ds:schemaRefs/>
</ds:datastoreItem>
</file>

<file path=customXml/itemProps6.xml><?xml version="1.0" encoding="utf-8"?>
<ds:datastoreItem xmlns:ds="http://schemas.openxmlformats.org/officeDocument/2006/customXml" ds:itemID="{70756F89-1898-44BE-A987-0427741EA340}">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470</Words>
  <Characters>2871</Characters>
  <Lines>23</Lines>
  <Paragraphs>6</Paragraphs>
  <TotalTime>4</TotalTime>
  <ScaleCrop>false</ScaleCrop>
  <LinksUpToDate>false</LinksUpToDate>
  <CharactersWithSpaces>3335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2020-11-11T16:58:00Z</dcterms:created>
  <dc:creator>TL</dc:creator>
  <cp:lastModifiedBy>ZTE1</cp:lastModifiedBy>
  <dcterms:modified xsi:type="dcterms:W3CDTF">2021-05-11T13:07:04Z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y fmtid="{D5CDD505-2E9C-101B-9397-08002B2CF9AE}" pid="3" name="KSOProductBuildVer">
    <vt:lpwstr>2052-11.8.2.9022</vt:lpwstr>
  </property>
</Properties>
</file>