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DE4" w:rsidRPr="00CD5A36" w:rsidRDefault="00EF2DE4" w:rsidP="00EF2DE4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460B89" w:rsidRPr="00460B89">
        <w:rPr>
          <w:rFonts w:cs="Arial"/>
          <w:sz w:val="24"/>
          <w:szCs w:val="24"/>
        </w:rPr>
        <w:t>R4-2110347</w:t>
      </w:r>
      <w:bookmarkStart w:id="2" w:name="_GoBack"/>
      <w:bookmarkEnd w:id="2"/>
    </w:p>
    <w:p w:rsidR="00EF2DE4" w:rsidRPr="00CD5A36" w:rsidRDefault="00EF2DE4" w:rsidP="00EF2DE4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CD5A36"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eastAsia="宋体"/>
          <w:sz w:val="24"/>
          <w:szCs w:val="24"/>
          <w:lang w:eastAsia="zh-CN"/>
        </w:rPr>
        <w:t>May. 19-27</w:t>
      </w:r>
      <w:r w:rsidRPr="00CD5A36">
        <w:rPr>
          <w:rFonts w:eastAsia="宋体"/>
          <w:sz w:val="24"/>
          <w:szCs w:val="24"/>
          <w:lang w:eastAsia="zh-CN"/>
        </w:rPr>
        <w:t>, 2021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CD108E">
        <w:rPr>
          <w:rFonts w:ascii="Arial" w:hAnsi="Arial"/>
          <w:sz w:val="24"/>
          <w:lang w:val="en-US"/>
        </w:rPr>
        <w:t>9.16.3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CD108E" w:rsidRPr="00CD108E">
        <w:rPr>
          <w:rFonts w:ascii="Arial" w:hAnsi="Arial"/>
          <w:sz w:val="24"/>
          <w:lang w:val="en-US"/>
        </w:rPr>
        <w:t>Discussion on RRM impact of R17 IAB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D108E" w:rsidRDefault="00CD108E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 on Rel-17 e</w:t>
      </w:r>
      <w:r w:rsidRPr="00CD108E">
        <w:rPr>
          <w:rFonts w:eastAsiaTheme="minorEastAsia"/>
          <w:lang w:val="en-US" w:eastAsia="zh-CN"/>
        </w:rPr>
        <w:t>nhancements to Integrated Access and Backhaul</w:t>
      </w:r>
      <w:r>
        <w:rPr>
          <w:rFonts w:eastAsiaTheme="minorEastAsia"/>
          <w:lang w:val="en-US" w:eastAsia="zh-CN"/>
        </w:rPr>
        <w:t xml:space="preserve"> was approved in RP 86 [1], and the WID was revised in RP 88e and RP 9</w:t>
      </w:r>
      <w:r w:rsidR="0099415D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e [2][3].</w:t>
      </w:r>
      <w:r w:rsidR="00FC1D39">
        <w:rPr>
          <w:rFonts w:eastAsiaTheme="minorEastAsia"/>
          <w:lang w:val="en-US" w:eastAsia="zh-CN"/>
        </w:rPr>
        <w:t xml:space="preserve"> Since this is the first meeting in RAN4 for RRM related discussion, this paper provide some initial discussion on the potential impact of RRM requirements of the Rel-17 IAB.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CD108E" w:rsidRPr="00FC1D39" w:rsidRDefault="00FC1D39" w:rsidP="00E315CA">
      <w:pPr>
        <w:rPr>
          <w:rFonts w:eastAsiaTheme="minorEastAsia"/>
          <w:lang w:val="en-US" w:eastAsia="zh-CN"/>
        </w:rPr>
      </w:pPr>
      <w:r w:rsidRPr="00FC1D39">
        <w:rPr>
          <w:rFonts w:eastAsiaTheme="minorEastAsia"/>
          <w:lang w:val="en-US" w:eastAsia="zh-CN"/>
        </w:rPr>
        <w:t>The objective of the WI is shown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FC1D39" w:rsidTr="00FC1D39">
        <w:tc>
          <w:tcPr>
            <w:tcW w:w="9562" w:type="dxa"/>
          </w:tcPr>
          <w:p w:rsidR="00FC1D39" w:rsidRDefault="00FC1D39" w:rsidP="00FC1D39">
            <w:pPr>
              <w:spacing w:after="120"/>
              <w:rPr>
                <w:rFonts w:eastAsia="宋体"/>
                <w:bCs/>
                <w:lang w:eastAsia="en-GB"/>
              </w:rPr>
            </w:pPr>
            <w:bookmarkStart w:id="3" w:name="_Hlk26854989"/>
            <w:bookmarkStart w:id="4" w:name="_Hlk26854481"/>
            <w:r>
              <w:rPr>
                <w:bCs/>
              </w:rPr>
              <w:t>Duplexing enhancements [RAN1-led, RAN2, RAN3, RAN4]:</w:t>
            </w:r>
          </w:p>
          <w:p w:rsidR="00FC1D39" w:rsidRDefault="00FC1D39" w:rsidP="00FC1D39">
            <w:pPr>
              <w:pStyle w:val="a6"/>
              <w:numPr>
                <w:ilvl w:val="0"/>
                <w:numId w:val="14"/>
              </w:numPr>
              <w:ind w:firstLineChars="0"/>
              <w:contextualSpacing/>
              <w:rPr>
                <w:lang w:val="en-US"/>
              </w:rPr>
            </w:pPr>
            <w:r>
              <w:t>Specification of enhancements to the resource multiplexing between child and parent links of an IAB node, including:</w:t>
            </w:r>
          </w:p>
          <w:p w:rsidR="00FC1D39" w:rsidRDefault="00FC1D39" w:rsidP="00FC1D39">
            <w:pPr>
              <w:pStyle w:val="a6"/>
              <w:numPr>
                <w:ilvl w:val="1"/>
                <w:numId w:val="14"/>
              </w:numPr>
              <w:ind w:firstLineChars="0"/>
              <w:contextualSpacing/>
            </w:pPr>
            <w:bookmarkStart w:id="5" w:name="_Hlk26193173"/>
            <w:r>
              <w:t xml:space="preserve">Support of simultaneous operation (transmission and/or reception) of IAB-node’s child and parent links (i.e., MT </w:t>
            </w:r>
            <w:proofErr w:type="spellStart"/>
            <w:r>
              <w:t>Tx</w:t>
            </w:r>
            <w:proofErr w:type="spellEnd"/>
            <w:r>
              <w:t xml:space="preserve">/DU </w:t>
            </w:r>
            <w:proofErr w:type="spellStart"/>
            <w:r>
              <w:t>Tx</w:t>
            </w:r>
            <w:proofErr w:type="spellEnd"/>
            <w:r>
              <w:t xml:space="preserve">, MT </w:t>
            </w:r>
            <w:proofErr w:type="spellStart"/>
            <w:r>
              <w:t>Tx</w:t>
            </w:r>
            <w:proofErr w:type="spellEnd"/>
            <w:r>
              <w:t xml:space="preserve">/DU Rx, MT Rx/DU </w:t>
            </w:r>
            <w:proofErr w:type="spellStart"/>
            <w:r>
              <w:t>Tx</w:t>
            </w:r>
            <w:proofErr w:type="spellEnd"/>
            <w:r>
              <w:t>, MT Rx/DU Rx).</w:t>
            </w:r>
          </w:p>
          <w:p w:rsidR="00FC1D39" w:rsidRDefault="00FC1D39" w:rsidP="00FC1D39">
            <w:pPr>
              <w:pStyle w:val="a6"/>
              <w:numPr>
                <w:ilvl w:val="1"/>
                <w:numId w:val="14"/>
              </w:numPr>
              <w:ind w:firstLineChars="0"/>
              <w:contextualSpacing/>
            </w:pPr>
            <w:r>
              <w:t>Support for dual-connectivity scenarios defined by RAN2/RAN3 in the context of topology redundancy for improved robustness and load balancing.</w:t>
            </w:r>
          </w:p>
          <w:bookmarkEnd w:id="5"/>
          <w:p w:rsidR="00FC1D39" w:rsidRDefault="00FC1D39" w:rsidP="00FC1D39">
            <w:pPr>
              <w:pStyle w:val="a6"/>
              <w:numPr>
                <w:ilvl w:val="0"/>
                <w:numId w:val="14"/>
              </w:numPr>
              <w:ind w:firstLineChars="0"/>
              <w:contextualSpacing/>
            </w:pPr>
            <w: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:rsidR="00FC1D39" w:rsidRDefault="00FC1D39" w:rsidP="00FC1D39">
            <w:pPr>
              <w:spacing w:after="0"/>
              <w:rPr>
                <w:bCs/>
              </w:rPr>
            </w:pPr>
          </w:p>
          <w:p w:rsidR="00FC1D39" w:rsidRDefault="00FC1D39" w:rsidP="00FC1D39">
            <w:pPr>
              <w:spacing w:after="120"/>
              <w:rPr>
                <w:bCs/>
              </w:rPr>
            </w:pPr>
            <w:r>
              <w:rPr>
                <w:bCs/>
              </w:rPr>
              <w:t>Topology adaptation enhancements [RAN3-led, RAN2]:</w:t>
            </w:r>
          </w:p>
          <w:p w:rsidR="00FC1D39" w:rsidRDefault="00FC1D39" w:rsidP="00FC1D39">
            <w:pPr>
              <w:numPr>
                <w:ilvl w:val="0"/>
                <w:numId w:val="15"/>
              </w:numPr>
              <w:autoSpaceDN w:val="0"/>
              <w:spacing w:after="60"/>
            </w:pPr>
            <w:r>
              <w:t xml:space="preserve">Specification of procedures for inter-donor IAB-node migration to enhance robustness and load-balancing, including enhancements to reduce signalling load.   </w:t>
            </w:r>
          </w:p>
          <w:p w:rsidR="00FC1D39" w:rsidRDefault="00FC1D39" w:rsidP="00FC1D39">
            <w:pPr>
              <w:numPr>
                <w:ilvl w:val="0"/>
                <w:numId w:val="15"/>
              </w:numPr>
              <w:autoSpaceDN w:val="0"/>
              <w:spacing w:after="60"/>
            </w:pPr>
            <w:r>
              <w:t>Specification of enhancements to reduce service interruption due to IAB-node migration and BH RLF recovery.</w:t>
            </w:r>
          </w:p>
          <w:p w:rsidR="00FC1D39" w:rsidRDefault="00FC1D39" w:rsidP="00FC1D39">
            <w:pPr>
              <w:numPr>
                <w:ilvl w:val="0"/>
                <w:numId w:val="15"/>
              </w:numPr>
              <w:autoSpaceDN w:val="0"/>
              <w:spacing w:after="60"/>
            </w:pPr>
            <w:r>
              <w:t>Specification of enhancements to topological redundancy, including support of CP/UP separation.</w:t>
            </w:r>
          </w:p>
          <w:p w:rsidR="00FC1D39" w:rsidRDefault="00FC1D39" w:rsidP="00FC1D39">
            <w:pPr>
              <w:spacing w:after="0"/>
              <w:rPr>
                <w:bCs/>
              </w:rPr>
            </w:pPr>
          </w:p>
          <w:p w:rsidR="00FC1D39" w:rsidRDefault="00FC1D39" w:rsidP="00FC1D39">
            <w:pPr>
              <w:spacing w:after="120"/>
              <w:rPr>
                <w:bCs/>
              </w:rPr>
            </w:pPr>
            <w:r>
              <w:rPr>
                <w:bCs/>
              </w:rPr>
              <w:t>Topology, routing and transport enhancements [RAN2-led, RAN3]:</w:t>
            </w:r>
          </w:p>
          <w:p w:rsidR="00FC1D39" w:rsidRDefault="00FC1D39" w:rsidP="00FC1D39">
            <w:pPr>
              <w:numPr>
                <w:ilvl w:val="0"/>
                <w:numId w:val="15"/>
              </w:numPr>
              <w:autoSpaceDN w:val="0"/>
              <w:spacing w:after="60"/>
            </w:pPr>
            <w:r>
              <w:t xml:space="preserve">Specifications of enhancements to improve topology-wide fairness, multi-hop latency and congestion mitigation </w:t>
            </w:r>
          </w:p>
          <w:bookmarkEnd w:id="3"/>
          <w:p w:rsidR="00FC1D39" w:rsidRDefault="00FC1D39" w:rsidP="00FC1D39">
            <w:pPr>
              <w:spacing w:after="0"/>
              <w:rPr>
                <w:bCs/>
              </w:rPr>
            </w:pPr>
          </w:p>
          <w:p w:rsidR="00FC1D39" w:rsidRDefault="00FC1D39" w:rsidP="00FC1D39">
            <w:pPr>
              <w:pStyle w:val="a6"/>
              <w:spacing w:before="60" w:after="60"/>
              <w:ind w:firstLine="400"/>
            </w:pPr>
            <w:r>
              <w:t>RF and RRM requirements [RAN4-led]:</w:t>
            </w:r>
          </w:p>
          <w:p w:rsidR="00FC1D39" w:rsidRDefault="00FC1D39" w:rsidP="00FC1D39">
            <w:pPr>
              <w:pStyle w:val="a6"/>
              <w:numPr>
                <w:ilvl w:val="0"/>
                <w:numId w:val="16"/>
              </w:numPr>
              <w:spacing w:before="60" w:after="60"/>
              <w:ind w:firstLineChars="0"/>
              <w:contextualSpacing/>
            </w:pPr>
            <w:r>
              <w:rPr>
                <w:lang w:eastAsia="ja-JP"/>
              </w:rPr>
              <w:t>Definition of IAB node RF requirements if needed for any Rel-17 extensions.</w:t>
            </w:r>
          </w:p>
          <w:p w:rsidR="00FC1D39" w:rsidRDefault="00FC1D39" w:rsidP="00FC1D39">
            <w:pPr>
              <w:pStyle w:val="a6"/>
              <w:numPr>
                <w:ilvl w:val="0"/>
                <w:numId w:val="16"/>
              </w:numPr>
              <w:spacing w:before="60" w:after="60"/>
              <w:ind w:firstLineChars="0"/>
              <w:contextualSpacing/>
            </w:pPr>
            <w:r>
              <w:t xml:space="preserve">Definition of RRM core requirements </w:t>
            </w:r>
            <w:r>
              <w:rPr>
                <w:lang w:eastAsia="ja-JP"/>
              </w:rPr>
              <w:t>if needed for any Rel-17 extensions.</w:t>
            </w:r>
            <w:bookmarkEnd w:id="4"/>
          </w:p>
          <w:p w:rsidR="00FC1D39" w:rsidRPr="00FC1D39" w:rsidRDefault="00FC1D39" w:rsidP="00E315CA">
            <w:pPr>
              <w:rPr>
                <w:b/>
              </w:rPr>
            </w:pPr>
          </w:p>
        </w:tc>
      </w:tr>
    </w:tbl>
    <w:p w:rsidR="00FC1D39" w:rsidRDefault="00FC1D39" w:rsidP="00E315CA">
      <w:pPr>
        <w:rPr>
          <w:b/>
          <w:lang w:val="en-US"/>
        </w:rPr>
      </w:pPr>
    </w:p>
    <w:p w:rsidR="00300A1D" w:rsidRPr="00E315CA" w:rsidRDefault="00FC1D39" w:rsidP="00E315CA">
      <w:pPr>
        <w:rPr>
          <w:b/>
          <w:lang w:val="en-US"/>
        </w:rPr>
      </w:pPr>
      <w:r w:rsidRPr="00641AA1">
        <w:rPr>
          <w:bCs/>
        </w:rPr>
        <w:t xml:space="preserve">The </w:t>
      </w:r>
      <w:r w:rsidR="00641AA1" w:rsidRPr="00641AA1">
        <w:rPr>
          <w:bCs/>
        </w:rPr>
        <w:t xml:space="preserve">work on Rel-17 IAB has started in RAN1 and RAN2 and some progress has been made. </w:t>
      </w:r>
      <w:r w:rsidR="00953B78">
        <w:rPr>
          <w:bCs/>
        </w:rPr>
        <w:t xml:space="preserve">Based on RAN1 progress and status, the discussions mainly focus on the resource multiplexing enhancement, </w:t>
      </w:r>
      <w:r w:rsidR="00300A1D">
        <w:rPr>
          <w:bCs/>
        </w:rPr>
        <w:t xml:space="preserve">DC scenarios, </w:t>
      </w:r>
      <w:r w:rsidR="00953B78">
        <w:rPr>
          <w:bCs/>
        </w:rPr>
        <w:t>simultaneous operation</w:t>
      </w:r>
      <w:r w:rsidR="00300A1D">
        <w:rPr>
          <w:bCs/>
        </w:rPr>
        <w:t xml:space="preserve"> and corresponding enabling enhancement including power control, interference management, etc. The </w:t>
      </w:r>
      <w:r w:rsidR="00A05D9D">
        <w:rPr>
          <w:bCs/>
        </w:rPr>
        <w:t>latest</w:t>
      </w:r>
      <w:r w:rsidR="00300A1D">
        <w:rPr>
          <w:bCs/>
        </w:rPr>
        <w:t xml:space="preserve"> </w:t>
      </w:r>
      <w:r w:rsidR="00300A1D">
        <w:rPr>
          <w:bCs/>
        </w:rPr>
        <w:lastRenderedPageBreak/>
        <w:t>progress in RAN1 is summarized as follows:</w:t>
      </w:r>
      <w:r w:rsidR="00300A1D">
        <w:rPr>
          <w:bCs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00A1D" w:rsidTr="00300A1D">
        <w:tc>
          <w:tcPr>
            <w:tcW w:w="9562" w:type="dxa"/>
          </w:tcPr>
          <w:p w:rsidR="00300A1D" w:rsidRDefault="00300A1D" w:rsidP="00E315C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Resource multiplexing between child and parent links of an IAB node</w:t>
            </w:r>
          </w:p>
          <w:p w:rsidR="00300A1D" w:rsidRDefault="00300A1D" w:rsidP="00E315CA">
            <w:pPr>
              <w:rPr>
                <w:b/>
                <w:lang w:val="en-US"/>
              </w:rPr>
            </w:pPr>
          </w:p>
          <w:p w:rsidR="00300A1D" w:rsidRDefault="00300A1D" w:rsidP="00E315C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RAN1#104-bis-e</w:t>
            </w:r>
          </w:p>
          <w:p w:rsidR="00300A1D" w:rsidRPr="00181195" w:rsidRDefault="00300A1D" w:rsidP="00300A1D">
            <w:pPr>
              <w:spacing w:after="0"/>
              <w:jc w:val="both"/>
              <w:rPr>
                <w:rFonts w:ascii="Times" w:eastAsia="Times New Roman" w:hAnsi="Times" w:cs="Times"/>
                <w:bCs/>
                <w:highlight w:val="green"/>
              </w:rPr>
            </w:pPr>
            <w:r w:rsidRPr="00181195">
              <w:rPr>
                <w:rFonts w:ascii="Times" w:eastAsia="Times New Roman" w:hAnsi="Times" w:cs="Times"/>
                <w:bCs/>
                <w:highlight w:val="green"/>
              </w:rPr>
              <w:t>Agreement</w:t>
            </w:r>
          </w:p>
          <w:p w:rsidR="00300A1D" w:rsidRPr="00181195" w:rsidRDefault="00300A1D" w:rsidP="00300A1D">
            <w:pPr>
              <w:spacing w:after="0"/>
              <w:jc w:val="both"/>
              <w:rPr>
                <w:rFonts w:ascii="Times" w:eastAsia="Times New Roman" w:hAnsi="Times" w:cs="Times"/>
                <w:bCs/>
              </w:rPr>
            </w:pPr>
            <w:r w:rsidRPr="00181195">
              <w:rPr>
                <w:rFonts w:ascii="Times" w:eastAsia="Times New Roman" w:hAnsi="Times" w:cs="Times"/>
                <w:bCs/>
              </w:rPr>
              <w:t>The extension of the semi-static DU resource type indication to frequency-domain resources within a carrier (in addition to existing Rel-16 per-carrier granularity) for H/S/NA resource types is supported</w:t>
            </w:r>
          </w:p>
          <w:p w:rsidR="00300A1D" w:rsidRPr="00181195" w:rsidRDefault="00300A1D" w:rsidP="00300A1D">
            <w:pPr>
              <w:spacing w:after="0"/>
              <w:rPr>
                <w:rFonts w:ascii="Times" w:eastAsia="Batang" w:hAnsi="Times" w:cs="Times"/>
                <w:bCs/>
                <w:szCs w:val="24"/>
                <w:lang w:eastAsia="x-none"/>
              </w:rPr>
            </w:pPr>
          </w:p>
          <w:p w:rsidR="00300A1D" w:rsidRPr="00181195" w:rsidRDefault="00300A1D" w:rsidP="00300A1D">
            <w:pPr>
              <w:spacing w:after="0"/>
              <w:rPr>
                <w:rFonts w:ascii="Times" w:eastAsia="Times New Roman" w:hAnsi="Times" w:cs="Times"/>
                <w:bCs/>
                <w:highlight w:val="green"/>
              </w:rPr>
            </w:pPr>
            <w:r w:rsidRPr="00181195">
              <w:rPr>
                <w:rFonts w:ascii="Times" w:eastAsia="Times New Roman" w:hAnsi="Times" w:cs="Times"/>
                <w:bCs/>
                <w:highlight w:val="green"/>
              </w:rPr>
              <w:t>Agreement</w:t>
            </w:r>
          </w:p>
          <w:p w:rsidR="00300A1D" w:rsidRPr="00181195" w:rsidRDefault="00300A1D" w:rsidP="00300A1D">
            <w:pPr>
              <w:spacing w:after="0"/>
              <w:jc w:val="both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>Adaptation of an IAB-node’s multiplexing operation is supported. The adaptation may be based on multiple factors, for example (not necessary to support all of the following):</w:t>
            </w:r>
          </w:p>
          <w:p w:rsidR="00300A1D" w:rsidRPr="00181195" w:rsidRDefault="00300A1D" w:rsidP="00300A1D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 xml:space="preserve">Resource type (D/U/F) at the IAB-DU and IAB-MT </w:t>
            </w:r>
          </w:p>
          <w:p w:rsidR="00300A1D" w:rsidRPr="00181195" w:rsidRDefault="00300A1D" w:rsidP="00300A1D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>Specific sets of time/frequency resources</w:t>
            </w:r>
          </w:p>
          <w:p w:rsidR="00300A1D" w:rsidRPr="00181195" w:rsidRDefault="00300A1D" w:rsidP="00300A1D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>Certain conditions being met (e.g. supported timing modes, power control enhancements (if supported), etc.)</w:t>
            </w:r>
          </w:p>
          <w:p w:rsidR="00300A1D" w:rsidRPr="00181195" w:rsidRDefault="00300A1D" w:rsidP="00300A1D">
            <w:pPr>
              <w:spacing w:after="0"/>
              <w:jc w:val="both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>FFS: Mechanisms for informing/coordination the change in multiplexing operation(s) between child and parent nodes (including whether the adaptation is dynamic or semi-static)</w:t>
            </w:r>
          </w:p>
          <w:p w:rsidR="00300A1D" w:rsidRPr="00181195" w:rsidRDefault="00300A1D" w:rsidP="00300A1D">
            <w:pPr>
              <w:spacing w:after="0"/>
              <w:jc w:val="both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>FFS: Need for explicit linkage between indicated multiplexing operations and other features/enhancements – e.g. number of required guard symbols, supported timing modes, and power control enhancements (if supported)</w:t>
            </w:r>
          </w:p>
          <w:p w:rsidR="00300A1D" w:rsidRPr="00181195" w:rsidRDefault="00300A1D" w:rsidP="00300A1D">
            <w:pPr>
              <w:spacing w:after="0"/>
              <w:rPr>
                <w:rFonts w:ascii="Times" w:eastAsia="Times New Roman" w:hAnsi="Times" w:cs="Times"/>
                <w:bCs/>
                <w:szCs w:val="24"/>
              </w:rPr>
            </w:pPr>
          </w:p>
          <w:p w:rsidR="00300A1D" w:rsidRPr="00181195" w:rsidRDefault="00300A1D" w:rsidP="00300A1D">
            <w:pPr>
              <w:spacing w:after="0"/>
              <w:rPr>
                <w:rFonts w:ascii="Times" w:eastAsia="Times New Roman" w:hAnsi="Times" w:cs="Times"/>
                <w:bCs/>
                <w:highlight w:val="green"/>
              </w:rPr>
            </w:pPr>
            <w:r w:rsidRPr="00181195">
              <w:rPr>
                <w:rFonts w:ascii="Times" w:eastAsia="Times New Roman" w:hAnsi="Times" w:cs="Times"/>
                <w:bCs/>
                <w:highlight w:val="green"/>
              </w:rPr>
              <w:t>Agreement</w:t>
            </w: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Batang" w:hAnsi="Times" w:cs="Times"/>
                <w:color w:val="000000"/>
              </w:rPr>
            </w:pPr>
            <w:r w:rsidRPr="00181195">
              <w:rPr>
                <w:rFonts w:ascii="Times" w:eastAsia="Batang" w:hAnsi="Times" w:cs="Times"/>
                <w:color w:val="1E242F"/>
              </w:rPr>
              <w:t>For the semi-static DU resource configuration in the frequency domain within a carrier, the frequency-domain granularity is configurable</w:t>
            </w:r>
          </w:p>
          <w:p w:rsidR="00300A1D" w:rsidRPr="00181195" w:rsidRDefault="00300A1D" w:rsidP="00300A1D">
            <w:pPr>
              <w:numPr>
                <w:ilvl w:val="0"/>
                <w:numId w:val="18"/>
              </w:numPr>
              <w:shd w:val="clear" w:color="auto" w:fill="FFFFFF"/>
              <w:spacing w:after="0"/>
              <w:rPr>
                <w:rFonts w:ascii="Times" w:eastAsia="Batang" w:hAnsi="Times" w:cs="Times"/>
                <w:color w:val="28313E"/>
              </w:rPr>
            </w:pPr>
            <w:r w:rsidRPr="00181195">
              <w:rPr>
                <w:rFonts w:ascii="Times" w:eastAsia="Batang" w:hAnsi="Times" w:cs="Times"/>
                <w:color w:val="28313E"/>
              </w:rPr>
              <w:t>FFS:  minimum resource size e.g. N PRBs/N RBGs</w:t>
            </w:r>
          </w:p>
          <w:p w:rsidR="00300A1D" w:rsidRPr="00181195" w:rsidRDefault="00300A1D" w:rsidP="00300A1D">
            <w:pPr>
              <w:numPr>
                <w:ilvl w:val="0"/>
                <w:numId w:val="18"/>
              </w:numPr>
              <w:shd w:val="clear" w:color="auto" w:fill="FFFFFF"/>
              <w:spacing w:after="0"/>
              <w:rPr>
                <w:rFonts w:ascii="Times" w:eastAsia="Batang" w:hAnsi="Times" w:cs="Times"/>
                <w:color w:val="28313E"/>
              </w:rPr>
            </w:pPr>
            <w:r w:rsidRPr="00181195">
              <w:rPr>
                <w:rFonts w:ascii="Times" w:eastAsia="Batang" w:hAnsi="Times" w:cs="Times"/>
                <w:color w:val="28313E"/>
              </w:rPr>
              <w:t>FFS: Separate or joint TDM and FDM semi-static DU resource configurations</w:t>
            </w:r>
          </w:p>
          <w:p w:rsidR="00300A1D" w:rsidRPr="00181195" w:rsidRDefault="00300A1D" w:rsidP="00300A1D">
            <w:pPr>
              <w:spacing w:after="0"/>
              <w:rPr>
                <w:rFonts w:ascii="Times" w:eastAsia="Batang" w:hAnsi="Times" w:cs="Times"/>
                <w:bCs/>
                <w:szCs w:val="24"/>
              </w:rPr>
            </w:pPr>
          </w:p>
          <w:p w:rsidR="00300A1D" w:rsidRPr="00181195" w:rsidRDefault="00300A1D" w:rsidP="00300A1D">
            <w:pPr>
              <w:spacing w:after="0"/>
              <w:rPr>
                <w:rFonts w:ascii="Times" w:eastAsia="Times New Roman" w:hAnsi="Times" w:cs="Times"/>
                <w:bCs/>
                <w:highlight w:val="green"/>
              </w:rPr>
            </w:pPr>
            <w:r w:rsidRPr="00181195">
              <w:rPr>
                <w:rFonts w:ascii="Times" w:eastAsia="Times New Roman" w:hAnsi="Times" w:cs="Times"/>
                <w:bCs/>
                <w:highlight w:val="green"/>
              </w:rPr>
              <w:t>Agreement</w:t>
            </w: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Batang" w:hAnsi="Times" w:cs="Times"/>
                <w:color w:val="000000"/>
                <w:sz w:val="18"/>
              </w:rPr>
            </w:pPr>
            <w:r w:rsidRPr="00181195">
              <w:rPr>
                <w:rFonts w:ascii="Times" w:eastAsia="Batang" w:hAnsi="Times" w:cs="Times"/>
                <w:color w:val="28313E"/>
              </w:rPr>
              <w:t>Soft resource availability indications for frequency-domain resources are supported</w:t>
            </w:r>
          </w:p>
          <w:p w:rsidR="00300A1D" w:rsidRPr="00181195" w:rsidRDefault="00300A1D" w:rsidP="00300A1D">
            <w:pPr>
              <w:numPr>
                <w:ilvl w:val="0"/>
                <w:numId w:val="18"/>
              </w:numPr>
              <w:shd w:val="clear" w:color="auto" w:fill="FFFFFF"/>
              <w:spacing w:after="0"/>
              <w:rPr>
                <w:rFonts w:ascii="Times" w:eastAsia="Batang" w:hAnsi="Times" w:cs="Times"/>
                <w:color w:val="000000"/>
                <w:sz w:val="18"/>
              </w:rPr>
            </w:pPr>
            <w:r w:rsidRPr="00181195">
              <w:rPr>
                <w:rFonts w:ascii="Times" w:eastAsia="Batang" w:hAnsi="Times" w:cs="Times"/>
                <w:color w:val="28313E"/>
              </w:rPr>
              <w:t>FFS enhancements to DCI Format 2_5</w:t>
            </w:r>
          </w:p>
          <w:p w:rsidR="00300A1D" w:rsidRPr="00181195" w:rsidRDefault="00300A1D" w:rsidP="00300A1D">
            <w:pPr>
              <w:numPr>
                <w:ilvl w:val="0"/>
                <w:numId w:val="18"/>
              </w:numPr>
              <w:shd w:val="clear" w:color="auto" w:fill="FFFFFF"/>
              <w:spacing w:after="0"/>
              <w:rPr>
                <w:rFonts w:ascii="Times" w:eastAsia="Batang" w:hAnsi="Times" w:cs="Times"/>
                <w:color w:val="000000"/>
                <w:sz w:val="18"/>
              </w:rPr>
            </w:pPr>
            <w:r w:rsidRPr="00181195">
              <w:rPr>
                <w:rFonts w:ascii="Times" w:eastAsia="Batang" w:hAnsi="Times" w:cs="Times"/>
                <w:color w:val="28313E"/>
              </w:rPr>
              <w:t>FFS: Separate or joint TDM and FDM indications</w:t>
            </w: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Batang" w:hAnsi="Times" w:cs="Times"/>
              </w:rPr>
            </w:pPr>
          </w:p>
          <w:p w:rsidR="00300A1D" w:rsidRPr="00181195" w:rsidRDefault="00300A1D" w:rsidP="00300A1D">
            <w:pPr>
              <w:spacing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Batang" w:hAnsi="Times" w:cs="Times"/>
                <w:color w:val="28313E"/>
              </w:rPr>
            </w:pP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Times New Roman" w:hAnsi="Times" w:cs="Times"/>
                <w:color w:val="28313E"/>
                <w:highlight w:val="green"/>
              </w:rPr>
            </w:pPr>
            <w:r w:rsidRPr="00181195">
              <w:rPr>
                <w:rFonts w:ascii="Times" w:eastAsia="Times New Roman" w:hAnsi="Times" w:cs="Times"/>
                <w:color w:val="28313E"/>
                <w:highlight w:val="green"/>
              </w:rPr>
              <w:t>Agreement</w:t>
            </w: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Times New Roman" w:hAnsi="Times" w:cs="Times"/>
                <w:color w:val="000000"/>
              </w:rPr>
            </w:pPr>
            <w:r w:rsidRPr="00181195">
              <w:rPr>
                <w:rFonts w:ascii="Times" w:eastAsia="Times New Roman" w:hAnsi="Times" w:cs="Times"/>
                <w:color w:val="28313E"/>
              </w:rPr>
              <w:t>To facilitate simultaneous operations and interference management, dynamic indication for restriction/usage/availability of beams (in upstream and/or downstream directions) is supported</w:t>
            </w:r>
          </w:p>
          <w:p w:rsidR="00300A1D" w:rsidRPr="00181195" w:rsidRDefault="00300A1D" w:rsidP="00300A1D">
            <w:pPr>
              <w:numPr>
                <w:ilvl w:val="0"/>
                <w:numId w:val="19"/>
              </w:numPr>
              <w:shd w:val="clear" w:color="auto" w:fill="FFFFFF"/>
              <w:spacing w:after="0"/>
              <w:rPr>
                <w:rFonts w:ascii="Times" w:eastAsia="Times New Roman" w:hAnsi="Times" w:cs="Times"/>
                <w:color w:val="28313E"/>
              </w:rPr>
            </w:pPr>
            <w:r w:rsidRPr="00181195">
              <w:rPr>
                <w:rFonts w:ascii="Times" w:eastAsia="Times New Roman" w:hAnsi="Times" w:cs="Times"/>
                <w:color w:val="28313E"/>
              </w:rPr>
              <w:t>FFS: Applicability to specific multiplexing cases or specific time-frequency resources</w:t>
            </w:r>
          </w:p>
          <w:p w:rsidR="00300A1D" w:rsidRPr="00181195" w:rsidRDefault="00300A1D" w:rsidP="00300A1D">
            <w:pPr>
              <w:numPr>
                <w:ilvl w:val="0"/>
                <w:numId w:val="19"/>
              </w:numPr>
              <w:shd w:val="clear" w:color="auto" w:fill="FFFFFF"/>
              <w:spacing w:after="0"/>
              <w:rPr>
                <w:rFonts w:ascii="Times" w:eastAsia="Times New Roman" w:hAnsi="Times" w:cs="Times"/>
                <w:color w:val="28313E"/>
              </w:rPr>
            </w:pPr>
            <w:r w:rsidRPr="00181195">
              <w:rPr>
                <w:rFonts w:ascii="Times" w:eastAsia="Times New Roman" w:hAnsi="Times" w:cs="Times"/>
                <w:color w:val="28313E"/>
              </w:rPr>
              <w:t>FFS: Whether IAB-specific enhancements beyond the existing beam management framework are needed to the support the functionality</w:t>
            </w:r>
          </w:p>
          <w:p w:rsidR="00300A1D" w:rsidRPr="00181195" w:rsidRDefault="00300A1D" w:rsidP="00300A1D">
            <w:pPr>
              <w:numPr>
                <w:ilvl w:val="0"/>
                <w:numId w:val="19"/>
              </w:numPr>
              <w:shd w:val="clear" w:color="auto" w:fill="FFFFFF"/>
              <w:spacing w:after="0"/>
              <w:rPr>
                <w:rFonts w:ascii="Times" w:eastAsia="Times New Roman" w:hAnsi="Times" w:cs="Times"/>
                <w:color w:val="28313E"/>
              </w:rPr>
            </w:pPr>
            <w:r w:rsidRPr="00181195">
              <w:rPr>
                <w:rFonts w:ascii="Times" w:eastAsia="Times New Roman" w:hAnsi="Times" w:cs="Times"/>
                <w:color w:val="28313E"/>
              </w:rPr>
              <w:t>FFS: Impact on the semi-static resource configurations (e.g., extending the H/S/NA resource attributes to the spatial domain)</w:t>
            </w:r>
          </w:p>
          <w:p w:rsidR="00300A1D" w:rsidRPr="00181195" w:rsidRDefault="00300A1D" w:rsidP="00300A1D">
            <w:pPr>
              <w:numPr>
                <w:ilvl w:val="0"/>
                <w:numId w:val="19"/>
              </w:numPr>
              <w:shd w:val="clear" w:color="auto" w:fill="FFFFFF"/>
              <w:spacing w:after="0"/>
              <w:rPr>
                <w:rFonts w:ascii="Times" w:eastAsia="Times New Roman" w:hAnsi="Times" w:cs="Times"/>
                <w:color w:val="28313E"/>
              </w:rPr>
            </w:pPr>
            <w:r w:rsidRPr="00181195">
              <w:rPr>
                <w:rFonts w:ascii="Times" w:eastAsia="Times New Roman" w:hAnsi="Times" w:cs="Times"/>
                <w:color w:val="28313E"/>
              </w:rPr>
              <w:t>FFS: Whether panel-based granularity is additionally supported</w:t>
            </w: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Batang" w:hAnsi="Times" w:cs="Times"/>
              </w:rPr>
            </w:pPr>
          </w:p>
          <w:p w:rsidR="00300A1D" w:rsidRPr="00181195" w:rsidRDefault="00300A1D" w:rsidP="00300A1D">
            <w:pPr>
              <w:shd w:val="clear" w:color="auto" w:fill="FFFFFF"/>
              <w:spacing w:after="0"/>
              <w:rPr>
                <w:rFonts w:ascii="Times" w:eastAsia="Times New Roman" w:hAnsi="Times" w:cs="Times"/>
                <w:highlight w:val="green"/>
              </w:rPr>
            </w:pPr>
            <w:r w:rsidRPr="00181195">
              <w:rPr>
                <w:rFonts w:ascii="Times" w:eastAsia="Times New Roman" w:hAnsi="Times" w:cs="Times"/>
                <w:highlight w:val="green"/>
              </w:rPr>
              <w:t>Agreement</w:t>
            </w:r>
          </w:p>
          <w:p w:rsidR="00300A1D" w:rsidRPr="00836919" w:rsidRDefault="00300A1D" w:rsidP="00300A1D">
            <w:pPr>
              <w:shd w:val="clear" w:color="auto" w:fill="FFFFFF"/>
              <w:spacing w:after="0"/>
              <w:rPr>
                <w:rFonts w:ascii="Times" w:eastAsia="Times New Roman" w:hAnsi="Times" w:cs="Times"/>
              </w:rPr>
            </w:pPr>
            <w:r w:rsidRPr="00836919">
              <w:rPr>
                <w:rFonts w:ascii="Times" w:eastAsia="Times New Roman" w:hAnsi="Times" w:cs="Times"/>
              </w:rPr>
              <w:t xml:space="preserve">The following enhancements to support intra-band inter-carrier dual connectivity for both inter-donor and intra-donor scenarios are considered (in addition to reusing solutions for inter-band dual connectivity) to support simultaneous </w:t>
            </w:r>
            <w:proofErr w:type="spellStart"/>
            <w:r w:rsidRPr="00836919">
              <w:rPr>
                <w:rFonts w:ascii="Times" w:eastAsia="Times New Roman" w:hAnsi="Times" w:cs="Times"/>
              </w:rPr>
              <w:t>Tx</w:t>
            </w:r>
            <w:proofErr w:type="spellEnd"/>
            <w:r w:rsidRPr="00836919">
              <w:rPr>
                <w:rFonts w:ascii="Times" w:eastAsia="Times New Roman" w:hAnsi="Times" w:cs="Times"/>
              </w:rPr>
              <w:t xml:space="preserve"> and/or Rx at the child IAB-MT to/from both parent links:</w:t>
            </w:r>
          </w:p>
          <w:p w:rsidR="00300A1D" w:rsidRPr="00181195" w:rsidRDefault="00300A1D" w:rsidP="00300A1D">
            <w:pPr>
              <w:numPr>
                <w:ilvl w:val="0"/>
                <w:numId w:val="19"/>
              </w:numPr>
              <w:shd w:val="clear" w:color="auto" w:fill="FFFFFF"/>
              <w:spacing w:after="0"/>
              <w:rPr>
                <w:rFonts w:ascii="Times" w:eastAsia="Times New Roman" w:hAnsi="Times" w:cs="Times"/>
              </w:rPr>
            </w:pPr>
            <w:r w:rsidRPr="00181195">
              <w:rPr>
                <w:rFonts w:ascii="Times" w:eastAsia="Times New Roman" w:hAnsi="Times" w:cs="Times"/>
              </w:rPr>
              <w:t>Extending the Rel-16 CA TDD conflict resolution framework for synchronous intra-band NR-DC operation</w:t>
            </w:r>
          </w:p>
          <w:p w:rsidR="00300A1D" w:rsidRPr="00836919" w:rsidRDefault="00300A1D" w:rsidP="00300A1D">
            <w:pPr>
              <w:numPr>
                <w:ilvl w:val="0"/>
                <w:numId w:val="19"/>
              </w:numPr>
              <w:shd w:val="clear" w:color="auto" w:fill="FFFFFF"/>
              <w:spacing w:after="0"/>
              <w:rPr>
                <w:rFonts w:ascii="Times" w:eastAsia="Times New Roman" w:hAnsi="Times" w:cs="Times"/>
              </w:rPr>
            </w:pPr>
            <w:r w:rsidRPr="00836919">
              <w:rPr>
                <w:rFonts w:ascii="Times" w:eastAsia="Times New Roman" w:hAnsi="Times" w:cs="Times"/>
              </w:rPr>
              <w:t>Coordinating TDD configurations for the parent nodes (for both intra-donor and inter-donor operation) and coordinating H/S/NA configurations for the child node between donors (at least for inter-donor operation)</w:t>
            </w:r>
          </w:p>
          <w:p w:rsidR="00300A1D" w:rsidRDefault="00300A1D" w:rsidP="00E315CA">
            <w:pPr>
              <w:rPr>
                <w:b/>
              </w:rPr>
            </w:pPr>
          </w:p>
          <w:p w:rsidR="00E32390" w:rsidRDefault="00E32390" w:rsidP="00E315CA">
            <w:pPr>
              <w:rPr>
                <w:b/>
              </w:rPr>
            </w:pPr>
            <w:r>
              <w:rPr>
                <w:b/>
              </w:rPr>
              <w:t>Simultaneous operation</w:t>
            </w:r>
          </w:p>
          <w:p w:rsidR="00E32390" w:rsidRDefault="00E32390" w:rsidP="00E3239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RAN1#104-e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/>
                <w:szCs w:val="24"/>
                <w:highlight w:val="green"/>
                <w:lang w:eastAsia="x-none"/>
              </w:rPr>
            </w:pPr>
            <w:r w:rsidRPr="00181195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181195">
              <w:rPr>
                <w:rFonts w:ascii="Times" w:eastAsia="Batang" w:hAnsi="Times"/>
                <w:szCs w:val="24"/>
                <w:lang w:eastAsia="x-none"/>
              </w:rPr>
              <w:lastRenderedPageBreak/>
              <w:t>Case 7 timing is supported with symbol level alignment without explicit support for slot level alignment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  <w:highlight w:val="green"/>
                <w:lang w:eastAsia="x-none"/>
              </w:rPr>
              <w:t>Agreement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</w:rPr>
              <w:t>Switching between Case 1, Case 6, and Case 7 timing is supported.</w:t>
            </w:r>
          </w:p>
          <w:p w:rsidR="00E32390" w:rsidRPr="00181195" w:rsidRDefault="00E32390" w:rsidP="00E32390">
            <w:pPr>
              <w:numPr>
                <w:ilvl w:val="0"/>
                <w:numId w:val="22"/>
              </w:num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</w:rPr>
              <w:t>FFS whether Case 6 and Case 7 timing shall be restricted to certain resources, e.g. excluding resources used for access or TDM backhaul</w:t>
            </w:r>
          </w:p>
          <w:p w:rsidR="00E32390" w:rsidRPr="00181195" w:rsidRDefault="00E32390" w:rsidP="00E32390">
            <w:pPr>
              <w:numPr>
                <w:ilvl w:val="0"/>
                <w:numId w:val="22"/>
              </w:num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</w:rPr>
              <w:t>FFS details on switching including the switching conditions</w:t>
            </w:r>
          </w:p>
          <w:p w:rsidR="00E32390" w:rsidRPr="00181195" w:rsidRDefault="00E32390" w:rsidP="00E32390">
            <w:pPr>
              <w:numPr>
                <w:ilvl w:val="0"/>
                <w:numId w:val="22"/>
              </w:num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</w:rPr>
              <w:t>FFS relationship between switching timing modes with the usage/indication of different resource multiplexing modes</w:t>
            </w:r>
          </w:p>
          <w:p w:rsidR="00E32390" w:rsidRPr="00181195" w:rsidRDefault="00E32390" w:rsidP="00E32390">
            <w:pPr>
              <w:numPr>
                <w:ilvl w:val="0"/>
                <w:numId w:val="22"/>
              </w:num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</w:rPr>
              <w:t>FFS whether Rel-16 OTA synchronization shall be enhanced to support switching timing modes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</w:rPr>
            </w:pPr>
            <w:r w:rsidRPr="00181195">
              <w:rPr>
                <w:rFonts w:ascii="Times" w:eastAsia="Batang" w:hAnsi="Times" w:cs="Times"/>
                <w:highlight w:val="green"/>
                <w:lang w:eastAsia="x-none"/>
              </w:rPr>
              <w:t>Agreement</w:t>
            </w:r>
          </w:p>
          <w:p w:rsidR="00E32390" w:rsidRPr="00181195" w:rsidRDefault="00E32390" w:rsidP="00E32390">
            <w:pPr>
              <w:spacing w:after="0"/>
              <w:rPr>
                <w:rFonts w:ascii="Times" w:eastAsia="Calibri" w:hAnsi="Times" w:cs="Times"/>
                <w:szCs w:val="24"/>
              </w:rPr>
            </w:pPr>
            <w:r w:rsidRPr="00181195">
              <w:rPr>
                <w:rFonts w:ascii="Times" w:eastAsia="Calibri" w:hAnsi="Times" w:cs="Times"/>
                <w:szCs w:val="24"/>
              </w:rPr>
              <w:t>RAN1 to further study whether the legacy UL power control mechanism (including PHR) is sufficient for an IAB-node operating in an enhanced multiplexing mode.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MS PGothic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FFS: if not (i.e., the legacy mechanism is not sufficient), support an IAB-node indicating information to assist with its UL power control.</w:t>
            </w:r>
          </w:p>
          <w:p w:rsidR="00E32390" w:rsidRPr="00181195" w:rsidRDefault="00E32390" w:rsidP="00E32390">
            <w:pPr>
              <w:spacing w:after="0"/>
              <w:rPr>
                <w:rFonts w:ascii="Times" w:eastAsia="Calibri" w:hAnsi="Times" w:cs="Times"/>
                <w:szCs w:val="24"/>
              </w:rPr>
            </w:pPr>
            <w:r w:rsidRPr="00181195">
              <w:rPr>
                <w:rFonts w:ascii="Times" w:eastAsia="Calibri" w:hAnsi="Times" w:cs="Times"/>
                <w:szCs w:val="24"/>
              </w:rPr>
              <w:t xml:space="preserve">Support an IAB-node indicating information to assist with the DL power control of its parent-node towards the IAB-node without mandating an expected </w:t>
            </w:r>
            <w:proofErr w:type="spellStart"/>
            <w:r w:rsidRPr="00181195">
              <w:rPr>
                <w:rFonts w:ascii="Times" w:eastAsia="Calibri" w:hAnsi="Times" w:cs="Times"/>
                <w:szCs w:val="24"/>
              </w:rPr>
              <w:t>behavior</w:t>
            </w:r>
            <w:proofErr w:type="spellEnd"/>
            <w:r w:rsidRPr="00181195">
              <w:rPr>
                <w:rFonts w:ascii="Times" w:eastAsia="Calibri" w:hAnsi="Times" w:cs="Times"/>
                <w:szCs w:val="24"/>
              </w:rPr>
              <w:t xml:space="preserve"> at the parent node.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Note: At least the assistance information is for supporting the simultaneous operation within the IAB-node to avoid power imbalance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FFS: type of assistance information (e.g., desired received power, power adjustment, preferred CSI-RS resource)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FFS: whether this information is provided to the parent-node, the CU, or both.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FFS: applicability of the assistance information (e.g. relation to beams or multiplexing modes)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FFS: the channel carrying this assistance information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  <w:b/>
                <w:bCs/>
                <w:szCs w:val="24"/>
                <w:lang w:eastAsia="x-none"/>
              </w:rPr>
            </w:pPr>
            <w:r w:rsidRPr="00181195">
              <w:rPr>
                <w:rFonts w:ascii="Times" w:eastAsia="Batang" w:hAnsi="Times" w:cs="Times"/>
                <w:b/>
                <w:bCs/>
                <w:szCs w:val="24"/>
                <w:lang w:eastAsia="x-none"/>
              </w:rPr>
              <w:t>Conclusion</w:t>
            </w:r>
          </w:p>
          <w:p w:rsidR="00E32390" w:rsidRPr="00181195" w:rsidRDefault="00E32390" w:rsidP="00E32390">
            <w:pPr>
              <w:spacing w:after="0"/>
              <w:rPr>
                <w:rFonts w:ascii="Calibri" w:eastAsia="Calibri" w:hAnsi="Calibri"/>
                <w:szCs w:val="24"/>
              </w:rPr>
            </w:pPr>
            <w:r w:rsidRPr="00181195">
              <w:rPr>
                <w:rFonts w:ascii="Times" w:eastAsia="Batang" w:hAnsi="Times"/>
                <w:szCs w:val="24"/>
              </w:rPr>
              <w:t xml:space="preserve">In Rel-17, RAN1 will not specify specific mechanisms for intra-IAB-node interference (self-interference) management. 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 xml:space="preserve">Self-interference can be handled by the implementation or via using the available techniques defined, or to be defined in Rel-17, that can commonly be used for other interference scenarios as well. 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  <w:szCs w:val="24"/>
                <w:highlight w:val="green"/>
                <w:lang w:eastAsia="x-none"/>
              </w:rPr>
            </w:pPr>
            <w:r w:rsidRPr="00181195">
              <w:rPr>
                <w:rFonts w:ascii="Times" w:eastAsia="Batang" w:hAnsi="Times" w:cs="Times"/>
                <w:szCs w:val="24"/>
                <w:highlight w:val="green"/>
                <w:lang w:eastAsia="x-none"/>
              </w:rPr>
              <w:t>Agreement</w:t>
            </w:r>
          </w:p>
          <w:p w:rsidR="00E32390" w:rsidRPr="00181195" w:rsidRDefault="00E32390" w:rsidP="00E32390">
            <w:pPr>
              <w:spacing w:after="0"/>
              <w:rPr>
                <w:rFonts w:eastAsia="Calibri"/>
                <w:szCs w:val="24"/>
              </w:rPr>
            </w:pPr>
            <w:r w:rsidRPr="00181195">
              <w:rPr>
                <w:rFonts w:ascii="Times" w:eastAsia="Calibri" w:hAnsi="Times"/>
                <w:szCs w:val="24"/>
              </w:rPr>
              <w:t>RAN1 to select among the following options to support DU-to-DU measurement and report.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For DU-to-DU CLI measurement:</w:t>
            </w:r>
          </w:p>
          <w:p w:rsidR="00E32390" w:rsidRPr="00181195" w:rsidRDefault="00E32390" w:rsidP="00E32390">
            <w:pPr>
              <w:numPr>
                <w:ilvl w:val="1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Option 1.1. no specific mechanism is specified (e.g., it is handled by the implementation, or the available techniques)</w:t>
            </w:r>
          </w:p>
          <w:p w:rsidR="00E32390" w:rsidRPr="00181195" w:rsidRDefault="00E32390" w:rsidP="00E32390">
            <w:pPr>
              <w:numPr>
                <w:ilvl w:val="1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Option 1.2. enhanced legacy DU-based measurement procedures (e.g., enhanced Rel-16 RIM)</w:t>
            </w:r>
          </w:p>
          <w:p w:rsidR="00E32390" w:rsidRPr="00181195" w:rsidRDefault="00E32390" w:rsidP="00E32390">
            <w:pPr>
              <w:numPr>
                <w:ilvl w:val="1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Option 1.3. enhanced MT-based measurements (e.g., MT-based CLI, MT RRM measurements)</w:t>
            </w:r>
          </w:p>
          <w:p w:rsidR="00E32390" w:rsidRPr="00181195" w:rsidRDefault="00E32390" w:rsidP="00E32390">
            <w:pPr>
              <w:numPr>
                <w:ilvl w:val="0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For DU-to-DU CLI report:</w:t>
            </w:r>
          </w:p>
          <w:p w:rsidR="00E32390" w:rsidRPr="00181195" w:rsidRDefault="00E32390" w:rsidP="00E32390">
            <w:pPr>
              <w:numPr>
                <w:ilvl w:val="1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Option 2.1. no specific mechanism is specified (e.g., it is handled by the implementation, or the available techniques)</w:t>
            </w:r>
          </w:p>
          <w:p w:rsidR="00E32390" w:rsidRPr="00181195" w:rsidRDefault="00E32390" w:rsidP="00E32390">
            <w:pPr>
              <w:numPr>
                <w:ilvl w:val="1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Option 2.2. enhanced legacy DU-based report (e.g., enhanced Rel-16 RIM)</w:t>
            </w:r>
          </w:p>
          <w:p w:rsidR="00E32390" w:rsidRPr="00181195" w:rsidRDefault="00E32390" w:rsidP="00E32390">
            <w:pPr>
              <w:numPr>
                <w:ilvl w:val="1"/>
                <w:numId w:val="20"/>
              </w:numPr>
              <w:spacing w:after="0"/>
              <w:contextualSpacing/>
              <w:textAlignment w:val="baseline"/>
              <w:rPr>
                <w:rFonts w:eastAsia="Calibri" w:cs="Times"/>
                <w:lang w:eastAsia="ja-JP"/>
              </w:rPr>
            </w:pPr>
            <w:r w:rsidRPr="00181195">
              <w:rPr>
                <w:rFonts w:eastAsia="Calibri" w:cs="Times"/>
                <w:lang w:eastAsia="ja-JP"/>
              </w:rPr>
              <w:t>Option 2.3. enhanced MT-based report (e.g., MT-based CLI, MT RRM measurements)</w:t>
            </w: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  <w:szCs w:val="24"/>
                <w:lang w:eastAsia="x-none"/>
              </w:rPr>
            </w:pPr>
          </w:p>
          <w:p w:rsidR="00E32390" w:rsidRPr="00181195" w:rsidRDefault="00E32390" w:rsidP="00E32390">
            <w:pPr>
              <w:spacing w:after="0"/>
              <w:rPr>
                <w:rFonts w:ascii="Times" w:eastAsia="Batang" w:hAnsi="Times" w:cs="Times"/>
                <w:szCs w:val="24"/>
                <w:highlight w:val="green"/>
                <w:lang w:eastAsia="x-none"/>
              </w:rPr>
            </w:pPr>
            <w:r w:rsidRPr="00181195">
              <w:rPr>
                <w:rFonts w:ascii="Times" w:eastAsia="Batang" w:hAnsi="Times" w:cs="Times"/>
                <w:szCs w:val="24"/>
                <w:highlight w:val="green"/>
                <w:lang w:eastAsia="x-none"/>
              </w:rPr>
              <w:t>Agreement</w:t>
            </w:r>
          </w:p>
          <w:p w:rsidR="00E32390" w:rsidRPr="00181195" w:rsidRDefault="00E32390" w:rsidP="00E32390">
            <w:pPr>
              <w:spacing w:after="0"/>
              <w:rPr>
                <w:rFonts w:eastAsia="Calibri"/>
                <w:szCs w:val="24"/>
              </w:rPr>
            </w:pPr>
            <w:r w:rsidRPr="00181195">
              <w:rPr>
                <w:rFonts w:ascii="Times" w:eastAsia="Calibri" w:hAnsi="Times"/>
                <w:szCs w:val="24"/>
              </w:rPr>
              <w:t>RAN1 to decide whether to enhance interference mitigation through information exchange to support beam-management at the parent or child node in RAN1#104bis-e</w:t>
            </w:r>
          </w:p>
          <w:p w:rsidR="00E32390" w:rsidRPr="00181195" w:rsidRDefault="00E32390" w:rsidP="00E32390">
            <w:pPr>
              <w:numPr>
                <w:ilvl w:val="1"/>
                <w:numId w:val="21"/>
              </w:numPr>
              <w:spacing w:after="0"/>
              <w:contextualSpacing/>
              <w:textAlignment w:val="baseline"/>
              <w:rPr>
                <w:rFonts w:eastAsia="Calibri"/>
                <w:lang w:eastAsia="ja-JP"/>
              </w:rPr>
            </w:pPr>
            <w:r w:rsidRPr="00181195">
              <w:rPr>
                <w:rFonts w:eastAsia="Calibri"/>
                <w:lang w:eastAsia="ja-JP"/>
              </w:rPr>
              <w:t>FFS: reporting of desired beams for reception in DL or desired beams for transmission in UL by the IAB node for a given multiplexing mode</w:t>
            </w:r>
          </w:p>
          <w:p w:rsidR="00E32390" w:rsidRPr="00181195" w:rsidRDefault="00E32390" w:rsidP="00E32390">
            <w:pPr>
              <w:numPr>
                <w:ilvl w:val="1"/>
                <w:numId w:val="21"/>
              </w:numPr>
              <w:spacing w:after="0"/>
              <w:contextualSpacing/>
              <w:textAlignment w:val="baseline"/>
              <w:rPr>
                <w:rFonts w:eastAsia="宋体"/>
                <w:lang w:eastAsia="ja-JP"/>
              </w:rPr>
            </w:pPr>
            <w:r w:rsidRPr="00181195">
              <w:rPr>
                <w:rFonts w:eastAsia="Calibri"/>
                <w:lang w:eastAsia="ja-JP"/>
              </w:rPr>
              <w:t>FFS: indicating applicable beams in DL or beams in UL for a given multiplexing mode.</w:t>
            </w:r>
          </w:p>
          <w:p w:rsidR="00E32390" w:rsidRPr="00300A1D" w:rsidRDefault="00E32390" w:rsidP="00E315CA">
            <w:pPr>
              <w:rPr>
                <w:b/>
              </w:rPr>
            </w:pPr>
          </w:p>
        </w:tc>
      </w:tr>
    </w:tbl>
    <w:p w:rsidR="00CD108E" w:rsidRDefault="00CD108E" w:rsidP="00E315CA">
      <w:pPr>
        <w:rPr>
          <w:b/>
          <w:lang w:val="en-US"/>
        </w:rPr>
      </w:pPr>
    </w:p>
    <w:p w:rsidR="00836919" w:rsidRDefault="00836919" w:rsidP="00E315CA">
      <w:pPr>
        <w:rPr>
          <w:rFonts w:ascii="Times" w:eastAsia="Times New Roman" w:hAnsi="Times" w:cs="Times"/>
        </w:rPr>
      </w:pPr>
      <w:r w:rsidRPr="00836919">
        <w:rPr>
          <w:rFonts w:ascii="Times" w:eastAsia="Times New Roman" w:hAnsi="Times" w:cs="Times"/>
        </w:rPr>
        <w:t>For resource multiplexing enhancement</w:t>
      </w:r>
      <w:r>
        <w:rPr>
          <w:rFonts w:ascii="Times" w:eastAsia="Times New Roman" w:hAnsi="Times" w:cs="Times"/>
        </w:rPr>
        <w:t xml:space="preserve">, it could be observed that the framework is not concrete enough currently in RAN1 with still a lot issues to be further studied, e.g. supporting of intra/inter </w:t>
      </w:r>
      <w:r w:rsidR="00E32390">
        <w:rPr>
          <w:rFonts w:ascii="Times" w:eastAsia="Times New Roman" w:hAnsi="Times" w:cs="Times"/>
        </w:rPr>
        <w:t xml:space="preserve">donor scenarios, DC operation. Thus, current the impact on RRM requirements could not be clearly identified. </w:t>
      </w:r>
    </w:p>
    <w:p w:rsidR="00B4102C" w:rsidRPr="00745CBD" w:rsidRDefault="00B4102C" w:rsidP="00E315CA">
      <w:pPr>
        <w:rPr>
          <w:rFonts w:ascii="Times" w:eastAsia="Times New Roman" w:hAnsi="Times" w:cs="Times"/>
          <w:b/>
        </w:rPr>
      </w:pPr>
      <w:r w:rsidRPr="00745CBD">
        <w:rPr>
          <w:rFonts w:ascii="Times" w:eastAsia="Times New Roman" w:hAnsi="Times" w:cs="Times"/>
          <w:b/>
        </w:rPr>
        <w:t>Observation 1: Regarding the RRM impact of resource multiplexing enhancement, whether there is RRM impact is not clear</w:t>
      </w:r>
      <w:r w:rsidR="00745CBD" w:rsidRPr="00745CBD">
        <w:rPr>
          <w:rFonts w:ascii="Times" w:eastAsia="Times New Roman" w:hAnsi="Times" w:cs="Times"/>
          <w:b/>
        </w:rPr>
        <w:t xml:space="preserve"> and RAN4 should wait for RAN1 and RAN2 progress before proceeding.</w:t>
      </w:r>
    </w:p>
    <w:p w:rsidR="00AD73DB" w:rsidRDefault="00E32390" w:rsidP="00AD73DB">
      <w:pPr>
        <w:rPr>
          <w:rFonts w:eastAsia="Calibri"/>
        </w:rPr>
      </w:pPr>
      <w:r>
        <w:rPr>
          <w:rFonts w:ascii="Times" w:eastAsia="Times New Roman" w:hAnsi="Times" w:cs="Times"/>
        </w:rPr>
        <w:t>For simultaneous operation, based on RAN1 progress and status, cases are more complicated. Four cases are considered for the simultaneous operation to improve the system throughput (</w:t>
      </w:r>
      <w:r>
        <w:t xml:space="preserve">MT </w:t>
      </w:r>
      <w:proofErr w:type="spellStart"/>
      <w:r>
        <w:t>Tx</w:t>
      </w:r>
      <w:proofErr w:type="spellEnd"/>
      <w:r>
        <w:t xml:space="preserve">/DU </w:t>
      </w:r>
      <w:proofErr w:type="spellStart"/>
      <w:r>
        <w:t>Tx</w:t>
      </w:r>
      <w:proofErr w:type="spellEnd"/>
      <w:r>
        <w:t xml:space="preserve">, MT </w:t>
      </w:r>
      <w:proofErr w:type="spellStart"/>
      <w:r>
        <w:t>Tx</w:t>
      </w:r>
      <w:proofErr w:type="spellEnd"/>
      <w:r>
        <w:t xml:space="preserve">/DU Rx, MT Rx/DU </w:t>
      </w:r>
      <w:proofErr w:type="spellStart"/>
      <w:r>
        <w:t>Tx</w:t>
      </w:r>
      <w:proofErr w:type="spellEnd"/>
      <w:r>
        <w:t>, MT Rx/DU Rx</w:t>
      </w:r>
      <w:r>
        <w:rPr>
          <w:rFonts w:ascii="Times" w:eastAsia="Times New Roman" w:hAnsi="Times" w:cs="Times"/>
        </w:rPr>
        <w:t xml:space="preserve">), among which simultaneous RX (case 2) and </w:t>
      </w:r>
      <w:proofErr w:type="spellStart"/>
      <w:r>
        <w:rPr>
          <w:rFonts w:ascii="Times" w:eastAsia="Times New Roman" w:hAnsi="Times" w:cs="Times"/>
        </w:rPr>
        <w:t>Tx</w:t>
      </w:r>
      <w:proofErr w:type="spellEnd"/>
      <w:r>
        <w:rPr>
          <w:rFonts w:ascii="Times" w:eastAsia="Times New Roman" w:hAnsi="Times" w:cs="Times"/>
        </w:rPr>
        <w:t xml:space="preserve"> (case 1) are mainly discussed. </w:t>
      </w:r>
      <w:r w:rsidR="00F25AEB">
        <w:rPr>
          <w:rFonts w:ascii="Times" w:eastAsia="Times New Roman" w:hAnsi="Times" w:cs="Times"/>
        </w:rPr>
        <w:t xml:space="preserve">And to enable the simultaneous operation, case 6 and case 7 timing are considered apart from case 1 timing. To enable the </w:t>
      </w:r>
      <w:r w:rsidR="00F25AEB">
        <w:rPr>
          <w:rFonts w:ascii="Times" w:eastAsia="Times New Roman" w:hAnsi="Times" w:cs="Times"/>
        </w:rPr>
        <w:lastRenderedPageBreak/>
        <w:t xml:space="preserve">case 2 simultaneous operation where IAB-MT and IAB-DU can simultaneously receive in upstream and downstream, case 7 timing should be supported that </w:t>
      </w:r>
      <w:r w:rsidR="00F25AEB" w:rsidRPr="00F25AEB">
        <w:rPr>
          <w:rFonts w:ascii="Times" w:eastAsia="Times New Roman" w:hAnsi="Times" w:cs="Times"/>
        </w:rPr>
        <w:t>UL reception timing of an IAB-node can be aligned with the</w:t>
      </w:r>
      <w:r w:rsidR="00F25AEB">
        <w:rPr>
          <w:rFonts w:ascii="Times" w:eastAsia="Times New Roman" w:hAnsi="Times" w:cs="Times"/>
        </w:rPr>
        <w:t xml:space="preserve"> IAB-node's DL reception timing. According to RAN1’s agreement in RAN1#104-e, </w:t>
      </w:r>
      <w:r w:rsidR="00F25AEB" w:rsidRPr="00181195">
        <w:rPr>
          <w:rFonts w:ascii="Times" w:eastAsia="Batang" w:hAnsi="Times"/>
          <w:szCs w:val="24"/>
          <w:lang w:eastAsia="x-none"/>
        </w:rPr>
        <w:t>Case 7 timing is supported with symbol level alignment without explicit support for slot level alignment</w:t>
      </w:r>
      <w:r w:rsidR="00F25AEB">
        <w:rPr>
          <w:rFonts w:ascii="Times" w:eastAsia="Batang" w:hAnsi="Times"/>
          <w:szCs w:val="24"/>
          <w:lang w:eastAsia="x-none"/>
        </w:rPr>
        <w:t xml:space="preserve">. To enable the case 1 simultaneous operation where IAB-MT and IAB-DU could simultaneously transmit. Case 6 timing it considered that </w:t>
      </w:r>
      <w:r w:rsidR="00F25AEB">
        <w:t>the UL transmission timing of an IAB-node can be aligned with the IAB-node's DL transmission timing</w:t>
      </w:r>
      <w:r w:rsidR="00F25AEB">
        <w:rPr>
          <w:rFonts w:eastAsia="Malgun Gothic"/>
          <w:lang w:eastAsia="ko-KR"/>
        </w:rPr>
        <w:t xml:space="preserve">. And according to RAN1’s agreement in RAN1#103-e, </w:t>
      </w:r>
      <w:r w:rsidR="00F25AEB" w:rsidRPr="00181195">
        <w:rPr>
          <w:rFonts w:eastAsia="Calibri"/>
        </w:rPr>
        <w:t>Case 6 timing mode operation at an IAB-node is controlled by the parent node to which the UL transmission is intended for.</w:t>
      </w:r>
      <w:r w:rsidR="00F25AEB">
        <w:rPr>
          <w:rFonts w:eastAsia="Calibri"/>
        </w:rPr>
        <w:t xml:space="preserve"> </w:t>
      </w:r>
      <w:r w:rsidR="00B4102C">
        <w:rPr>
          <w:rFonts w:eastAsia="Calibri"/>
        </w:rPr>
        <w:t xml:space="preserve">Based on the current status, there could be impact on timing related requirements of Rel-17 IAB. However, the concrete framework is needed before RAN4 could proceed the corresponding works. For instance, how Case 6 and Case 7 timing could work is still not clear including whether the original TA mechanism is sufficient and whether and how to switch between different timing mode. </w:t>
      </w:r>
    </w:p>
    <w:p w:rsidR="00F25AEB" w:rsidRPr="00AD73DB" w:rsidRDefault="00B4102C" w:rsidP="00AD73DB">
      <w:pPr>
        <w:rPr>
          <w:rFonts w:ascii="Times" w:eastAsia="Times New Roman" w:hAnsi="Times" w:cs="Times"/>
          <w:b/>
        </w:rPr>
      </w:pPr>
      <w:r w:rsidRPr="00AD73DB">
        <w:rPr>
          <w:rFonts w:ascii="Times" w:eastAsia="Times New Roman" w:hAnsi="Times" w:cs="Times"/>
          <w:b/>
        </w:rPr>
        <w:t xml:space="preserve">Observation 2: </w:t>
      </w:r>
      <w:r w:rsidR="00745CBD" w:rsidRPr="00AD73DB">
        <w:rPr>
          <w:rFonts w:ascii="Times" w:eastAsia="Times New Roman" w:hAnsi="Times" w:cs="Times"/>
          <w:b/>
        </w:rPr>
        <w:t xml:space="preserve">There may be RRM impact on timing requirements to enable the simultaneous operation for Rel-17 IAB, and </w:t>
      </w:r>
      <w:r w:rsidR="00745CBD" w:rsidRPr="00745CBD">
        <w:rPr>
          <w:rFonts w:ascii="Times" w:eastAsia="Times New Roman" w:hAnsi="Times" w:cs="Times"/>
          <w:b/>
        </w:rPr>
        <w:t>RAN4 should wait for RAN1 and RAN2 progress before proceeding</w:t>
      </w:r>
    </w:p>
    <w:p w:rsidR="00745CBD" w:rsidRDefault="00745CBD" w:rsidP="00AD73DB">
      <w:pPr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To enable the simultaneous operation, RAN1 is also considering the interference management. Based on the agreements in RAN1#104-e, RAN1 will not specify </w:t>
      </w:r>
      <w:r w:rsidR="00E7486B">
        <w:rPr>
          <w:rFonts w:ascii="Times" w:eastAsia="Batang" w:hAnsi="Times"/>
          <w:szCs w:val="24"/>
          <w:lang w:eastAsia="x-none"/>
        </w:rPr>
        <w:t xml:space="preserve">intra-IAB-node interference management (self-interference), which is mainly for simultaneous MT-RX/DU-TX and MT-TX/DU-RX. The interference management for inter-IAB scenarios including MT to MT, DU to DU, DU to MT and MT to DU. RAN1 </w:t>
      </w:r>
      <w:r w:rsidR="00AD73DB">
        <w:rPr>
          <w:rFonts w:ascii="Times" w:eastAsia="Batang" w:hAnsi="Times"/>
          <w:szCs w:val="24"/>
          <w:lang w:eastAsia="x-none"/>
        </w:rPr>
        <w:t xml:space="preserve">is still discussing whether to utilizing the legacy Rel-16 interference management approach (e.g. CLI) or considering enhancement on resource and beam coordination techniques to mitigate/avoid interference. </w:t>
      </w:r>
    </w:p>
    <w:p w:rsidR="00AD73DB" w:rsidRPr="00AD73DB" w:rsidRDefault="00AD73DB" w:rsidP="00AD73DB">
      <w:pPr>
        <w:rPr>
          <w:rFonts w:ascii="Times" w:eastAsia="Batang" w:hAnsi="Times"/>
          <w:b/>
          <w:szCs w:val="24"/>
          <w:lang w:eastAsia="x-none"/>
        </w:rPr>
      </w:pPr>
      <w:r w:rsidRPr="00AD73DB">
        <w:rPr>
          <w:rFonts w:ascii="Times" w:eastAsia="Batang" w:hAnsi="Times"/>
          <w:b/>
          <w:szCs w:val="24"/>
          <w:lang w:eastAsia="x-none"/>
        </w:rPr>
        <w:t>Observation 3: The framework of interference management is still under discussion in RAN1.</w:t>
      </w:r>
    </w:p>
    <w:p w:rsidR="00AD73DB" w:rsidRDefault="009C3448" w:rsidP="00AD73DB">
      <w:pPr>
        <w:rPr>
          <w:rFonts w:ascii="Times" w:eastAsiaTheme="minorEastAsia" w:hAnsi="Times"/>
          <w:szCs w:val="24"/>
          <w:lang w:val="en-US" w:eastAsia="zh-CN"/>
        </w:rPr>
      </w:pPr>
      <w:r>
        <w:rPr>
          <w:rFonts w:ascii="Times" w:eastAsiaTheme="minorEastAsia" w:hAnsi="Times" w:hint="eastAsia"/>
          <w:szCs w:val="24"/>
          <w:lang w:val="en-US" w:eastAsia="zh-CN"/>
        </w:rPr>
        <w:t>Base</w:t>
      </w:r>
      <w:r>
        <w:rPr>
          <w:rFonts w:ascii="Times" w:eastAsiaTheme="minorEastAsia" w:hAnsi="Times"/>
          <w:szCs w:val="24"/>
          <w:lang w:val="en-US" w:eastAsia="zh-CN"/>
        </w:rPr>
        <w:t xml:space="preserve">d on the analysis above and the status in RAN1 and RAN2 discussion, more RAN1 and RAN2 input and more concrete framework of the enhancement in Rel-17 are needed to identify the corresponding RRM impact. </w:t>
      </w:r>
    </w:p>
    <w:p w:rsidR="00E32390" w:rsidRPr="0099415D" w:rsidRDefault="009C3448" w:rsidP="00E315CA">
      <w:pPr>
        <w:rPr>
          <w:rFonts w:ascii="Times" w:eastAsiaTheme="minorEastAsia" w:hAnsi="Times"/>
          <w:b/>
          <w:szCs w:val="24"/>
          <w:lang w:val="en-US" w:eastAsia="zh-CN"/>
        </w:rPr>
      </w:pPr>
      <w:r w:rsidRPr="009C3448">
        <w:rPr>
          <w:rFonts w:ascii="Times" w:eastAsiaTheme="minorEastAsia" w:hAnsi="Times"/>
          <w:b/>
          <w:szCs w:val="24"/>
          <w:lang w:val="en-US" w:eastAsia="zh-CN"/>
        </w:rPr>
        <w:t xml:space="preserve">Proposal 1: </w:t>
      </w:r>
      <w:r w:rsidR="00A05D9D">
        <w:rPr>
          <w:rFonts w:ascii="Times" w:eastAsiaTheme="minorEastAsia" w:hAnsi="Times"/>
          <w:b/>
          <w:szCs w:val="24"/>
          <w:lang w:val="en-US" w:eastAsia="zh-CN"/>
        </w:rPr>
        <w:t>RAN4 to further investigate the RRM impact of simultaneous operation and interference management with more RAN1 inputs.</w:t>
      </w:r>
    </w:p>
    <w:p w:rsidR="00267BAF" w:rsidRDefault="00267BAF" w:rsidP="00267BAF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9C3448" w:rsidRPr="009C3448" w:rsidRDefault="009C3448" w:rsidP="009C3448">
      <w:pPr>
        <w:rPr>
          <w:b/>
          <w:lang w:val="en-US" w:eastAsia="zh-CN"/>
        </w:rPr>
      </w:pPr>
      <w:r w:rsidRPr="009C3448">
        <w:rPr>
          <w:b/>
          <w:lang w:val="en-US" w:eastAsia="zh-CN"/>
        </w:rPr>
        <w:t>Observation 1: Regarding the RRM impact of resource multiplexing enhancement, whether there is RRM impact is not clear and RAN4 should wait for RAN1 and RAN2 progress before proceeding.</w:t>
      </w:r>
    </w:p>
    <w:p w:rsidR="009C3448" w:rsidRPr="009C3448" w:rsidRDefault="009C3448" w:rsidP="009C3448">
      <w:pPr>
        <w:rPr>
          <w:b/>
          <w:lang w:val="en-US" w:eastAsia="zh-CN"/>
        </w:rPr>
      </w:pPr>
      <w:r w:rsidRPr="009C3448">
        <w:rPr>
          <w:b/>
          <w:lang w:val="en-US" w:eastAsia="zh-CN"/>
        </w:rPr>
        <w:t>Observation 2: There may be RRM impact on timing requirements to enable the simultaneous operation for Rel-17 IAB, and RAN4 should wait for RAN1 and RAN2 progress before proceeding</w:t>
      </w:r>
    </w:p>
    <w:p w:rsidR="009C3448" w:rsidRPr="009C3448" w:rsidRDefault="009C3448" w:rsidP="009C3448">
      <w:pPr>
        <w:rPr>
          <w:b/>
          <w:lang w:val="en-US" w:eastAsia="zh-CN"/>
        </w:rPr>
      </w:pPr>
      <w:r w:rsidRPr="009C3448">
        <w:rPr>
          <w:b/>
          <w:lang w:val="en-US" w:eastAsia="zh-CN"/>
        </w:rPr>
        <w:t>Observation 3: The framework of interference management is still under discussion in RAN1.</w:t>
      </w:r>
    </w:p>
    <w:p w:rsidR="00A05D9D" w:rsidRPr="0099415D" w:rsidRDefault="00A05D9D" w:rsidP="00A05D9D">
      <w:pPr>
        <w:rPr>
          <w:rFonts w:ascii="Times" w:eastAsiaTheme="minorEastAsia" w:hAnsi="Times"/>
          <w:b/>
          <w:szCs w:val="24"/>
          <w:lang w:val="en-US" w:eastAsia="zh-CN"/>
        </w:rPr>
      </w:pPr>
      <w:r w:rsidRPr="009C3448">
        <w:rPr>
          <w:rFonts w:ascii="Times" w:eastAsiaTheme="minorEastAsia" w:hAnsi="Times"/>
          <w:b/>
          <w:szCs w:val="24"/>
          <w:lang w:val="en-US" w:eastAsia="zh-CN"/>
        </w:rPr>
        <w:t xml:space="preserve">Proposal 1: </w:t>
      </w:r>
      <w:r>
        <w:rPr>
          <w:rFonts w:ascii="Times" w:eastAsiaTheme="minorEastAsia" w:hAnsi="Times"/>
          <w:b/>
          <w:szCs w:val="24"/>
          <w:lang w:val="en-US" w:eastAsia="zh-CN"/>
        </w:rPr>
        <w:t>RAN4 to further investigate the RRM impact of simultaneous operation and interference management with more RAN1 inputs.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BA4C0A" w:rsidRDefault="00CD108E">
      <w:pPr>
        <w:rPr>
          <w:lang w:val="en-US"/>
        </w:rPr>
      </w:pPr>
      <w:r>
        <w:rPr>
          <w:lang w:val="en-US"/>
        </w:rPr>
        <w:t xml:space="preserve">[1] </w:t>
      </w:r>
      <w:r w:rsidRPr="00CD108E">
        <w:rPr>
          <w:lang w:val="en-US"/>
        </w:rPr>
        <w:t>RP-193251</w:t>
      </w:r>
      <w:r>
        <w:rPr>
          <w:lang w:val="en-US"/>
        </w:rPr>
        <w:t xml:space="preserve"> </w:t>
      </w:r>
      <w:r w:rsidRPr="00CD108E">
        <w:rPr>
          <w:lang w:val="en-US"/>
        </w:rPr>
        <w:t>New WID on Enhancements to Integrated Access and</w:t>
      </w:r>
      <w:r>
        <w:rPr>
          <w:lang w:val="en-US"/>
        </w:rPr>
        <w:t xml:space="preserve"> </w:t>
      </w:r>
      <w:r w:rsidRPr="00CD108E">
        <w:rPr>
          <w:lang w:val="en-US"/>
        </w:rPr>
        <w:t>Backhaul</w:t>
      </w:r>
      <w:r>
        <w:rPr>
          <w:lang w:val="en-US"/>
        </w:rPr>
        <w:t xml:space="preserve">, </w:t>
      </w:r>
      <w:r w:rsidRPr="00CD108E">
        <w:rPr>
          <w:lang w:val="en-US"/>
        </w:rPr>
        <w:t>Qualcomm</w:t>
      </w:r>
    </w:p>
    <w:p w:rsidR="00CD108E" w:rsidRDefault="00CD108E">
      <w:pPr>
        <w:rPr>
          <w:lang w:val="en-US"/>
        </w:rPr>
      </w:pPr>
      <w:r>
        <w:rPr>
          <w:lang w:val="en-US"/>
        </w:rPr>
        <w:t xml:space="preserve">[2] </w:t>
      </w:r>
      <w:r w:rsidRPr="00CD108E">
        <w:rPr>
          <w:lang w:val="en-US"/>
        </w:rPr>
        <w:t>RP-201293</w:t>
      </w:r>
      <w:r>
        <w:rPr>
          <w:lang w:val="en-US"/>
        </w:rPr>
        <w:t xml:space="preserve"> </w:t>
      </w:r>
      <w:r w:rsidR="00DA47C0" w:rsidRPr="00DA47C0">
        <w:rPr>
          <w:lang w:val="en-US"/>
        </w:rPr>
        <w:t>Revised WID: Enhancements to Integrated Access and Backhaul (IAB) for NR</w:t>
      </w:r>
      <w:r>
        <w:rPr>
          <w:lang w:val="en-US"/>
        </w:rPr>
        <w:t xml:space="preserve">, </w:t>
      </w:r>
      <w:r w:rsidRPr="00CD108E">
        <w:rPr>
          <w:lang w:val="en-US"/>
        </w:rPr>
        <w:t>Qualcomm</w:t>
      </w:r>
    </w:p>
    <w:p w:rsidR="00CD108E" w:rsidRPr="00E17E17" w:rsidRDefault="00CD108E" w:rsidP="00DA47C0">
      <w:pPr>
        <w:rPr>
          <w:lang w:val="en-US"/>
        </w:rPr>
      </w:pPr>
      <w:r>
        <w:rPr>
          <w:lang w:val="en-US"/>
        </w:rPr>
        <w:t xml:space="preserve">[3] </w:t>
      </w:r>
      <w:r w:rsidRPr="00CD108E">
        <w:rPr>
          <w:lang w:val="en-US"/>
        </w:rPr>
        <w:t>RP-210758</w:t>
      </w:r>
      <w:r>
        <w:rPr>
          <w:lang w:val="en-US"/>
        </w:rPr>
        <w:t xml:space="preserve"> </w:t>
      </w:r>
      <w:r w:rsidR="00DA47C0" w:rsidRPr="00DA47C0">
        <w:rPr>
          <w:lang w:val="en-US"/>
        </w:rPr>
        <w:t>Revised WID on Enhancements to Int</w:t>
      </w:r>
      <w:r w:rsidR="00DA47C0">
        <w:rPr>
          <w:lang w:val="en-US"/>
        </w:rPr>
        <w:t xml:space="preserve">egrated Access and Backhaul for </w:t>
      </w:r>
      <w:r w:rsidR="00DA47C0" w:rsidRPr="00DA47C0">
        <w:rPr>
          <w:lang w:val="en-US"/>
        </w:rPr>
        <w:t>NR</w:t>
      </w:r>
      <w:r>
        <w:rPr>
          <w:lang w:val="en-US"/>
        </w:rPr>
        <w:t xml:space="preserve">, </w:t>
      </w:r>
      <w:r w:rsidRPr="00CD108E">
        <w:rPr>
          <w:lang w:val="en-US"/>
        </w:rPr>
        <w:t>Qualcomm</w:t>
      </w:r>
    </w:p>
    <w:sectPr w:rsidR="00CD108E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0FB" w:rsidRDefault="005560FB">
      <w:pPr>
        <w:spacing w:after="0"/>
      </w:pPr>
      <w:r>
        <w:separator/>
      </w:r>
    </w:p>
  </w:endnote>
  <w:endnote w:type="continuationSeparator" w:id="0">
    <w:p w:rsidR="005560FB" w:rsidRDefault="005560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02C" w:rsidRDefault="00B4102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B4102C" w:rsidRDefault="00B410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02C" w:rsidRDefault="00B4102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0B89">
      <w:rPr>
        <w:rStyle w:val="a5"/>
      </w:rPr>
      <w:t>1</w:t>
    </w:r>
    <w:r>
      <w:rPr>
        <w:rStyle w:val="a5"/>
      </w:rPr>
      <w:fldChar w:fldCharType="end"/>
    </w:r>
  </w:p>
  <w:p w:rsidR="00B4102C" w:rsidRDefault="00B4102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0FB" w:rsidRDefault="005560FB">
      <w:pPr>
        <w:spacing w:after="0"/>
      </w:pPr>
      <w:r>
        <w:separator/>
      </w:r>
    </w:p>
  </w:footnote>
  <w:footnote w:type="continuationSeparator" w:id="0">
    <w:p w:rsidR="005560FB" w:rsidRDefault="005560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6A5DA4"/>
    <w:multiLevelType w:val="multilevel"/>
    <w:tmpl w:val="6498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62B1A8B"/>
    <w:multiLevelType w:val="hybridMultilevel"/>
    <w:tmpl w:val="018E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890ACA"/>
    <w:multiLevelType w:val="multilevel"/>
    <w:tmpl w:val="0B901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11489"/>
    <w:multiLevelType w:val="multilevel"/>
    <w:tmpl w:val="4D811489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 w:val="0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2B3978"/>
    <w:multiLevelType w:val="hybridMultilevel"/>
    <w:tmpl w:val="E8F6D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0"/>
  </w:num>
  <w:num w:numId="7">
    <w:abstractNumId w:val="5"/>
  </w:num>
  <w:num w:numId="8">
    <w:abstractNumId w:val="16"/>
  </w:num>
  <w:num w:numId="9">
    <w:abstractNumId w:val="17"/>
  </w:num>
  <w:num w:numId="10">
    <w:abstractNumId w:val="12"/>
  </w:num>
  <w:num w:numId="11">
    <w:abstractNumId w:val="14"/>
  </w:num>
  <w:num w:numId="12">
    <w:abstractNumId w:val="4"/>
  </w:num>
  <w:num w:numId="13">
    <w:abstractNumId w:val="13"/>
  </w:num>
  <w:num w:numId="14">
    <w:abstractNumId w:val="7"/>
  </w:num>
  <w:num w:numId="1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"/>
  </w:num>
  <w:num w:numId="18">
    <w:abstractNumId w:val="1"/>
  </w:num>
  <w:num w:numId="19">
    <w:abstractNumId w:val="9"/>
  </w:num>
  <w:num w:numId="20">
    <w:abstractNumId w:val="0"/>
  </w:num>
  <w:num w:numId="21">
    <w:abstractNumId w:val="11"/>
  </w:num>
  <w:num w:numId="2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25036"/>
    <w:rsid w:val="0004558E"/>
    <w:rsid w:val="00055B5D"/>
    <w:rsid w:val="00063E08"/>
    <w:rsid w:val="00067A48"/>
    <w:rsid w:val="00067B89"/>
    <w:rsid w:val="00076C0A"/>
    <w:rsid w:val="00087858"/>
    <w:rsid w:val="000903D2"/>
    <w:rsid w:val="00096503"/>
    <w:rsid w:val="00097E39"/>
    <w:rsid w:val="000A1878"/>
    <w:rsid w:val="000A2ED7"/>
    <w:rsid w:val="000A4BCB"/>
    <w:rsid w:val="000A7A19"/>
    <w:rsid w:val="000B15EC"/>
    <w:rsid w:val="000C2147"/>
    <w:rsid w:val="000D2930"/>
    <w:rsid w:val="000D6B9B"/>
    <w:rsid w:val="000E0A8A"/>
    <w:rsid w:val="000E2C03"/>
    <w:rsid w:val="000F04C6"/>
    <w:rsid w:val="000F6371"/>
    <w:rsid w:val="0010016B"/>
    <w:rsid w:val="00100360"/>
    <w:rsid w:val="00110BAD"/>
    <w:rsid w:val="0011207E"/>
    <w:rsid w:val="001230FF"/>
    <w:rsid w:val="001241FC"/>
    <w:rsid w:val="00124231"/>
    <w:rsid w:val="00132B63"/>
    <w:rsid w:val="001365E9"/>
    <w:rsid w:val="001406A8"/>
    <w:rsid w:val="0014128A"/>
    <w:rsid w:val="00141870"/>
    <w:rsid w:val="001435CB"/>
    <w:rsid w:val="00151949"/>
    <w:rsid w:val="00161981"/>
    <w:rsid w:val="0017747E"/>
    <w:rsid w:val="0018314E"/>
    <w:rsid w:val="00184719"/>
    <w:rsid w:val="00197964"/>
    <w:rsid w:val="001A1E7C"/>
    <w:rsid w:val="001C4240"/>
    <w:rsid w:val="001D3006"/>
    <w:rsid w:val="001E7174"/>
    <w:rsid w:val="0020033A"/>
    <w:rsid w:val="00216AAB"/>
    <w:rsid w:val="00217770"/>
    <w:rsid w:val="002221AC"/>
    <w:rsid w:val="00222A85"/>
    <w:rsid w:val="00222AF7"/>
    <w:rsid w:val="002328DD"/>
    <w:rsid w:val="00243552"/>
    <w:rsid w:val="00245810"/>
    <w:rsid w:val="00254F38"/>
    <w:rsid w:val="00267BAF"/>
    <w:rsid w:val="00267D3F"/>
    <w:rsid w:val="00272F1F"/>
    <w:rsid w:val="0027365E"/>
    <w:rsid w:val="002736F0"/>
    <w:rsid w:val="00282D3C"/>
    <w:rsid w:val="00294B79"/>
    <w:rsid w:val="002A235C"/>
    <w:rsid w:val="002A2EF8"/>
    <w:rsid w:val="002A5E54"/>
    <w:rsid w:val="002B45C3"/>
    <w:rsid w:val="002E3A74"/>
    <w:rsid w:val="002E668C"/>
    <w:rsid w:val="002F00F2"/>
    <w:rsid w:val="002F579F"/>
    <w:rsid w:val="00300A1D"/>
    <w:rsid w:val="00311CF9"/>
    <w:rsid w:val="003158EC"/>
    <w:rsid w:val="00321181"/>
    <w:rsid w:val="00323702"/>
    <w:rsid w:val="00336939"/>
    <w:rsid w:val="003422A4"/>
    <w:rsid w:val="00352697"/>
    <w:rsid w:val="00356FB6"/>
    <w:rsid w:val="003622B2"/>
    <w:rsid w:val="003664ED"/>
    <w:rsid w:val="00377D59"/>
    <w:rsid w:val="0038462A"/>
    <w:rsid w:val="0038557C"/>
    <w:rsid w:val="003A5CBC"/>
    <w:rsid w:val="003A5E2B"/>
    <w:rsid w:val="003E7C96"/>
    <w:rsid w:val="003F762D"/>
    <w:rsid w:val="00401473"/>
    <w:rsid w:val="00415933"/>
    <w:rsid w:val="00430F24"/>
    <w:rsid w:val="00435D65"/>
    <w:rsid w:val="00435EBD"/>
    <w:rsid w:val="00451B80"/>
    <w:rsid w:val="00455FD0"/>
    <w:rsid w:val="00460B89"/>
    <w:rsid w:val="00466D02"/>
    <w:rsid w:val="00477263"/>
    <w:rsid w:val="0049501A"/>
    <w:rsid w:val="004A28FD"/>
    <w:rsid w:val="004A29B2"/>
    <w:rsid w:val="004A678E"/>
    <w:rsid w:val="004A7CF2"/>
    <w:rsid w:val="004B1ECE"/>
    <w:rsid w:val="004B4633"/>
    <w:rsid w:val="004C4868"/>
    <w:rsid w:val="004D3C97"/>
    <w:rsid w:val="004E3732"/>
    <w:rsid w:val="004E5D51"/>
    <w:rsid w:val="004F0167"/>
    <w:rsid w:val="004F344B"/>
    <w:rsid w:val="00502991"/>
    <w:rsid w:val="005235DB"/>
    <w:rsid w:val="00530EB0"/>
    <w:rsid w:val="005375AA"/>
    <w:rsid w:val="005409B9"/>
    <w:rsid w:val="00545EC2"/>
    <w:rsid w:val="0054734A"/>
    <w:rsid w:val="005546D8"/>
    <w:rsid w:val="005560FB"/>
    <w:rsid w:val="00557527"/>
    <w:rsid w:val="005763DF"/>
    <w:rsid w:val="00582652"/>
    <w:rsid w:val="005A2C70"/>
    <w:rsid w:val="005A456B"/>
    <w:rsid w:val="005B0D68"/>
    <w:rsid w:val="005B6053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679F"/>
    <w:rsid w:val="00641AA1"/>
    <w:rsid w:val="0066186B"/>
    <w:rsid w:val="00672FCE"/>
    <w:rsid w:val="00681F59"/>
    <w:rsid w:val="006A68E5"/>
    <w:rsid w:val="006C4BDB"/>
    <w:rsid w:val="006D43CD"/>
    <w:rsid w:val="006D7325"/>
    <w:rsid w:val="006F1BAF"/>
    <w:rsid w:val="006F27CD"/>
    <w:rsid w:val="00701598"/>
    <w:rsid w:val="00702FA5"/>
    <w:rsid w:val="0070407F"/>
    <w:rsid w:val="00712608"/>
    <w:rsid w:val="00714064"/>
    <w:rsid w:val="007200C7"/>
    <w:rsid w:val="00723883"/>
    <w:rsid w:val="00732D90"/>
    <w:rsid w:val="007334B6"/>
    <w:rsid w:val="00734B34"/>
    <w:rsid w:val="00736D84"/>
    <w:rsid w:val="00745CBD"/>
    <w:rsid w:val="00763EF7"/>
    <w:rsid w:val="00766048"/>
    <w:rsid w:val="0077159B"/>
    <w:rsid w:val="00786C50"/>
    <w:rsid w:val="007902A8"/>
    <w:rsid w:val="007A336E"/>
    <w:rsid w:val="007A37DA"/>
    <w:rsid w:val="007A52D1"/>
    <w:rsid w:val="007B3DC0"/>
    <w:rsid w:val="007B57F3"/>
    <w:rsid w:val="007B7B6A"/>
    <w:rsid w:val="007C0D2E"/>
    <w:rsid w:val="007C5B24"/>
    <w:rsid w:val="007D0DF7"/>
    <w:rsid w:val="007D3409"/>
    <w:rsid w:val="007E2057"/>
    <w:rsid w:val="007E2E8A"/>
    <w:rsid w:val="007E5F97"/>
    <w:rsid w:val="007E67EC"/>
    <w:rsid w:val="007F045C"/>
    <w:rsid w:val="007F2E6A"/>
    <w:rsid w:val="007F7E14"/>
    <w:rsid w:val="00804945"/>
    <w:rsid w:val="00821B76"/>
    <w:rsid w:val="00836919"/>
    <w:rsid w:val="00836C28"/>
    <w:rsid w:val="008408E7"/>
    <w:rsid w:val="008446CE"/>
    <w:rsid w:val="00852630"/>
    <w:rsid w:val="008708B9"/>
    <w:rsid w:val="0087326D"/>
    <w:rsid w:val="00873C1C"/>
    <w:rsid w:val="00873F55"/>
    <w:rsid w:val="008766C3"/>
    <w:rsid w:val="00885469"/>
    <w:rsid w:val="008921D4"/>
    <w:rsid w:val="00892EAE"/>
    <w:rsid w:val="00893C66"/>
    <w:rsid w:val="008A1C4E"/>
    <w:rsid w:val="008A2B76"/>
    <w:rsid w:val="008A4FA1"/>
    <w:rsid w:val="008B3970"/>
    <w:rsid w:val="008B4A2C"/>
    <w:rsid w:val="008B4F73"/>
    <w:rsid w:val="008C31D2"/>
    <w:rsid w:val="008C398B"/>
    <w:rsid w:val="008D2D3D"/>
    <w:rsid w:val="008D55C5"/>
    <w:rsid w:val="008E2591"/>
    <w:rsid w:val="008E79C6"/>
    <w:rsid w:val="008F67CF"/>
    <w:rsid w:val="009118FA"/>
    <w:rsid w:val="00914A03"/>
    <w:rsid w:val="00915DEA"/>
    <w:rsid w:val="0092386A"/>
    <w:rsid w:val="00923CC3"/>
    <w:rsid w:val="00931830"/>
    <w:rsid w:val="009333B5"/>
    <w:rsid w:val="009450D8"/>
    <w:rsid w:val="00953B78"/>
    <w:rsid w:val="00957098"/>
    <w:rsid w:val="009708D0"/>
    <w:rsid w:val="00972D26"/>
    <w:rsid w:val="00973C4C"/>
    <w:rsid w:val="009814D6"/>
    <w:rsid w:val="0099102E"/>
    <w:rsid w:val="0099415D"/>
    <w:rsid w:val="009968CF"/>
    <w:rsid w:val="009A5118"/>
    <w:rsid w:val="009B7C4C"/>
    <w:rsid w:val="009C3448"/>
    <w:rsid w:val="009C4E39"/>
    <w:rsid w:val="009C5BBA"/>
    <w:rsid w:val="009C6CB9"/>
    <w:rsid w:val="009C6FD7"/>
    <w:rsid w:val="009C7D5E"/>
    <w:rsid w:val="009D03C6"/>
    <w:rsid w:val="009D1A47"/>
    <w:rsid w:val="009D2942"/>
    <w:rsid w:val="009D4189"/>
    <w:rsid w:val="009D75DF"/>
    <w:rsid w:val="009E6763"/>
    <w:rsid w:val="009E6DC8"/>
    <w:rsid w:val="009F7F10"/>
    <w:rsid w:val="00A0093B"/>
    <w:rsid w:val="00A05D9D"/>
    <w:rsid w:val="00A1597D"/>
    <w:rsid w:val="00A22790"/>
    <w:rsid w:val="00A26AB0"/>
    <w:rsid w:val="00A34913"/>
    <w:rsid w:val="00A35F07"/>
    <w:rsid w:val="00A42E3A"/>
    <w:rsid w:val="00A56BF6"/>
    <w:rsid w:val="00A71769"/>
    <w:rsid w:val="00A7739E"/>
    <w:rsid w:val="00A848D0"/>
    <w:rsid w:val="00A87084"/>
    <w:rsid w:val="00AC2C97"/>
    <w:rsid w:val="00AC2CD4"/>
    <w:rsid w:val="00AC7A7B"/>
    <w:rsid w:val="00AD65F4"/>
    <w:rsid w:val="00AD69AA"/>
    <w:rsid w:val="00AD73DB"/>
    <w:rsid w:val="00AE384C"/>
    <w:rsid w:val="00AE6BE0"/>
    <w:rsid w:val="00AF02CB"/>
    <w:rsid w:val="00AF5966"/>
    <w:rsid w:val="00B02A13"/>
    <w:rsid w:val="00B10C6E"/>
    <w:rsid w:val="00B1402B"/>
    <w:rsid w:val="00B22016"/>
    <w:rsid w:val="00B23292"/>
    <w:rsid w:val="00B26D02"/>
    <w:rsid w:val="00B343A3"/>
    <w:rsid w:val="00B4102C"/>
    <w:rsid w:val="00B41E6D"/>
    <w:rsid w:val="00B450D5"/>
    <w:rsid w:val="00B51F58"/>
    <w:rsid w:val="00B55463"/>
    <w:rsid w:val="00B60998"/>
    <w:rsid w:val="00B71C35"/>
    <w:rsid w:val="00B72BEC"/>
    <w:rsid w:val="00B73A82"/>
    <w:rsid w:val="00B76F4D"/>
    <w:rsid w:val="00B77412"/>
    <w:rsid w:val="00B77752"/>
    <w:rsid w:val="00B83BC0"/>
    <w:rsid w:val="00B87A6F"/>
    <w:rsid w:val="00BA4C0A"/>
    <w:rsid w:val="00BB2A32"/>
    <w:rsid w:val="00BB6484"/>
    <w:rsid w:val="00BC3920"/>
    <w:rsid w:val="00BC47AB"/>
    <w:rsid w:val="00BD2AB1"/>
    <w:rsid w:val="00BE09C1"/>
    <w:rsid w:val="00BE1FD4"/>
    <w:rsid w:val="00BE677A"/>
    <w:rsid w:val="00BE6A2E"/>
    <w:rsid w:val="00BF00A7"/>
    <w:rsid w:val="00BF33D9"/>
    <w:rsid w:val="00C075BD"/>
    <w:rsid w:val="00C11B10"/>
    <w:rsid w:val="00C15E40"/>
    <w:rsid w:val="00C338CA"/>
    <w:rsid w:val="00C50A0A"/>
    <w:rsid w:val="00C572D7"/>
    <w:rsid w:val="00C60016"/>
    <w:rsid w:val="00C638D8"/>
    <w:rsid w:val="00C63D6B"/>
    <w:rsid w:val="00C83525"/>
    <w:rsid w:val="00C878EB"/>
    <w:rsid w:val="00CA1729"/>
    <w:rsid w:val="00CA1984"/>
    <w:rsid w:val="00CA1DAE"/>
    <w:rsid w:val="00CA7429"/>
    <w:rsid w:val="00CB6216"/>
    <w:rsid w:val="00CC4578"/>
    <w:rsid w:val="00CD0284"/>
    <w:rsid w:val="00CD108E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3442D"/>
    <w:rsid w:val="00D34F1B"/>
    <w:rsid w:val="00D41D2D"/>
    <w:rsid w:val="00D463A3"/>
    <w:rsid w:val="00D51833"/>
    <w:rsid w:val="00D73373"/>
    <w:rsid w:val="00D828E1"/>
    <w:rsid w:val="00D94E39"/>
    <w:rsid w:val="00DA47C0"/>
    <w:rsid w:val="00DB10D2"/>
    <w:rsid w:val="00DB1DD4"/>
    <w:rsid w:val="00DB61B3"/>
    <w:rsid w:val="00DD0915"/>
    <w:rsid w:val="00DD1DFF"/>
    <w:rsid w:val="00DE3896"/>
    <w:rsid w:val="00DF0231"/>
    <w:rsid w:val="00E04C43"/>
    <w:rsid w:val="00E13E91"/>
    <w:rsid w:val="00E16D37"/>
    <w:rsid w:val="00E17E17"/>
    <w:rsid w:val="00E17F78"/>
    <w:rsid w:val="00E21B03"/>
    <w:rsid w:val="00E222F0"/>
    <w:rsid w:val="00E22D0F"/>
    <w:rsid w:val="00E31284"/>
    <w:rsid w:val="00E315CA"/>
    <w:rsid w:val="00E32390"/>
    <w:rsid w:val="00E406F2"/>
    <w:rsid w:val="00E415BA"/>
    <w:rsid w:val="00E470EC"/>
    <w:rsid w:val="00E5666B"/>
    <w:rsid w:val="00E577DD"/>
    <w:rsid w:val="00E72064"/>
    <w:rsid w:val="00E74155"/>
    <w:rsid w:val="00E7486B"/>
    <w:rsid w:val="00E76A71"/>
    <w:rsid w:val="00E85BF2"/>
    <w:rsid w:val="00E91110"/>
    <w:rsid w:val="00E9184C"/>
    <w:rsid w:val="00E94DD3"/>
    <w:rsid w:val="00EA49BA"/>
    <w:rsid w:val="00EA4E79"/>
    <w:rsid w:val="00EA5149"/>
    <w:rsid w:val="00EB02DF"/>
    <w:rsid w:val="00EE1CF7"/>
    <w:rsid w:val="00EE6F45"/>
    <w:rsid w:val="00EF2DE4"/>
    <w:rsid w:val="00EF66B2"/>
    <w:rsid w:val="00F0497C"/>
    <w:rsid w:val="00F076D1"/>
    <w:rsid w:val="00F0770B"/>
    <w:rsid w:val="00F10653"/>
    <w:rsid w:val="00F14670"/>
    <w:rsid w:val="00F1617A"/>
    <w:rsid w:val="00F2033F"/>
    <w:rsid w:val="00F20D63"/>
    <w:rsid w:val="00F22DF5"/>
    <w:rsid w:val="00F25AEB"/>
    <w:rsid w:val="00F303F4"/>
    <w:rsid w:val="00F34526"/>
    <w:rsid w:val="00F34C3B"/>
    <w:rsid w:val="00F405CE"/>
    <w:rsid w:val="00F413E7"/>
    <w:rsid w:val="00F52FE8"/>
    <w:rsid w:val="00F5790A"/>
    <w:rsid w:val="00F609CD"/>
    <w:rsid w:val="00F76B81"/>
    <w:rsid w:val="00FA4943"/>
    <w:rsid w:val="00FB6BD9"/>
    <w:rsid w:val="00FC0F9D"/>
    <w:rsid w:val="00FC1D39"/>
    <w:rsid w:val="00FC3492"/>
    <w:rsid w:val="00FD518E"/>
    <w:rsid w:val="00FE1A3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R4_bullets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Char3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semiHidden/>
    <w:unhideWhenUsed/>
    <w:rsid w:val="000F04C6"/>
    <w:rPr>
      <w:sz w:val="16"/>
      <w:szCs w:val="16"/>
    </w:rPr>
  </w:style>
  <w:style w:type="paragraph" w:customStyle="1" w:styleId="B2">
    <w:name w:val="B2"/>
    <w:basedOn w:val="20"/>
    <w:link w:val="B2Char"/>
    <w:qFormat/>
    <w:rsid w:val="00E74155"/>
    <w:pPr>
      <w:ind w:left="851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qFormat/>
    <w:rsid w:val="00E7415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E7415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DE82E-EFF5-4F7B-933E-2D57DAAB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9145</TotalTime>
  <Pages>4</Pages>
  <Words>1854</Words>
  <Characters>10569</Characters>
  <Application>Microsoft Office Word</Application>
  <DocSecurity>0</DocSecurity>
  <Lines>88</Lines>
  <Paragraphs>24</Paragraphs>
  <ScaleCrop>false</ScaleCrop>
  <Company>HUAWEI</Company>
  <LinksUpToDate>false</LinksUpToDate>
  <CharactersWithSpaces>12399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146</cp:revision>
  <dcterms:created xsi:type="dcterms:W3CDTF">2019-09-18T02:52:00Z</dcterms:created>
  <dcterms:modified xsi:type="dcterms:W3CDTF">2021-05-11T13:07:00Z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(3)6FDZGR67cCqUCFOxYoXdxZWt7sZvF5D+sIhCwjbkLT9T9RPDo/sh8vUxl1C2rWsbzr6XXBRN
S+mViu1y3awCY6waejRIuuwUb9t5dKKUWYrsiM1N/4KyBXYfKWpxc3/+W4UOetIrXcDKtHai
pAZ3d4Fv6cddx299ISr6/2NmFU1EQBGkPgnBqV9zkKPppf2WrmFzV4OqvdRj309UNEYzWqwY
L0vCDAs2fPiqSgjaH2</vt:lpwstr>
  </property>
  <property fmtid="{D5CDD505-2E9C-101B-9397-08002B2CF9AE}" pid="3" name="_2015_ms_pID_7253431">
    <vt:lpwstr>b3cIB7j3o/JOv+L4ltJwadaqA4KJANA62NDGBUqj1FpGF3L/OlHD16
5lDsu+MQjPorPmJn0UFNKy7NkUUXF9wkfEWifEZQEqcn3WDkuNQpo7nUFA3oBM0O78ETv0qQ
V3cojQGMIrMWlzfPuizetYhS9L0rON0qAORXur0WVkRbg94n4kbwJw/VnTdyq3dlZ35VOS9M
cb6s7HbnnAQIi10WpDaPbD9lqWJc3bkUZbSx</vt:lpwstr>
  </property>
  <property fmtid="{D5CDD505-2E9C-101B-9397-08002B2CF9AE}" pid="4" name="_2015_ms_pID_7253432">
    <vt:lpwstr>pouiIymG7nX+0Q9lqMNFjsc=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