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AEBE15" w14:textId="0D9D55CC" w:rsidR="00F26BE6" w:rsidRDefault="00F26BE6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</w:t>
      </w:r>
      <w:r w:rsidRPr="007C23AE">
        <w:rPr>
          <w:rFonts w:cs="Arial"/>
          <w:b/>
          <w:sz w:val="24"/>
          <w:szCs w:val="24"/>
        </w:rPr>
        <w:t>RAN4#</w:t>
      </w:r>
      <w:r w:rsidR="007F4A42">
        <w:rPr>
          <w:rFonts w:cs="Arial"/>
          <w:b/>
          <w:sz w:val="24"/>
          <w:szCs w:val="24"/>
        </w:rPr>
        <w:t>99</w:t>
      </w:r>
      <w:r w:rsidR="00BF40C1">
        <w:rPr>
          <w:rFonts w:cs="Arial"/>
          <w:b/>
          <w:sz w:val="24"/>
          <w:szCs w:val="24"/>
        </w:rPr>
        <w:t>-</w:t>
      </w:r>
      <w:r w:rsidR="00593AEE">
        <w:rPr>
          <w:rFonts w:cs="Arial"/>
          <w:b/>
          <w:sz w:val="24"/>
          <w:szCs w:val="24"/>
        </w:rPr>
        <w:t>e</w:t>
      </w:r>
      <w:r>
        <w:rPr>
          <w:rFonts w:cs="Arial"/>
          <w:b/>
          <w:sz w:val="24"/>
          <w:szCs w:val="24"/>
        </w:rPr>
        <w:tab/>
      </w:r>
      <w:r w:rsidR="00BA4205" w:rsidRPr="00BA4205">
        <w:rPr>
          <w:rFonts w:cs="Arial"/>
          <w:b/>
          <w:sz w:val="24"/>
          <w:szCs w:val="24"/>
        </w:rPr>
        <w:t>R4-</w:t>
      </w:r>
      <w:r w:rsidR="00566B2E" w:rsidRPr="00566B2E">
        <w:rPr>
          <w:rFonts w:cs="Arial"/>
          <w:b/>
          <w:sz w:val="24"/>
          <w:szCs w:val="24"/>
        </w:rPr>
        <w:t>2109261</w:t>
      </w:r>
    </w:p>
    <w:p w14:paraId="06BF1402" w14:textId="394188B4" w:rsidR="00F26BE6" w:rsidRDefault="00BF40C1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1</w:t>
      </w:r>
      <w:r w:rsidR="007F4A42">
        <w:rPr>
          <w:rFonts w:cs="Arial"/>
          <w:b/>
          <w:sz w:val="24"/>
          <w:szCs w:val="24"/>
        </w:rPr>
        <w:t>9</w:t>
      </w:r>
      <w:r w:rsidR="00F26BE6" w:rsidRPr="006D0B81">
        <w:rPr>
          <w:rFonts w:cs="Arial"/>
          <w:b/>
          <w:sz w:val="24"/>
          <w:szCs w:val="24"/>
          <w:vertAlign w:val="superscript"/>
        </w:rPr>
        <w:t>th</w:t>
      </w:r>
      <w:r w:rsidR="00F26BE6" w:rsidRPr="00690ADD">
        <w:rPr>
          <w:rFonts w:cs="Arial"/>
          <w:b/>
          <w:sz w:val="24"/>
          <w:szCs w:val="24"/>
        </w:rPr>
        <w:t xml:space="preserve">– </w:t>
      </w:r>
      <w:r>
        <w:rPr>
          <w:rFonts w:cs="Arial"/>
          <w:b/>
          <w:sz w:val="24"/>
          <w:szCs w:val="24"/>
        </w:rPr>
        <w:t>2</w:t>
      </w:r>
      <w:r w:rsidR="007F4A42">
        <w:rPr>
          <w:rFonts w:cs="Arial"/>
          <w:b/>
          <w:sz w:val="24"/>
          <w:szCs w:val="24"/>
        </w:rPr>
        <w:t>7</w:t>
      </w:r>
      <w:r w:rsidR="00F26BE6" w:rsidRPr="0085598E">
        <w:rPr>
          <w:rFonts w:cs="Arial"/>
          <w:b/>
          <w:sz w:val="24"/>
          <w:szCs w:val="24"/>
          <w:vertAlign w:val="superscript"/>
        </w:rPr>
        <w:t>th</w:t>
      </w:r>
      <w:r w:rsidR="00F26BE6">
        <w:rPr>
          <w:rFonts w:cs="Arial"/>
          <w:b/>
          <w:sz w:val="24"/>
          <w:szCs w:val="24"/>
        </w:rPr>
        <w:t xml:space="preserve"> </w:t>
      </w:r>
      <w:r w:rsidR="007F4A42">
        <w:rPr>
          <w:rFonts w:cs="Arial"/>
          <w:b/>
          <w:sz w:val="24"/>
          <w:szCs w:val="24"/>
        </w:rPr>
        <w:t>May</w:t>
      </w:r>
      <w:r>
        <w:rPr>
          <w:rFonts w:cs="Arial"/>
          <w:b/>
          <w:sz w:val="24"/>
          <w:szCs w:val="24"/>
        </w:rPr>
        <w:t xml:space="preserve"> </w:t>
      </w:r>
      <w:r w:rsidR="00F26BE6" w:rsidRPr="00690ADD">
        <w:rPr>
          <w:rFonts w:cs="Arial"/>
          <w:b/>
          <w:sz w:val="24"/>
          <w:szCs w:val="24"/>
        </w:rPr>
        <w:t>20</w:t>
      </w:r>
      <w:bookmarkEnd w:id="0"/>
      <w:r w:rsidR="00F26BE6">
        <w:rPr>
          <w:rFonts w:cs="Arial"/>
          <w:b/>
          <w:sz w:val="24"/>
          <w:szCs w:val="24"/>
        </w:rPr>
        <w:t>2</w:t>
      </w:r>
      <w:r w:rsidR="00803C45">
        <w:rPr>
          <w:rFonts w:cs="Arial"/>
          <w:b/>
          <w:sz w:val="24"/>
          <w:szCs w:val="24"/>
        </w:rPr>
        <w:t>1</w:t>
      </w:r>
    </w:p>
    <w:p w14:paraId="31AA9375" w14:textId="77777777" w:rsidR="00F26BE6" w:rsidRPr="0087636F" w:rsidRDefault="00F26BE6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</w:p>
    <w:p w14:paraId="2078F563" w14:textId="3903F4B3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  <w:r w:rsidR="00715E6E">
        <w:rPr>
          <w:sz w:val="22"/>
        </w:rPr>
        <w:t>, Nokia Shanghai Bell</w:t>
      </w:r>
    </w:p>
    <w:p w14:paraId="5B6A96A7" w14:textId="3E4C3323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8B74A6">
        <w:t xml:space="preserve">PC2 1PA Intra-band UL </w:t>
      </w:r>
      <w:r w:rsidR="006546CB">
        <w:t>NC CA</w:t>
      </w:r>
      <w:r w:rsidR="008B74A6">
        <w:t xml:space="preserve"> MPR</w:t>
      </w:r>
    </w:p>
    <w:p w14:paraId="23226DA5" w14:textId="066286FC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8B74A6" w:rsidRPr="008B74A6">
        <w:rPr>
          <w:bCs/>
          <w:sz w:val="22"/>
        </w:rPr>
        <w:t>9.3.2.5</w:t>
      </w:r>
    </w:p>
    <w:p w14:paraId="7AD518C5" w14:textId="35409E16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8B74A6">
        <w:rPr>
          <w:sz w:val="22"/>
        </w:rPr>
        <w:t>Approva</w:t>
      </w:r>
      <w:r w:rsidR="00D21238">
        <w:rPr>
          <w:sz w:val="22"/>
        </w:rPr>
        <w:t>l</w:t>
      </w:r>
    </w:p>
    <w:p w14:paraId="5C2448D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6D98D123" w14:textId="733F1962" w:rsidR="006A6B9C" w:rsidRDefault="0057552A" w:rsidP="008B10F5">
      <w:r>
        <w:t>This contribution proposes PC2 1PA intra-band UL non-contiguous carrier aggregation MPR when LO leakage is exempted.</w:t>
      </w:r>
    </w:p>
    <w:p w14:paraId="709AFE89" w14:textId="47E661FE" w:rsidR="00EA0331" w:rsidRDefault="000B7337" w:rsidP="00BF40C1">
      <w:pPr>
        <w:pStyle w:val="Heading1"/>
      </w:pPr>
      <w:r>
        <w:t>3</w:t>
      </w:r>
      <w:r w:rsidR="006376BE">
        <w:tab/>
      </w:r>
      <w:r w:rsidR="0057552A">
        <w:t>MPR Proposal</w:t>
      </w:r>
    </w:p>
    <w:p w14:paraId="0CC55C11" w14:textId="5362D063" w:rsidR="0057552A" w:rsidRPr="0067439B" w:rsidRDefault="0057552A" w:rsidP="0057552A">
      <w:r>
        <w:t>Below, PC2 1PA intra-band UL non-contiguous carrier aggregation backoff results, without LO, are shown together with the proposed MR scheme. For further results and description of the simulation assumptions, see [1].</w:t>
      </w:r>
    </w:p>
    <w:p w14:paraId="75E821D2" w14:textId="54909B4C" w:rsidR="00474912" w:rsidRDefault="00474912" w:rsidP="002C5FC3">
      <w:r w:rsidRPr="00474912">
        <w:rPr>
          <w:noProof/>
        </w:rPr>
        <w:drawing>
          <wp:inline distT="0" distB="0" distL="0" distR="0" wp14:anchorId="31A4582D" wp14:editId="18E11928">
            <wp:extent cx="2880000" cy="2160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4912">
        <w:rPr>
          <w:noProof/>
        </w:rPr>
        <w:drawing>
          <wp:inline distT="0" distB="0" distL="0" distR="0" wp14:anchorId="25110E69" wp14:editId="09EC255D">
            <wp:extent cx="2880000" cy="2160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282B5" w14:textId="367E26A7" w:rsidR="0057552A" w:rsidRDefault="0057552A" w:rsidP="002C5FC3">
      <w:r w:rsidRPr="0057552A">
        <w:rPr>
          <w:b/>
          <w:bCs/>
        </w:rPr>
        <w:t>Figure 1</w:t>
      </w:r>
      <w:r>
        <w:t>. Backoff for 20+40 MHz CA with 20 MHz gap (on the left) and 40+40 MHz CA with 120 MHz gap as a function of the allocation bandwidth without the LO included.</w:t>
      </w:r>
    </w:p>
    <w:p w14:paraId="209D9A34" w14:textId="6275586D" w:rsidR="0057552A" w:rsidRDefault="0057552A" w:rsidP="002C5FC3">
      <w:r>
        <w:t xml:space="preserve">Shown MPR is defined as </w:t>
      </w:r>
    </w:p>
    <w:p w14:paraId="06764B79" w14:textId="5722FCF6" w:rsidR="00474912" w:rsidRDefault="00474912" w:rsidP="002C5FC3"/>
    <w:p w14:paraId="7F70C13B" w14:textId="7DF4F11D" w:rsidR="00474912" w:rsidRDefault="00474912" w:rsidP="0057552A">
      <w:pPr>
        <w:jc w:val="center"/>
      </w:pPr>
      <w:r>
        <w:t xml:space="preserve">14;                </w:t>
      </w:r>
      <w:r w:rsidR="0057552A">
        <w:tab/>
      </w:r>
      <w:r w:rsidR="0057552A">
        <w:tab/>
      </w:r>
      <w:r>
        <w:t xml:space="preserve">0 &lt;= </w:t>
      </w:r>
      <w:r w:rsidR="0057552A">
        <w:t>B</w:t>
      </w:r>
      <w:r>
        <w:t xml:space="preserve"> &lt;= 1.44</w:t>
      </w:r>
    </w:p>
    <w:p w14:paraId="23B1E92D" w14:textId="652DF53A" w:rsidR="00474912" w:rsidRDefault="00474912" w:rsidP="0057552A">
      <w:pPr>
        <w:jc w:val="center"/>
      </w:pPr>
      <w:r>
        <w:t xml:space="preserve">14.5 </w:t>
      </w:r>
      <w:r w:rsidR="0057552A">
        <w:t>–</w:t>
      </w:r>
      <w:r>
        <w:t xml:space="preserve"> 0.34 A;     1.44 &lt; </w:t>
      </w:r>
      <w:r w:rsidR="0057552A">
        <w:t>B</w:t>
      </w:r>
      <w:r>
        <w:t xml:space="preserve"> &lt;= 25</w:t>
      </w:r>
    </w:p>
    <w:p w14:paraId="744F5B55" w14:textId="513B3B5F" w:rsidR="00474912" w:rsidRDefault="00474912" w:rsidP="0057552A">
      <w:pPr>
        <w:jc w:val="center"/>
      </w:pPr>
      <w:r>
        <w:t xml:space="preserve">6.45 </w:t>
      </w:r>
      <w:r w:rsidR="0057552A">
        <w:t>–</w:t>
      </w:r>
      <w:r>
        <w:t xml:space="preserve"> 0.0182 A;   25 &lt; </w:t>
      </w:r>
      <w:r w:rsidR="0057552A">
        <w:t>B</w:t>
      </w:r>
      <w:r>
        <w:t xml:space="preserve"> &lt;= 60</w:t>
      </w:r>
    </w:p>
    <w:p w14:paraId="2C0BE5FE" w14:textId="2F158B25" w:rsidR="00474912" w:rsidRDefault="0057552A" w:rsidP="0057552A">
      <w:r>
        <w:t>for the 20+40 MHz scenario and as</w:t>
      </w:r>
    </w:p>
    <w:p w14:paraId="5DB89C4D" w14:textId="420884D4" w:rsidR="00474912" w:rsidRDefault="00474912" w:rsidP="0057552A">
      <w:pPr>
        <w:jc w:val="center"/>
      </w:pPr>
      <w:r>
        <w:t xml:space="preserve">14;                </w:t>
      </w:r>
      <w:r w:rsidR="0057552A">
        <w:tab/>
      </w:r>
      <w:r w:rsidR="0057552A">
        <w:tab/>
      </w:r>
      <w:r>
        <w:t xml:space="preserve">0 &lt;= </w:t>
      </w:r>
      <w:r w:rsidR="0057552A">
        <w:t>B</w:t>
      </w:r>
      <w:r>
        <w:t xml:space="preserve"> &lt;= 1.44</w:t>
      </w:r>
    </w:p>
    <w:p w14:paraId="0E511356" w14:textId="3F8FC40E" w:rsidR="00474912" w:rsidRDefault="00474912" w:rsidP="0057552A">
      <w:pPr>
        <w:jc w:val="center"/>
      </w:pPr>
      <w:r>
        <w:t xml:space="preserve">14.5 - 0.34 A;     1.44 &lt; </w:t>
      </w:r>
      <w:r w:rsidR="0057552A">
        <w:t>B</w:t>
      </w:r>
      <w:r>
        <w:t xml:space="preserve"> &lt;= 25</w:t>
      </w:r>
    </w:p>
    <w:p w14:paraId="481BBBFA" w14:textId="46208B33" w:rsidR="00474912" w:rsidRDefault="00474912" w:rsidP="0057552A">
      <w:pPr>
        <w:jc w:val="center"/>
      </w:pPr>
      <w:r>
        <w:t xml:space="preserve">6.45 - 0.0182 A;   25 &lt; </w:t>
      </w:r>
      <w:r w:rsidR="0057552A">
        <w:t>B</w:t>
      </w:r>
      <w:r>
        <w:t xml:space="preserve"> &lt;= 80</w:t>
      </w:r>
    </w:p>
    <w:p w14:paraId="6988FBA4" w14:textId="687F65A3" w:rsidR="0057552A" w:rsidRDefault="0057552A" w:rsidP="0057552A">
      <w:r>
        <w:t xml:space="preserve">for the 40+40 MHz scenario. This can be generalized as </w:t>
      </w:r>
    </w:p>
    <w:p w14:paraId="7A6B06F6" w14:textId="77777777" w:rsidR="0057552A" w:rsidRDefault="0057552A">
      <w:pPr>
        <w:overflowPunct/>
        <w:autoSpaceDE/>
        <w:autoSpaceDN/>
        <w:adjustRightInd/>
        <w:spacing w:after="0"/>
        <w:textAlignment w:val="auto"/>
      </w:pPr>
      <w:r>
        <w:br w:type="page"/>
      </w:r>
    </w:p>
    <w:p w14:paraId="5210C5C1" w14:textId="77777777" w:rsidR="0057552A" w:rsidRDefault="0057552A" w:rsidP="0057552A"/>
    <w:p w14:paraId="5576536A" w14:textId="77777777" w:rsidR="00C82461" w:rsidRPr="00C82461" w:rsidRDefault="00C82461" w:rsidP="00C82461">
      <w:pPr>
        <w:jc w:val="center"/>
      </w:pPr>
      <w:r w:rsidRPr="00C82461">
        <w:t xml:space="preserve">14;                 </w:t>
      </w:r>
      <w:r w:rsidRPr="00C82461">
        <w:tab/>
        <w:t xml:space="preserve">        0 &lt;= B &lt;= 1.44</w:t>
      </w:r>
    </w:p>
    <w:p w14:paraId="376AF508" w14:textId="77777777" w:rsidR="00C82461" w:rsidRPr="00C82461" w:rsidRDefault="00C82461" w:rsidP="00C82461">
      <w:pPr>
        <w:jc w:val="center"/>
      </w:pPr>
      <w:r w:rsidRPr="00C82461">
        <w:t>14.5 - 0.34 A;         1.44 &lt; B &lt;= 25</w:t>
      </w:r>
    </w:p>
    <w:p w14:paraId="1D47007C" w14:textId="77777777" w:rsidR="00C82461" w:rsidRPr="00C82461" w:rsidRDefault="00C82461" w:rsidP="00C82461">
      <w:pPr>
        <w:jc w:val="center"/>
      </w:pPr>
      <w:r w:rsidRPr="00C82461">
        <w:t>6.45 - 0.0182 A; 25 &lt; B &lt;= BW</w:t>
      </w:r>
      <w:r w:rsidRPr="00C82461">
        <w:rPr>
          <w:vertAlign w:val="subscript"/>
        </w:rPr>
        <w:t>agg</w:t>
      </w:r>
    </w:p>
    <w:p w14:paraId="57D8B53D" w14:textId="0E364912" w:rsidR="0057552A" w:rsidRDefault="0057552A" w:rsidP="0057552A">
      <w:r>
        <w:t>where BW</w:t>
      </w:r>
      <w:r w:rsidRPr="008B74A6">
        <w:rPr>
          <w:vertAlign w:val="subscript"/>
        </w:rPr>
        <w:t>agg</w:t>
      </w:r>
      <w:r>
        <w:t xml:space="preserve"> is the combined aggregation bandwidth in MHz.</w:t>
      </w:r>
    </w:p>
    <w:p w14:paraId="299099F1" w14:textId="121F6861" w:rsidR="0057552A" w:rsidRPr="0057552A" w:rsidRDefault="0057552A" w:rsidP="0057552A">
      <w:pPr>
        <w:rPr>
          <w:b/>
          <w:bCs/>
        </w:rPr>
      </w:pPr>
      <w:r w:rsidRPr="0057552A">
        <w:rPr>
          <w:b/>
          <w:bCs/>
        </w:rPr>
        <w:t xml:space="preserve">Proposal 1. Define PC2 1PA intra-band UL non-contiguous carrier aggregation MPR with the LO </w:t>
      </w:r>
      <w:r w:rsidR="008B74A6" w:rsidRPr="0057552A">
        <w:rPr>
          <w:b/>
          <w:bCs/>
        </w:rPr>
        <w:t>exemption</w:t>
      </w:r>
      <w:r w:rsidRPr="0057552A">
        <w:rPr>
          <w:b/>
          <w:bCs/>
        </w:rPr>
        <w:t xml:space="preserve"> as</w:t>
      </w:r>
    </w:p>
    <w:p w14:paraId="6C95969D" w14:textId="5272ACD4" w:rsidR="0057552A" w:rsidRPr="0057552A" w:rsidRDefault="0057552A" w:rsidP="0057552A">
      <w:pPr>
        <w:jc w:val="center"/>
        <w:rPr>
          <w:b/>
          <w:bCs/>
        </w:rPr>
      </w:pPr>
      <w:r w:rsidRPr="0057552A">
        <w:rPr>
          <w:b/>
          <w:bCs/>
        </w:rPr>
        <w:t xml:space="preserve">14;        </w:t>
      </w:r>
      <w:r w:rsidR="00C82461">
        <w:rPr>
          <w:b/>
          <w:bCs/>
        </w:rPr>
        <w:t xml:space="preserve"> </w:t>
      </w:r>
      <w:r w:rsidRPr="0057552A">
        <w:rPr>
          <w:b/>
          <w:bCs/>
        </w:rPr>
        <w:t xml:space="preserve">        </w:t>
      </w:r>
      <w:r w:rsidRPr="0057552A">
        <w:rPr>
          <w:b/>
          <w:bCs/>
        </w:rPr>
        <w:tab/>
      </w:r>
      <w:r w:rsidR="00C82461">
        <w:rPr>
          <w:b/>
          <w:bCs/>
        </w:rPr>
        <w:t xml:space="preserve">        </w:t>
      </w:r>
      <w:r w:rsidRPr="0057552A">
        <w:rPr>
          <w:b/>
          <w:bCs/>
        </w:rPr>
        <w:t>0 &lt;= B &lt;= 1.44</w:t>
      </w:r>
    </w:p>
    <w:p w14:paraId="41BFF175" w14:textId="58078BED" w:rsidR="0057552A" w:rsidRPr="0057552A" w:rsidRDefault="0057552A" w:rsidP="0057552A">
      <w:pPr>
        <w:jc w:val="center"/>
        <w:rPr>
          <w:b/>
          <w:bCs/>
        </w:rPr>
      </w:pPr>
      <w:r w:rsidRPr="0057552A">
        <w:rPr>
          <w:b/>
          <w:bCs/>
        </w:rPr>
        <w:t xml:space="preserve">14.5 - 0.34 A;   </w:t>
      </w:r>
      <w:r w:rsidR="00C82461">
        <w:rPr>
          <w:b/>
          <w:bCs/>
        </w:rPr>
        <w:t xml:space="preserve">    </w:t>
      </w:r>
      <w:r w:rsidRPr="0057552A">
        <w:rPr>
          <w:b/>
          <w:bCs/>
        </w:rPr>
        <w:t xml:space="preserve">  1.44 &lt; B &lt;= 25</w:t>
      </w:r>
    </w:p>
    <w:p w14:paraId="7B9EE90C" w14:textId="77777777" w:rsidR="0057552A" w:rsidRPr="0057552A" w:rsidRDefault="0057552A" w:rsidP="0057552A">
      <w:pPr>
        <w:jc w:val="center"/>
        <w:rPr>
          <w:b/>
          <w:bCs/>
        </w:rPr>
      </w:pPr>
      <w:r w:rsidRPr="0057552A">
        <w:rPr>
          <w:b/>
          <w:bCs/>
        </w:rPr>
        <w:t>6.45 - 0.0182 A; 25 &lt; B &lt;= BW</w:t>
      </w:r>
      <w:r w:rsidRPr="0057552A">
        <w:rPr>
          <w:b/>
          <w:bCs/>
          <w:vertAlign w:val="subscript"/>
        </w:rPr>
        <w:t>agg</w:t>
      </w:r>
    </w:p>
    <w:p w14:paraId="56E2A31A" w14:textId="6C464C6E" w:rsidR="0057552A" w:rsidRDefault="0057552A" w:rsidP="0057552A">
      <w:r>
        <w:t>For the allocations exceeding proposed MPR in cases of asymmetric aggregated channel bandwidths we propose to handle these scenarios with increased IQ image attenuation.</w:t>
      </w:r>
    </w:p>
    <w:p w14:paraId="5FEF055B" w14:textId="56BDBB7B" w:rsidR="0057552A" w:rsidRPr="0057552A" w:rsidRDefault="0057552A" w:rsidP="0057552A">
      <w:pPr>
        <w:rPr>
          <w:b/>
          <w:bCs/>
        </w:rPr>
      </w:pPr>
      <w:r w:rsidRPr="0057552A">
        <w:rPr>
          <w:b/>
          <w:bCs/>
        </w:rPr>
        <w:t>Proposal 2. Handle asymmetric allocations whose IQ image falls outside the channels with increased IQ image attenuation.</w:t>
      </w:r>
    </w:p>
    <w:p w14:paraId="7B845ED2" w14:textId="7A704E25" w:rsidR="008D3AD6" w:rsidRDefault="00435A51" w:rsidP="00BF40C1">
      <w:pPr>
        <w:pStyle w:val="Heading1"/>
      </w:pPr>
      <w:r>
        <w:t>4</w:t>
      </w:r>
      <w:r w:rsidR="008D3AD6">
        <w:tab/>
      </w:r>
      <w:r w:rsidR="008D3AD6" w:rsidRPr="00BF40C1">
        <w:t>Conclusion</w:t>
      </w:r>
    </w:p>
    <w:p w14:paraId="179B88A4" w14:textId="654D3FEA" w:rsidR="00947B31" w:rsidRDefault="0057552A" w:rsidP="00947B31">
      <w:r>
        <w:t>We proposed PC2 1PA intra-band UL non-contiguous carrier aggregation MPR when LO leakage is exempted.</w:t>
      </w:r>
    </w:p>
    <w:p w14:paraId="2E0FC640" w14:textId="5C6B5F12" w:rsidR="0057552A" w:rsidRPr="0057552A" w:rsidRDefault="0057552A" w:rsidP="0057552A">
      <w:pPr>
        <w:rPr>
          <w:b/>
          <w:bCs/>
        </w:rPr>
      </w:pPr>
      <w:r w:rsidRPr="0057552A">
        <w:rPr>
          <w:b/>
          <w:bCs/>
        </w:rPr>
        <w:t xml:space="preserve">Proposal 1. Define PC2 1PA intra-band UL non-contiguous carrier aggregation MPR with the LO </w:t>
      </w:r>
      <w:r w:rsidR="008B74A6" w:rsidRPr="0057552A">
        <w:rPr>
          <w:b/>
          <w:bCs/>
        </w:rPr>
        <w:t>exemption</w:t>
      </w:r>
      <w:r w:rsidRPr="0057552A">
        <w:rPr>
          <w:b/>
          <w:bCs/>
        </w:rPr>
        <w:t xml:space="preserve"> as</w:t>
      </w:r>
    </w:p>
    <w:p w14:paraId="5F99E5BF" w14:textId="6645193C" w:rsidR="0057552A" w:rsidRPr="0057552A" w:rsidRDefault="0057552A" w:rsidP="00947B31">
      <w:pPr>
        <w:rPr>
          <w:b/>
          <w:bCs/>
        </w:rPr>
      </w:pPr>
      <w:r w:rsidRPr="0057552A">
        <w:rPr>
          <w:b/>
          <w:bCs/>
        </w:rPr>
        <w:t>Proposal 2. Handle asymmetric allocations whose IQ image falls outside the channels with increased IQ image attenuation.</w:t>
      </w:r>
    </w:p>
    <w:p w14:paraId="561E3900" w14:textId="4EFD09F9" w:rsidR="00165DA2" w:rsidRDefault="00435A51" w:rsidP="00BF40C1">
      <w:pPr>
        <w:pStyle w:val="Heading1"/>
      </w:pPr>
      <w:r>
        <w:t>5</w:t>
      </w:r>
      <w:r w:rsidR="00165DA2">
        <w:tab/>
      </w:r>
      <w:r w:rsidR="00165DA2" w:rsidRPr="00BF40C1">
        <w:t>Reference</w:t>
      </w:r>
      <w:r w:rsidRPr="00BF40C1">
        <w:t>s</w:t>
      </w:r>
    </w:p>
    <w:p w14:paraId="52507BB6" w14:textId="518CEFDB" w:rsidR="00D8365E" w:rsidRDefault="00E10098" w:rsidP="00BF40C1">
      <w:r w:rsidRPr="0057552A">
        <w:t xml:space="preserve">[1] </w:t>
      </w:r>
      <w:r w:rsidR="0057552A" w:rsidRPr="0057552A">
        <w:t>R4-</w:t>
      </w:r>
      <w:r w:rsidR="00566B2E" w:rsidRPr="00566B2E">
        <w:t>2109260</w:t>
      </w:r>
      <w:bookmarkStart w:id="1" w:name="_GoBack"/>
      <w:bookmarkEnd w:id="1"/>
      <w:r w:rsidR="0057552A" w:rsidRPr="0057552A">
        <w:t xml:space="preserve">, PC2 1PA Intra-band UL </w:t>
      </w:r>
      <w:r w:rsidR="006546CB">
        <w:t>NC CA</w:t>
      </w:r>
      <w:r w:rsidR="0057552A" w:rsidRPr="0057552A">
        <w:t xml:space="preserve"> MPR Simulations, Nokia, Nokia Shanghai Bell</w:t>
      </w:r>
    </w:p>
    <w:sectPr w:rsidR="00D8365E" w:rsidSect="0053247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footnotePr>
        <w:numRestart w:val="eachSect"/>
      </w:footnotePr>
      <w:pgSz w:w="11907" w:h="16840" w:code="9"/>
      <w:pgMar w:top="425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740D7F" w14:textId="77777777" w:rsidR="00B3483A" w:rsidRDefault="00B3483A" w:rsidP="002B3503">
      <w:pPr>
        <w:spacing w:after="0"/>
      </w:pPr>
      <w:r>
        <w:separator/>
      </w:r>
    </w:p>
  </w:endnote>
  <w:endnote w:type="continuationSeparator" w:id="0">
    <w:p w14:paraId="2BF95EA6" w14:textId="77777777" w:rsidR="00B3483A" w:rsidRDefault="00B3483A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5C13B" w14:textId="77777777" w:rsidR="00CB50D4" w:rsidRDefault="00CB50D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4E37D6" w14:textId="77777777" w:rsidR="00CB50D4" w:rsidRDefault="00CB50D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83CD24" w14:textId="77777777" w:rsidR="00CB50D4" w:rsidRDefault="00CB50D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328D9D1" w14:textId="77777777" w:rsidR="00B3483A" w:rsidRDefault="00B3483A" w:rsidP="002B3503">
      <w:pPr>
        <w:spacing w:after="0"/>
      </w:pPr>
      <w:r>
        <w:separator/>
      </w:r>
    </w:p>
  </w:footnote>
  <w:footnote w:type="continuationSeparator" w:id="0">
    <w:p w14:paraId="1D72CF57" w14:textId="77777777" w:rsidR="00B3483A" w:rsidRDefault="00B3483A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407AE" w14:textId="77777777" w:rsidR="00CB50D4" w:rsidRDefault="00CB50D4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45B140" w14:textId="77777777" w:rsidR="00CB50D4" w:rsidRDefault="00CB50D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9999EF" w14:textId="77777777" w:rsidR="00CB50D4" w:rsidRDefault="00CB50D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FF0F3D"/>
    <w:multiLevelType w:val="hybridMultilevel"/>
    <w:tmpl w:val="73F26BA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94CE8"/>
    <w:multiLevelType w:val="hybridMultilevel"/>
    <w:tmpl w:val="37B6927A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2405BA"/>
    <w:multiLevelType w:val="hybridMultilevel"/>
    <w:tmpl w:val="A39AE41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C696FF1"/>
    <w:multiLevelType w:val="hybridMultilevel"/>
    <w:tmpl w:val="78B2D278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3"/>
  </w:num>
  <w:num w:numId="4">
    <w:abstractNumId w:val="5"/>
  </w:num>
  <w:num w:numId="5">
    <w:abstractNumId w:val="4"/>
  </w:num>
  <w:num w:numId="6">
    <w:abstractNumId w:val="6"/>
  </w:num>
  <w:num w:numId="7">
    <w:abstractNumId w:val="0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50E"/>
    <w:rsid w:val="000008B4"/>
    <w:rsid w:val="00000953"/>
    <w:rsid w:val="00001871"/>
    <w:rsid w:val="00056531"/>
    <w:rsid w:val="00071E0D"/>
    <w:rsid w:val="00091F0B"/>
    <w:rsid w:val="000A42E4"/>
    <w:rsid w:val="000A6473"/>
    <w:rsid w:val="000B4E56"/>
    <w:rsid w:val="000B5E8E"/>
    <w:rsid w:val="000B7337"/>
    <w:rsid w:val="000B7507"/>
    <w:rsid w:val="000F2546"/>
    <w:rsid w:val="000F50EC"/>
    <w:rsid w:val="00101626"/>
    <w:rsid w:val="001049CA"/>
    <w:rsid w:val="00111B4F"/>
    <w:rsid w:val="00131B06"/>
    <w:rsid w:val="001354E3"/>
    <w:rsid w:val="001364A1"/>
    <w:rsid w:val="0015000E"/>
    <w:rsid w:val="00150207"/>
    <w:rsid w:val="00152947"/>
    <w:rsid w:val="00160C85"/>
    <w:rsid w:val="0016131F"/>
    <w:rsid w:val="00161A3D"/>
    <w:rsid w:val="00165DA2"/>
    <w:rsid w:val="001953B8"/>
    <w:rsid w:val="001A37B5"/>
    <w:rsid w:val="001B77A6"/>
    <w:rsid w:val="001C2855"/>
    <w:rsid w:val="001F083D"/>
    <w:rsid w:val="00207C42"/>
    <w:rsid w:val="002127E2"/>
    <w:rsid w:val="00214C87"/>
    <w:rsid w:val="00215035"/>
    <w:rsid w:val="00270309"/>
    <w:rsid w:val="00291DDD"/>
    <w:rsid w:val="002A54C5"/>
    <w:rsid w:val="002A7181"/>
    <w:rsid w:val="002B3503"/>
    <w:rsid w:val="002C5FC3"/>
    <w:rsid w:val="002F6A38"/>
    <w:rsid w:val="00312FD1"/>
    <w:rsid w:val="00331118"/>
    <w:rsid w:val="0034274F"/>
    <w:rsid w:val="00347DEA"/>
    <w:rsid w:val="00353ADB"/>
    <w:rsid w:val="003777FE"/>
    <w:rsid w:val="00403EF4"/>
    <w:rsid w:val="00416EE9"/>
    <w:rsid w:val="0042109F"/>
    <w:rsid w:val="00426A90"/>
    <w:rsid w:val="0043450E"/>
    <w:rsid w:val="004353CD"/>
    <w:rsid w:val="00435A51"/>
    <w:rsid w:val="00453BA5"/>
    <w:rsid w:val="00454E53"/>
    <w:rsid w:val="00464BAD"/>
    <w:rsid w:val="00470375"/>
    <w:rsid w:val="0047269F"/>
    <w:rsid w:val="00474912"/>
    <w:rsid w:val="00482477"/>
    <w:rsid w:val="00491386"/>
    <w:rsid w:val="00493B83"/>
    <w:rsid w:val="00494F18"/>
    <w:rsid w:val="004A41DA"/>
    <w:rsid w:val="004C0103"/>
    <w:rsid w:val="004C58F9"/>
    <w:rsid w:val="004D0C67"/>
    <w:rsid w:val="004D38A8"/>
    <w:rsid w:val="004D3D81"/>
    <w:rsid w:val="004E4BF3"/>
    <w:rsid w:val="00532474"/>
    <w:rsid w:val="00545B26"/>
    <w:rsid w:val="00553FC9"/>
    <w:rsid w:val="00560A63"/>
    <w:rsid w:val="00564B2E"/>
    <w:rsid w:val="0056504C"/>
    <w:rsid w:val="00566B2E"/>
    <w:rsid w:val="00566E4B"/>
    <w:rsid w:val="00570B14"/>
    <w:rsid w:val="0057552A"/>
    <w:rsid w:val="00585E98"/>
    <w:rsid w:val="00593AEE"/>
    <w:rsid w:val="00594743"/>
    <w:rsid w:val="005A4AB9"/>
    <w:rsid w:val="005B2640"/>
    <w:rsid w:val="005C12BE"/>
    <w:rsid w:val="005C48EA"/>
    <w:rsid w:val="005F6CE3"/>
    <w:rsid w:val="00602EB6"/>
    <w:rsid w:val="00606EF4"/>
    <w:rsid w:val="00614533"/>
    <w:rsid w:val="006376BE"/>
    <w:rsid w:val="00641C2E"/>
    <w:rsid w:val="00641E1F"/>
    <w:rsid w:val="006531E4"/>
    <w:rsid w:val="006546CB"/>
    <w:rsid w:val="00664DF6"/>
    <w:rsid w:val="00676A68"/>
    <w:rsid w:val="006919C7"/>
    <w:rsid w:val="006A3399"/>
    <w:rsid w:val="006A6B9C"/>
    <w:rsid w:val="006C198A"/>
    <w:rsid w:val="006C6840"/>
    <w:rsid w:val="006E7DBE"/>
    <w:rsid w:val="00715E6E"/>
    <w:rsid w:val="0072141E"/>
    <w:rsid w:val="00726265"/>
    <w:rsid w:val="00730F90"/>
    <w:rsid w:val="00734EBD"/>
    <w:rsid w:val="007A0711"/>
    <w:rsid w:val="007B2B10"/>
    <w:rsid w:val="007B2E62"/>
    <w:rsid w:val="007D20DF"/>
    <w:rsid w:val="007E0B9E"/>
    <w:rsid w:val="007F3181"/>
    <w:rsid w:val="007F4A42"/>
    <w:rsid w:val="00803C45"/>
    <w:rsid w:val="008236E4"/>
    <w:rsid w:val="00850296"/>
    <w:rsid w:val="00860A01"/>
    <w:rsid w:val="00874193"/>
    <w:rsid w:val="00897104"/>
    <w:rsid w:val="008A4493"/>
    <w:rsid w:val="008B10F5"/>
    <w:rsid w:val="008B74A6"/>
    <w:rsid w:val="008D10E7"/>
    <w:rsid w:val="008D3AD6"/>
    <w:rsid w:val="008E41BB"/>
    <w:rsid w:val="008E57B1"/>
    <w:rsid w:val="008E7D98"/>
    <w:rsid w:val="0091383D"/>
    <w:rsid w:val="009159AA"/>
    <w:rsid w:val="00940559"/>
    <w:rsid w:val="00947B31"/>
    <w:rsid w:val="00996062"/>
    <w:rsid w:val="009B1E68"/>
    <w:rsid w:val="00A21B5B"/>
    <w:rsid w:val="00A2770A"/>
    <w:rsid w:val="00A41675"/>
    <w:rsid w:val="00A451E8"/>
    <w:rsid w:val="00A51ACB"/>
    <w:rsid w:val="00A6018C"/>
    <w:rsid w:val="00A7317E"/>
    <w:rsid w:val="00AB24AA"/>
    <w:rsid w:val="00AB55F9"/>
    <w:rsid w:val="00AE3616"/>
    <w:rsid w:val="00AE6327"/>
    <w:rsid w:val="00AF7CB0"/>
    <w:rsid w:val="00B029EE"/>
    <w:rsid w:val="00B3483A"/>
    <w:rsid w:val="00B4385F"/>
    <w:rsid w:val="00B65B59"/>
    <w:rsid w:val="00B7292B"/>
    <w:rsid w:val="00BA4205"/>
    <w:rsid w:val="00BA7DDF"/>
    <w:rsid w:val="00BC764C"/>
    <w:rsid w:val="00BE37F6"/>
    <w:rsid w:val="00BF40C1"/>
    <w:rsid w:val="00BF4B17"/>
    <w:rsid w:val="00C07117"/>
    <w:rsid w:val="00C21554"/>
    <w:rsid w:val="00C22231"/>
    <w:rsid w:val="00C22DCD"/>
    <w:rsid w:val="00C3512C"/>
    <w:rsid w:val="00C74380"/>
    <w:rsid w:val="00C81190"/>
    <w:rsid w:val="00C82461"/>
    <w:rsid w:val="00CA0229"/>
    <w:rsid w:val="00CA324A"/>
    <w:rsid w:val="00CB50D4"/>
    <w:rsid w:val="00CD5859"/>
    <w:rsid w:val="00CF138C"/>
    <w:rsid w:val="00CF4404"/>
    <w:rsid w:val="00D21238"/>
    <w:rsid w:val="00D275CC"/>
    <w:rsid w:val="00D31141"/>
    <w:rsid w:val="00D602F1"/>
    <w:rsid w:val="00D767C4"/>
    <w:rsid w:val="00D77CF5"/>
    <w:rsid w:val="00D8365E"/>
    <w:rsid w:val="00DC1586"/>
    <w:rsid w:val="00E10098"/>
    <w:rsid w:val="00E32B5A"/>
    <w:rsid w:val="00E33B68"/>
    <w:rsid w:val="00E355CC"/>
    <w:rsid w:val="00E35ECC"/>
    <w:rsid w:val="00E402BB"/>
    <w:rsid w:val="00E86C8F"/>
    <w:rsid w:val="00E962C5"/>
    <w:rsid w:val="00EA0331"/>
    <w:rsid w:val="00EA3488"/>
    <w:rsid w:val="00EA5C2C"/>
    <w:rsid w:val="00EB5F7D"/>
    <w:rsid w:val="00EC2764"/>
    <w:rsid w:val="00EC52B4"/>
    <w:rsid w:val="00EC589F"/>
    <w:rsid w:val="00EC5E34"/>
    <w:rsid w:val="00EE5A9C"/>
    <w:rsid w:val="00EF20E6"/>
    <w:rsid w:val="00F07FED"/>
    <w:rsid w:val="00F26BE6"/>
    <w:rsid w:val="00F579B5"/>
    <w:rsid w:val="00F7460F"/>
    <w:rsid w:val="00F93A40"/>
    <w:rsid w:val="00F97D64"/>
    <w:rsid w:val="00FD085A"/>
    <w:rsid w:val="00FD3526"/>
    <w:rsid w:val="00FD543C"/>
    <w:rsid w:val="00FE37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3FC9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553FC9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553FC9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53FC9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53FC9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53FC9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53FC9"/>
    <w:pPr>
      <w:outlineLvl w:val="5"/>
    </w:pPr>
  </w:style>
  <w:style w:type="paragraph" w:styleId="Heading7">
    <w:name w:val="heading 7"/>
    <w:basedOn w:val="H6"/>
    <w:next w:val="Normal"/>
    <w:qFormat/>
    <w:rsid w:val="00553FC9"/>
    <w:pPr>
      <w:outlineLvl w:val="6"/>
    </w:pPr>
  </w:style>
  <w:style w:type="paragraph" w:styleId="Heading8">
    <w:name w:val="heading 8"/>
    <w:basedOn w:val="Heading1"/>
    <w:next w:val="Normal"/>
    <w:qFormat/>
    <w:rsid w:val="00553FC9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53FC9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553FC9"/>
    <w:pPr>
      <w:spacing w:before="180"/>
      <w:ind w:left="2693" w:hanging="2693"/>
    </w:pPr>
    <w:rPr>
      <w:b/>
    </w:rPr>
  </w:style>
  <w:style w:type="paragraph" w:styleId="TOC1">
    <w:name w:val="toc 1"/>
    <w:semiHidden/>
    <w:rsid w:val="00553FC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553FC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553FC9"/>
    <w:pPr>
      <w:ind w:left="1701" w:hanging="1701"/>
    </w:pPr>
  </w:style>
  <w:style w:type="paragraph" w:styleId="TOC4">
    <w:name w:val="toc 4"/>
    <w:basedOn w:val="TOC3"/>
    <w:semiHidden/>
    <w:rsid w:val="00553FC9"/>
    <w:pPr>
      <w:ind w:left="1418" w:hanging="1418"/>
    </w:pPr>
  </w:style>
  <w:style w:type="paragraph" w:styleId="TOC3">
    <w:name w:val="toc 3"/>
    <w:basedOn w:val="TOC2"/>
    <w:semiHidden/>
    <w:rsid w:val="00553FC9"/>
    <w:pPr>
      <w:ind w:left="1134" w:hanging="1134"/>
    </w:pPr>
  </w:style>
  <w:style w:type="paragraph" w:styleId="TOC2">
    <w:name w:val="toc 2"/>
    <w:basedOn w:val="TOC1"/>
    <w:semiHidden/>
    <w:rsid w:val="00553FC9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53FC9"/>
    <w:pPr>
      <w:ind w:left="284"/>
    </w:pPr>
  </w:style>
  <w:style w:type="paragraph" w:styleId="Index1">
    <w:name w:val="index 1"/>
    <w:basedOn w:val="Normal"/>
    <w:semiHidden/>
    <w:rsid w:val="00553FC9"/>
    <w:pPr>
      <w:keepLines/>
      <w:spacing w:after="0"/>
    </w:pPr>
  </w:style>
  <w:style w:type="paragraph" w:customStyle="1" w:styleId="ZH">
    <w:name w:val="ZH"/>
    <w:rsid w:val="00553FC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553FC9"/>
    <w:pPr>
      <w:outlineLvl w:val="9"/>
    </w:pPr>
  </w:style>
  <w:style w:type="paragraph" w:styleId="ListNumber2">
    <w:name w:val="List Number 2"/>
    <w:basedOn w:val="ListNumber"/>
    <w:semiHidden/>
    <w:rsid w:val="00553FC9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53FC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553FC9"/>
    <w:rPr>
      <w:b/>
      <w:position w:val="6"/>
      <w:sz w:val="16"/>
    </w:rPr>
  </w:style>
  <w:style w:type="paragraph" w:styleId="FootnoteText">
    <w:name w:val="footnote text"/>
    <w:basedOn w:val="Normal"/>
    <w:semiHidden/>
    <w:rsid w:val="00553FC9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553FC9"/>
    <w:rPr>
      <w:b/>
    </w:rPr>
  </w:style>
  <w:style w:type="paragraph" w:customStyle="1" w:styleId="TAC">
    <w:name w:val="TAC"/>
    <w:basedOn w:val="TAL"/>
    <w:link w:val="TACChar"/>
    <w:qFormat/>
    <w:rsid w:val="00553FC9"/>
    <w:pPr>
      <w:jc w:val="center"/>
    </w:pPr>
  </w:style>
  <w:style w:type="paragraph" w:customStyle="1" w:styleId="TF">
    <w:name w:val="TF"/>
    <w:basedOn w:val="TH"/>
    <w:rsid w:val="00553FC9"/>
    <w:pPr>
      <w:keepNext w:val="0"/>
      <w:spacing w:before="0" w:after="240"/>
    </w:pPr>
  </w:style>
  <w:style w:type="paragraph" w:customStyle="1" w:styleId="NO">
    <w:name w:val="NO"/>
    <w:basedOn w:val="Normal"/>
    <w:rsid w:val="00553FC9"/>
    <w:pPr>
      <w:keepLines/>
      <w:ind w:left="1135" w:hanging="851"/>
    </w:pPr>
  </w:style>
  <w:style w:type="paragraph" w:styleId="TOC9">
    <w:name w:val="toc 9"/>
    <w:basedOn w:val="TOC8"/>
    <w:semiHidden/>
    <w:rsid w:val="00553FC9"/>
    <w:pPr>
      <w:ind w:left="1418" w:hanging="1418"/>
    </w:pPr>
  </w:style>
  <w:style w:type="paragraph" w:customStyle="1" w:styleId="EX">
    <w:name w:val="EX"/>
    <w:basedOn w:val="Normal"/>
    <w:rsid w:val="00553FC9"/>
    <w:pPr>
      <w:keepLines/>
      <w:ind w:left="1702" w:hanging="1418"/>
    </w:pPr>
  </w:style>
  <w:style w:type="paragraph" w:customStyle="1" w:styleId="FP">
    <w:name w:val="FP"/>
    <w:basedOn w:val="Normal"/>
    <w:rsid w:val="00553FC9"/>
    <w:pPr>
      <w:spacing w:after="0"/>
    </w:pPr>
  </w:style>
  <w:style w:type="paragraph" w:customStyle="1" w:styleId="LD">
    <w:name w:val="LD"/>
    <w:rsid w:val="00553FC9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553FC9"/>
    <w:pPr>
      <w:spacing w:after="0"/>
    </w:pPr>
  </w:style>
  <w:style w:type="paragraph" w:customStyle="1" w:styleId="EW">
    <w:name w:val="EW"/>
    <w:basedOn w:val="EX"/>
    <w:rsid w:val="00553FC9"/>
    <w:pPr>
      <w:spacing w:after="0"/>
    </w:pPr>
  </w:style>
  <w:style w:type="paragraph" w:styleId="TOC6">
    <w:name w:val="toc 6"/>
    <w:basedOn w:val="TOC5"/>
    <w:next w:val="Normal"/>
    <w:semiHidden/>
    <w:rsid w:val="00553FC9"/>
    <w:pPr>
      <w:ind w:left="1985" w:hanging="1985"/>
    </w:pPr>
  </w:style>
  <w:style w:type="paragraph" w:styleId="TOC7">
    <w:name w:val="toc 7"/>
    <w:basedOn w:val="TOC6"/>
    <w:next w:val="Normal"/>
    <w:semiHidden/>
    <w:rsid w:val="00553FC9"/>
    <w:pPr>
      <w:ind w:left="2268" w:hanging="2268"/>
    </w:pPr>
  </w:style>
  <w:style w:type="paragraph" w:styleId="ListBullet2">
    <w:name w:val="List Bullet 2"/>
    <w:basedOn w:val="ListBullet"/>
    <w:semiHidden/>
    <w:rsid w:val="00553FC9"/>
    <w:pPr>
      <w:ind w:left="851"/>
    </w:pPr>
  </w:style>
  <w:style w:type="paragraph" w:styleId="ListBullet3">
    <w:name w:val="List Bullet 3"/>
    <w:basedOn w:val="ListBullet2"/>
    <w:semiHidden/>
    <w:rsid w:val="00553FC9"/>
    <w:pPr>
      <w:ind w:left="1135"/>
    </w:pPr>
  </w:style>
  <w:style w:type="paragraph" w:styleId="ListNumber">
    <w:name w:val="List Number"/>
    <w:basedOn w:val="List"/>
    <w:semiHidden/>
    <w:rsid w:val="00553FC9"/>
  </w:style>
  <w:style w:type="paragraph" w:customStyle="1" w:styleId="EQ">
    <w:name w:val="EQ"/>
    <w:basedOn w:val="Normal"/>
    <w:next w:val="Normal"/>
    <w:link w:val="EQChar"/>
    <w:rsid w:val="00553FC9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553FC9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53FC9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53FC9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553FC9"/>
    <w:pPr>
      <w:jc w:val="right"/>
    </w:pPr>
  </w:style>
  <w:style w:type="paragraph" w:customStyle="1" w:styleId="H6">
    <w:name w:val="H6"/>
    <w:basedOn w:val="Heading5"/>
    <w:next w:val="Normal"/>
    <w:rsid w:val="00553FC9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553FC9"/>
    <w:pPr>
      <w:ind w:left="851" w:hanging="851"/>
    </w:pPr>
  </w:style>
  <w:style w:type="paragraph" w:customStyle="1" w:styleId="TAL">
    <w:name w:val="TAL"/>
    <w:basedOn w:val="Normal"/>
    <w:rsid w:val="00553FC9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53FC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553FC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553FC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553FC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553FC9"/>
    <w:pPr>
      <w:framePr w:wrap="notBeside" w:y="16161"/>
    </w:pPr>
  </w:style>
  <w:style w:type="character" w:customStyle="1" w:styleId="ZGSM">
    <w:name w:val="ZGSM"/>
    <w:rsid w:val="00553FC9"/>
  </w:style>
  <w:style w:type="paragraph" w:styleId="List2">
    <w:name w:val="List 2"/>
    <w:basedOn w:val="List"/>
    <w:semiHidden/>
    <w:rsid w:val="00553FC9"/>
    <w:pPr>
      <w:ind w:left="851"/>
    </w:pPr>
  </w:style>
  <w:style w:type="paragraph" w:customStyle="1" w:styleId="ZG">
    <w:name w:val="ZG"/>
    <w:rsid w:val="00553FC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553FC9"/>
    <w:pPr>
      <w:ind w:left="1135"/>
    </w:pPr>
  </w:style>
  <w:style w:type="paragraph" w:styleId="List4">
    <w:name w:val="List 4"/>
    <w:basedOn w:val="List3"/>
    <w:semiHidden/>
    <w:rsid w:val="00553FC9"/>
    <w:pPr>
      <w:ind w:left="1418"/>
    </w:pPr>
  </w:style>
  <w:style w:type="paragraph" w:styleId="List5">
    <w:name w:val="List 5"/>
    <w:basedOn w:val="List4"/>
    <w:semiHidden/>
    <w:rsid w:val="00553FC9"/>
    <w:pPr>
      <w:ind w:left="1702"/>
    </w:pPr>
  </w:style>
  <w:style w:type="paragraph" w:customStyle="1" w:styleId="EditorsNote">
    <w:name w:val="Editor's Note"/>
    <w:basedOn w:val="NO"/>
    <w:rsid w:val="00553FC9"/>
    <w:rPr>
      <w:color w:val="FF0000"/>
    </w:rPr>
  </w:style>
  <w:style w:type="paragraph" w:styleId="List">
    <w:name w:val="List"/>
    <w:basedOn w:val="Normal"/>
    <w:semiHidden/>
    <w:rsid w:val="00553FC9"/>
    <w:pPr>
      <w:ind w:left="568" w:hanging="284"/>
    </w:pPr>
  </w:style>
  <w:style w:type="paragraph" w:styleId="ListBullet">
    <w:name w:val="List Bullet"/>
    <w:basedOn w:val="List"/>
    <w:semiHidden/>
    <w:rsid w:val="00553FC9"/>
  </w:style>
  <w:style w:type="paragraph" w:styleId="ListBullet4">
    <w:name w:val="List Bullet 4"/>
    <w:basedOn w:val="ListBullet3"/>
    <w:semiHidden/>
    <w:rsid w:val="00553FC9"/>
    <w:pPr>
      <w:ind w:left="1418"/>
    </w:pPr>
  </w:style>
  <w:style w:type="paragraph" w:styleId="ListBullet5">
    <w:name w:val="List Bullet 5"/>
    <w:basedOn w:val="ListBullet4"/>
    <w:semiHidden/>
    <w:rsid w:val="00553FC9"/>
    <w:pPr>
      <w:ind w:left="1702"/>
    </w:pPr>
  </w:style>
  <w:style w:type="paragraph" w:customStyle="1" w:styleId="B1">
    <w:name w:val="B1"/>
    <w:basedOn w:val="List"/>
    <w:rsid w:val="00553FC9"/>
  </w:style>
  <w:style w:type="paragraph" w:customStyle="1" w:styleId="B2">
    <w:name w:val="B2"/>
    <w:basedOn w:val="List2"/>
    <w:rsid w:val="00553FC9"/>
  </w:style>
  <w:style w:type="paragraph" w:customStyle="1" w:styleId="B3">
    <w:name w:val="B3"/>
    <w:basedOn w:val="List3"/>
    <w:rsid w:val="00553FC9"/>
  </w:style>
  <w:style w:type="paragraph" w:customStyle="1" w:styleId="B4">
    <w:name w:val="B4"/>
    <w:basedOn w:val="List4"/>
    <w:rsid w:val="00553FC9"/>
  </w:style>
  <w:style w:type="paragraph" w:customStyle="1" w:styleId="B5">
    <w:name w:val="B5"/>
    <w:basedOn w:val="List5"/>
    <w:rsid w:val="00553FC9"/>
  </w:style>
  <w:style w:type="paragraph" w:styleId="Footer">
    <w:name w:val="footer"/>
    <w:basedOn w:val="Header"/>
    <w:semiHidden/>
    <w:rsid w:val="00553FC9"/>
    <w:pPr>
      <w:jc w:val="center"/>
    </w:pPr>
    <w:rPr>
      <w:i/>
    </w:rPr>
  </w:style>
  <w:style w:type="paragraph" w:customStyle="1" w:styleId="ZTD">
    <w:name w:val="ZTD"/>
    <w:basedOn w:val="ZB"/>
    <w:rsid w:val="00553FC9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- Bullets,?? ??,?????,????,リスト段落,Lista1,列出段落1,中等深浅网格 1 - 着色 21,列表段落,R4_bullets,列表段落1,—ño’i—Ž,¥¡¡¡¡ì¬º¥¹¥È¶ÎÂä,ÁÐ³ö¶ÎÂä,¥ê¥¹¥È¶ÎÂä,1st level - Bullet List Paragraph,Lettre d'introduction,Paragrafo elenco,Normal bullet 2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rsid w:val="00DC1586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DC1586"/>
    <w:rPr>
      <w:rFonts w:ascii="Arial" w:hAnsi="Arial"/>
      <w:sz w:val="18"/>
      <w:lang w:val="en-GB" w:eastAsia="en-US"/>
    </w:rPr>
  </w:style>
  <w:style w:type="character" w:customStyle="1" w:styleId="EQChar">
    <w:name w:val="EQ Char"/>
    <w:link w:val="EQ"/>
    <w:rsid w:val="00532474"/>
    <w:rPr>
      <w:rFonts w:ascii="Times New Roman" w:hAnsi="Times New Roman"/>
      <w:noProof/>
      <w:lang w:val="en-GB" w:eastAsia="en-US"/>
    </w:r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353ADB"/>
    <w:rPr>
      <w:rFonts w:ascii="Times New Roman" w:hAnsi="Times New Roman"/>
      <w:lang w:val="en-GB" w:eastAsia="en-US"/>
    </w:rPr>
  </w:style>
  <w:style w:type="paragraph" w:customStyle="1" w:styleId="TableText">
    <w:name w:val="TableText"/>
    <w:basedOn w:val="BodyTextIndent"/>
    <w:qFormat/>
    <w:rsid w:val="00403EF4"/>
    <w:pPr>
      <w:spacing w:after="180"/>
      <w:ind w:leftChars="400" w:left="851"/>
    </w:pPr>
    <w:rPr>
      <w:rFonts w:eastAsia="Malgun Gothic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403EF4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403EF4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7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33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85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0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9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0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4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1866</TotalTime>
  <Pages>2</Pages>
  <Words>237</Words>
  <Characters>1923</Characters>
  <Application>Microsoft Office Word</Application>
  <DocSecurity>0</DocSecurity>
  <Lines>16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2156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Marttila, Jaakko (Nokia - FI/Tampere)</cp:lastModifiedBy>
  <cp:revision>36</cp:revision>
  <cp:lastPrinted>1899-12-31T22:00:00Z</cp:lastPrinted>
  <dcterms:created xsi:type="dcterms:W3CDTF">2020-05-15T10:02:00Z</dcterms:created>
  <dcterms:modified xsi:type="dcterms:W3CDTF">2021-05-11T09:52:00Z</dcterms:modified>
</cp:coreProperties>
</file>