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AEBE15" w14:textId="65E48037" w:rsidR="00F26BE6" w:rsidRDefault="00F26BE6" w:rsidP="00F26BE6">
      <w:pPr>
        <w:pStyle w:val="CRCoverPage"/>
        <w:tabs>
          <w:tab w:val="right" w:pos="9639"/>
        </w:tabs>
        <w:spacing w:after="0"/>
        <w:rPr>
          <w:rFonts w:cs="Arial"/>
          <w:b/>
          <w:sz w:val="24"/>
          <w:szCs w:val="24"/>
        </w:rPr>
      </w:pPr>
      <w:bookmarkStart w:id="0" w:name="_Hlk491845607"/>
      <w:r>
        <w:rPr>
          <w:rFonts w:cs="Arial"/>
          <w:b/>
          <w:sz w:val="24"/>
          <w:szCs w:val="24"/>
        </w:rPr>
        <w:t>3GPP TSG-</w:t>
      </w:r>
      <w:r w:rsidRPr="007C23AE">
        <w:rPr>
          <w:rFonts w:cs="Arial"/>
          <w:b/>
          <w:sz w:val="24"/>
          <w:szCs w:val="24"/>
        </w:rPr>
        <w:t>RAN4#</w:t>
      </w:r>
      <w:r w:rsidR="007F4A42">
        <w:rPr>
          <w:rFonts w:cs="Arial"/>
          <w:b/>
          <w:sz w:val="24"/>
          <w:szCs w:val="24"/>
        </w:rPr>
        <w:t>99</w:t>
      </w:r>
      <w:r w:rsidR="00BF40C1">
        <w:rPr>
          <w:rFonts w:cs="Arial"/>
          <w:b/>
          <w:sz w:val="24"/>
          <w:szCs w:val="24"/>
        </w:rPr>
        <w:t>-</w:t>
      </w:r>
      <w:r w:rsidR="00593AEE">
        <w:rPr>
          <w:rFonts w:cs="Arial"/>
          <w:b/>
          <w:sz w:val="24"/>
          <w:szCs w:val="24"/>
        </w:rPr>
        <w:t>e</w:t>
      </w:r>
      <w:r>
        <w:rPr>
          <w:rFonts w:cs="Arial"/>
          <w:b/>
          <w:sz w:val="24"/>
          <w:szCs w:val="24"/>
        </w:rPr>
        <w:tab/>
      </w:r>
      <w:r w:rsidR="00BA4205" w:rsidRPr="00BA4205">
        <w:rPr>
          <w:rFonts w:cs="Arial"/>
          <w:b/>
          <w:sz w:val="24"/>
          <w:szCs w:val="24"/>
        </w:rPr>
        <w:t>R4-</w:t>
      </w:r>
      <w:r w:rsidR="006E0AFE" w:rsidRPr="006E0AFE">
        <w:rPr>
          <w:rFonts w:cs="Arial"/>
          <w:b/>
          <w:sz w:val="24"/>
          <w:szCs w:val="24"/>
        </w:rPr>
        <w:t>2109260</w:t>
      </w:r>
      <w:bookmarkStart w:id="1" w:name="_GoBack"/>
      <w:bookmarkEnd w:id="1"/>
    </w:p>
    <w:p w14:paraId="06BF1402" w14:textId="394188B4" w:rsidR="00F26BE6" w:rsidRDefault="00BF40C1" w:rsidP="00F26BE6">
      <w:pPr>
        <w:pStyle w:val="CRCoverPage"/>
        <w:tabs>
          <w:tab w:val="right" w:pos="9639"/>
        </w:tabs>
        <w:spacing w:after="0"/>
        <w:rPr>
          <w:rFonts w:cs="Arial"/>
          <w:b/>
          <w:sz w:val="24"/>
          <w:szCs w:val="24"/>
        </w:rPr>
      </w:pPr>
      <w:r>
        <w:rPr>
          <w:rFonts w:cs="Arial"/>
          <w:b/>
          <w:sz w:val="24"/>
          <w:szCs w:val="24"/>
        </w:rPr>
        <w:t>1</w:t>
      </w:r>
      <w:r w:rsidR="007F4A42">
        <w:rPr>
          <w:rFonts w:cs="Arial"/>
          <w:b/>
          <w:sz w:val="24"/>
          <w:szCs w:val="24"/>
        </w:rPr>
        <w:t>9</w:t>
      </w:r>
      <w:r w:rsidR="00F26BE6" w:rsidRPr="006D0B81">
        <w:rPr>
          <w:rFonts w:cs="Arial"/>
          <w:b/>
          <w:sz w:val="24"/>
          <w:szCs w:val="24"/>
          <w:vertAlign w:val="superscript"/>
        </w:rPr>
        <w:t>th</w:t>
      </w:r>
      <w:r w:rsidR="00F26BE6" w:rsidRPr="00690ADD">
        <w:rPr>
          <w:rFonts w:cs="Arial"/>
          <w:b/>
          <w:sz w:val="24"/>
          <w:szCs w:val="24"/>
        </w:rPr>
        <w:t xml:space="preserve">– </w:t>
      </w:r>
      <w:r>
        <w:rPr>
          <w:rFonts w:cs="Arial"/>
          <w:b/>
          <w:sz w:val="24"/>
          <w:szCs w:val="24"/>
        </w:rPr>
        <w:t>2</w:t>
      </w:r>
      <w:r w:rsidR="007F4A42">
        <w:rPr>
          <w:rFonts w:cs="Arial"/>
          <w:b/>
          <w:sz w:val="24"/>
          <w:szCs w:val="24"/>
        </w:rPr>
        <w:t>7</w:t>
      </w:r>
      <w:r w:rsidR="00F26BE6" w:rsidRPr="0085598E">
        <w:rPr>
          <w:rFonts w:cs="Arial"/>
          <w:b/>
          <w:sz w:val="24"/>
          <w:szCs w:val="24"/>
          <w:vertAlign w:val="superscript"/>
        </w:rPr>
        <w:t>th</w:t>
      </w:r>
      <w:r w:rsidR="00F26BE6">
        <w:rPr>
          <w:rFonts w:cs="Arial"/>
          <w:b/>
          <w:sz w:val="24"/>
          <w:szCs w:val="24"/>
        </w:rPr>
        <w:t xml:space="preserve"> </w:t>
      </w:r>
      <w:r w:rsidR="007F4A42">
        <w:rPr>
          <w:rFonts w:cs="Arial"/>
          <w:b/>
          <w:sz w:val="24"/>
          <w:szCs w:val="24"/>
        </w:rPr>
        <w:t>May</w:t>
      </w:r>
      <w:r>
        <w:rPr>
          <w:rFonts w:cs="Arial"/>
          <w:b/>
          <w:sz w:val="24"/>
          <w:szCs w:val="24"/>
        </w:rPr>
        <w:t xml:space="preserve"> </w:t>
      </w:r>
      <w:r w:rsidR="00F26BE6" w:rsidRPr="00690ADD">
        <w:rPr>
          <w:rFonts w:cs="Arial"/>
          <w:b/>
          <w:sz w:val="24"/>
          <w:szCs w:val="24"/>
        </w:rPr>
        <w:t>20</w:t>
      </w:r>
      <w:bookmarkEnd w:id="0"/>
      <w:r w:rsidR="00F26BE6">
        <w:rPr>
          <w:rFonts w:cs="Arial"/>
          <w:b/>
          <w:sz w:val="24"/>
          <w:szCs w:val="24"/>
        </w:rPr>
        <w:t>2</w:t>
      </w:r>
      <w:r w:rsidR="00803C45">
        <w:rPr>
          <w:rFonts w:cs="Arial"/>
          <w:b/>
          <w:sz w:val="24"/>
          <w:szCs w:val="24"/>
        </w:rPr>
        <w:t>1</w:t>
      </w:r>
    </w:p>
    <w:p w14:paraId="31AA9375" w14:textId="77777777" w:rsidR="00F26BE6" w:rsidRPr="0087636F" w:rsidRDefault="00F26BE6" w:rsidP="00F26BE6">
      <w:pPr>
        <w:pStyle w:val="CRCoverPage"/>
        <w:tabs>
          <w:tab w:val="right" w:pos="9639"/>
        </w:tabs>
        <w:spacing w:after="0"/>
        <w:rPr>
          <w:rFonts w:cs="Arial"/>
          <w:b/>
          <w:sz w:val="24"/>
          <w:szCs w:val="24"/>
        </w:rPr>
      </w:pPr>
    </w:p>
    <w:p w14:paraId="2078F563" w14:textId="3903F4B3"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715E6E">
        <w:rPr>
          <w:sz w:val="22"/>
        </w:rPr>
        <w:t>, Nokia Shanghai Bell</w:t>
      </w:r>
    </w:p>
    <w:p w14:paraId="5B6A96A7" w14:textId="0ED01D5B"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FA58F7">
        <w:t xml:space="preserve">PC2 1PA Intra-band UL </w:t>
      </w:r>
      <w:r w:rsidR="00F96CA4">
        <w:t>NC CA</w:t>
      </w:r>
      <w:r w:rsidR="00FA58F7">
        <w:t xml:space="preserve"> MPR Simulations</w:t>
      </w:r>
    </w:p>
    <w:p w14:paraId="23226DA5" w14:textId="7FD59043"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6E6862" w:rsidRPr="006E6862">
        <w:rPr>
          <w:bCs/>
          <w:sz w:val="22"/>
        </w:rPr>
        <w:t>9.3.2.5</w:t>
      </w:r>
    </w:p>
    <w:p w14:paraId="7AD518C5" w14:textId="41706D41" w:rsidR="0043450E" w:rsidRPr="00F26B60" w:rsidRDefault="0043450E" w:rsidP="0043450E">
      <w:pPr>
        <w:tabs>
          <w:tab w:val="left" w:pos="1985"/>
        </w:tabs>
        <w:jc w:val="both"/>
        <w:rPr>
          <w:caps/>
          <w:sz w:val="22"/>
        </w:rPr>
      </w:pPr>
      <w:r w:rsidRPr="00B16EEF">
        <w:rPr>
          <w:b/>
          <w:sz w:val="22"/>
        </w:rPr>
        <w:t>Document for:</w:t>
      </w:r>
      <w:r w:rsidRPr="00B16EEF">
        <w:rPr>
          <w:sz w:val="22"/>
        </w:rPr>
        <w:tab/>
      </w:r>
      <w:r w:rsidR="00EA0331">
        <w:rPr>
          <w:sz w:val="22"/>
        </w:rPr>
        <w:t>Discussion</w:t>
      </w:r>
    </w:p>
    <w:p w14:paraId="5C2448DB" w14:textId="77777777" w:rsidR="0043450E" w:rsidRDefault="0043450E" w:rsidP="0043450E">
      <w:pPr>
        <w:pStyle w:val="Heading1"/>
      </w:pPr>
      <w:r>
        <w:t>1</w:t>
      </w:r>
      <w:r>
        <w:tab/>
        <w:t>Introduction</w:t>
      </w:r>
    </w:p>
    <w:p w14:paraId="6D98D123" w14:textId="12D39FB7" w:rsidR="006A6B9C" w:rsidRDefault="00CA336E" w:rsidP="008B10F5">
      <w:r>
        <w:t xml:space="preserve">This contribution presents simulated PC2 1PA intra-band UL non-contiguous </w:t>
      </w:r>
      <w:r w:rsidR="00CE413C">
        <w:t xml:space="preserve">carrier aggregation </w:t>
      </w:r>
      <w:r>
        <w:t>backoff results.</w:t>
      </w:r>
    </w:p>
    <w:p w14:paraId="16375C65" w14:textId="207823D2" w:rsidR="00470375" w:rsidRDefault="00470375" w:rsidP="00470375">
      <w:pPr>
        <w:pStyle w:val="Heading1"/>
      </w:pPr>
      <w:r>
        <w:t>2</w:t>
      </w:r>
      <w:r>
        <w:tab/>
        <w:t>Simulation scenario and assumptions</w:t>
      </w:r>
    </w:p>
    <w:p w14:paraId="15F09F8F" w14:textId="77777777" w:rsidR="00F7348E" w:rsidRDefault="00C92CEA" w:rsidP="00E10098">
      <w:r>
        <w:t xml:space="preserve">As discussed in [1], 1x26 dBm PA + 1LO with 200 MHz BW backoff is simulated for PC2 intra-band UL non-contiguous CA. Scenarios </w:t>
      </w:r>
    </w:p>
    <w:p w14:paraId="38243E73" w14:textId="77777777" w:rsidR="00F7348E" w:rsidRDefault="00C92CEA" w:rsidP="00F7348E">
      <w:pPr>
        <w:pStyle w:val="ListParagraph"/>
        <w:numPr>
          <w:ilvl w:val="0"/>
          <w:numId w:val="9"/>
        </w:numPr>
      </w:pPr>
      <w:r>
        <w:t xml:space="preserve">including </w:t>
      </w:r>
      <w:r w:rsidR="00F7348E">
        <w:t xml:space="preserve">the LO </w:t>
      </w:r>
      <w:r>
        <w:t>and</w:t>
      </w:r>
    </w:p>
    <w:p w14:paraId="5B3DCD26" w14:textId="77777777" w:rsidR="00F7348E" w:rsidRDefault="00C92CEA" w:rsidP="00F7348E">
      <w:pPr>
        <w:pStyle w:val="ListParagraph"/>
        <w:numPr>
          <w:ilvl w:val="0"/>
          <w:numId w:val="9"/>
        </w:numPr>
      </w:pPr>
      <w:r>
        <w:t>excluding the LO</w:t>
      </w:r>
    </w:p>
    <w:p w14:paraId="3DA73A2B" w14:textId="6FF2F822" w:rsidR="00E10098" w:rsidRDefault="00C92CEA" w:rsidP="00F7348E">
      <w:r>
        <w:t>in the simulation are considered, the latter one approximating an exemption for the LO.</w:t>
      </w:r>
    </w:p>
    <w:p w14:paraId="7A6D7B28" w14:textId="0C8271FE" w:rsidR="00CA336E" w:rsidRDefault="00CA336E" w:rsidP="00E10098">
      <w:r>
        <w:t>A range of channel outer edge allocations are simulated in order to evaluate the worst-case behaviour.</w:t>
      </w:r>
    </w:p>
    <w:p w14:paraId="4E950E09" w14:textId="268CE6EB" w:rsidR="00E10098" w:rsidRDefault="00E10098" w:rsidP="00E10098">
      <w:r>
        <w:t>The simulation assumptions were as follows:</w:t>
      </w:r>
    </w:p>
    <w:p w14:paraId="57A161A0" w14:textId="468407B6" w:rsidR="00BF40C1" w:rsidRDefault="00BF40C1" w:rsidP="00E10098">
      <w:pPr>
        <w:pStyle w:val="ListParagraph"/>
        <w:numPr>
          <w:ilvl w:val="0"/>
          <w:numId w:val="8"/>
        </w:numPr>
      </w:pPr>
      <w:r>
        <w:t>IQ image and LO leakage</w:t>
      </w:r>
      <w:r w:rsidR="00C92CEA">
        <w:t>, when applied</w:t>
      </w:r>
      <w:r>
        <w:t xml:space="preserve"> = -28 dBc</w:t>
      </w:r>
      <w:r w:rsidR="00E10098">
        <w:t>,</w:t>
      </w:r>
    </w:p>
    <w:p w14:paraId="1DCCDF5B" w14:textId="01480C19" w:rsidR="00BF40C1" w:rsidRDefault="00BF40C1" w:rsidP="00E10098">
      <w:pPr>
        <w:pStyle w:val="ListParagraph"/>
        <w:numPr>
          <w:ilvl w:val="0"/>
          <w:numId w:val="8"/>
        </w:numPr>
      </w:pPr>
      <w:r>
        <w:t>CIM3 = -60 dBc</w:t>
      </w:r>
      <w:r w:rsidR="00E10098">
        <w:t>,</w:t>
      </w:r>
    </w:p>
    <w:p w14:paraId="7C389261" w14:textId="2304D400" w:rsidR="00EA0331" w:rsidRDefault="00470375" w:rsidP="00E10098">
      <w:pPr>
        <w:pStyle w:val="ListParagraph"/>
        <w:numPr>
          <w:ilvl w:val="0"/>
          <w:numId w:val="8"/>
        </w:numPr>
      </w:pPr>
      <w:r>
        <w:t xml:space="preserve">PA calibration point was 20 MHz, 15 kHz, QPSK, DFT-S-OFMA, 100 RB at lower channel edge with </w:t>
      </w:r>
      <w:r w:rsidR="00353ADB">
        <w:t xml:space="preserve">1 </w:t>
      </w:r>
      <w:r>
        <w:t>dB MPR</w:t>
      </w:r>
      <w:r w:rsidR="00676A68">
        <w:t>,</w:t>
      </w:r>
      <w:r w:rsidR="00071E0D">
        <w:t xml:space="preserve"> and</w:t>
      </w:r>
    </w:p>
    <w:p w14:paraId="0AF43AED" w14:textId="790A1990" w:rsidR="00C22231" w:rsidRDefault="00C22231" w:rsidP="00C22231">
      <w:pPr>
        <w:pStyle w:val="ListParagraph"/>
        <w:numPr>
          <w:ilvl w:val="0"/>
          <w:numId w:val="8"/>
        </w:numPr>
      </w:pPr>
      <w:r>
        <w:t>no IBE or EVM was evaluated.</w:t>
      </w:r>
    </w:p>
    <w:p w14:paraId="709AFE89" w14:textId="3AE5D61F" w:rsidR="00EA0331" w:rsidRDefault="000B7337" w:rsidP="00BF40C1">
      <w:pPr>
        <w:pStyle w:val="Heading1"/>
      </w:pPr>
      <w:r>
        <w:t>3</w:t>
      </w:r>
      <w:r w:rsidR="006376BE">
        <w:tab/>
      </w:r>
      <w:r w:rsidR="00150207">
        <w:t>Back-off Results</w:t>
      </w:r>
    </w:p>
    <w:p w14:paraId="1E543E9A" w14:textId="5EC7BD92" w:rsidR="00C92CEA" w:rsidRPr="00C92CEA" w:rsidRDefault="00C92CEA" w:rsidP="00C92CEA">
      <w:r>
        <w:t xml:space="preserve">Below, backoff results with and without the LO are presented. Figures 1 and </w:t>
      </w:r>
      <w:r w:rsidR="00CA336E">
        <w:t>2</w:t>
      </w:r>
      <w:r>
        <w:t xml:space="preserve"> show results for 20+40 MHz and 40+40 MHz CA scenarios, respectively. The gaps in those scenarios are 20 MHz and 120 MHz. The backoff results are capped at 20 dB. Thus, 20 dB results should be considered as “equals or exceeds 20 dB”.</w:t>
      </w:r>
    </w:p>
    <w:p w14:paraId="1F2DBCEF" w14:textId="01E1A3D2" w:rsidR="00474912" w:rsidRDefault="00474912" w:rsidP="002C5FC3">
      <w:r w:rsidRPr="00474912">
        <w:rPr>
          <w:noProof/>
        </w:rPr>
        <w:drawing>
          <wp:inline distT="0" distB="0" distL="0" distR="0" wp14:anchorId="4FDB39E8" wp14:editId="689A8A36">
            <wp:extent cx="2880000"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74912">
        <w:rPr>
          <w:noProof/>
        </w:rPr>
        <w:drawing>
          <wp:inline distT="0" distB="0" distL="0" distR="0" wp14:anchorId="04554EEF" wp14:editId="7B34EDEB">
            <wp:extent cx="2880000"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85671C0" w14:textId="2A74BC94" w:rsidR="00C92CEA" w:rsidRDefault="00C92CEA" w:rsidP="00C92CEA">
      <w:pPr>
        <w:jc w:val="center"/>
      </w:pPr>
      <w:r w:rsidRPr="00C92CEA">
        <w:rPr>
          <w:b/>
          <w:bCs/>
        </w:rPr>
        <w:t>Figure 1</w:t>
      </w:r>
      <w:r>
        <w:t>. Simulated backoff for 20+40 MHz CA with 20 MHz gap as a function of the allocation bandwidth with (on the left) and without (on the right) the LO included.</w:t>
      </w:r>
    </w:p>
    <w:p w14:paraId="5B7346F1" w14:textId="4F0CA2D3" w:rsidR="00CA336E" w:rsidRDefault="00CA336E" w:rsidP="00CA336E">
      <w:r>
        <w:lastRenderedPageBreak/>
        <w:t xml:space="preserve">In Figure 1, </w:t>
      </w:r>
      <w:proofErr w:type="gramStart"/>
      <w:r>
        <w:t>it can be seen that without</w:t>
      </w:r>
      <w:proofErr w:type="gramEnd"/>
      <w:r>
        <w:t xml:space="preserve"> LO certain group of allocations (bandwidth less than 20 MHz, backoff more than 8 dB) behave in specific fashion. This is due to the image of the allocation in the 40 MHz carrier falls outside the occupied channels in those cases. As can be seen in Figure 2, this does not happen in 40+40 MHz scenario, where the CA setup is symmetric. This phenomenon is further illustrated in Figure 3, where the IQ image attenuation of 28 dBc limits achievable ACLR independent of the applied backoff.</w:t>
      </w:r>
    </w:p>
    <w:p w14:paraId="077DC5A3" w14:textId="77777777" w:rsidR="00CA336E" w:rsidRDefault="00CA336E" w:rsidP="00CA336E">
      <w:r w:rsidRPr="00474912">
        <w:rPr>
          <w:noProof/>
        </w:rPr>
        <w:drawing>
          <wp:inline distT="0" distB="0" distL="0" distR="0" wp14:anchorId="2F1C416D" wp14:editId="6A06BE0C">
            <wp:extent cx="2880000"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74912">
        <w:rPr>
          <w:noProof/>
        </w:rPr>
        <w:drawing>
          <wp:inline distT="0" distB="0" distL="0" distR="0" wp14:anchorId="1FB5CF31" wp14:editId="1CDA55CE">
            <wp:extent cx="2880000"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F13A134" w14:textId="2E19563A" w:rsidR="00CA336E" w:rsidRDefault="00CA336E" w:rsidP="00CA336E">
      <w:pPr>
        <w:jc w:val="center"/>
      </w:pPr>
      <w:r w:rsidRPr="00C92CEA">
        <w:rPr>
          <w:b/>
          <w:bCs/>
        </w:rPr>
        <w:t xml:space="preserve">Figure </w:t>
      </w:r>
      <w:r>
        <w:rPr>
          <w:b/>
          <w:bCs/>
        </w:rPr>
        <w:t>2</w:t>
      </w:r>
      <w:r>
        <w:t>. Simulated backoff for 40+40 MHz CA with 120 MHz gap as a function of the allocation bandwidth with (on the left) and without (on the right) the LO included.</w:t>
      </w:r>
    </w:p>
    <w:p w14:paraId="703C7E78" w14:textId="77777777" w:rsidR="00CA336E" w:rsidRDefault="00CA336E" w:rsidP="00CA336E"/>
    <w:p w14:paraId="21AA6661" w14:textId="36776AB9" w:rsidR="00474912" w:rsidRDefault="00474912" w:rsidP="00474912">
      <w:pPr>
        <w:jc w:val="center"/>
      </w:pPr>
      <w:r w:rsidRPr="00474912">
        <w:rPr>
          <w:noProof/>
        </w:rPr>
        <w:drawing>
          <wp:inline distT="0" distB="0" distL="0" distR="0" wp14:anchorId="76EB45B1" wp14:editId="062011F6">
            <wp:extent cx="4320000" cy="243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
                      <a:extLst>
                        <a:ext uri="{28A0092B-C50C-407E-A947-70E740481C1C}">
                          <a14:useLocalDpi xmlns:a14="http://schemas.microsoft.com/office/drawing/2010/main" val="0"/>
                        </a:ext>
                      </a:extLst>
                    </a:blip>
                    <a:srcRect t="41686" b="3044"/>
                    <a:stretch/>
                  </pic:blipFill>
                  <pic:spPr bwMode="auto">
                    <a:xfrm>
                      <a:off x="0" y="0"/>
                      <a:ext cx="4320000" cy="2430000"/>
                    </a:xfrm>
                    <a:prstGeom prst="rect">
                      <a:avLst/>
                    </a:prstGeom>
                    <a:noFill/>
                    <a:ln>
                      <a:noFill/>
                    </a:ln>
                    <a:extLst>
                      <a:ext uri="{53640926-AAD7-44D8-BBD7-CCE9431645EC}">
                        <a14:shadowObscured xmlns:a14="http://schemas.microsoft.com/office/drawing/2010/main"/>
                      </a:ext>
                    </a:extLst>
                  </pic:spPr>
                </pic:pic>
              </a:graphicData>
            </a:graphic>
          </wp:inline>
        </w:drawing>
      </w:r>
    </w:p>
    <w:p w14:paraId="1E460F0E" w14:textId="4AE9BD90" w:rsidR="00C92CEA" w:rsidRPr="00C92CEA" w:rsidRDefault="00C92CEA" w:rsidP="00474912">
      <w:pPr>
        <w:jc w:val="center"/>
        <w:rPr>
          <w:b/>
          <w:bCs/>
        </w:rPr>
      </w:pPr>
      <w:r w:rsidRPr="00C92CEA">
        <w:rPr>
          <w:b/>
          <w:bCs/>
        </w:rPr>
        <w:t xml:space="preserve">Figure </w:t>
      </w:r>
      <w:r w:rsidR="00CA336E">
        <w:rPr>
          <w:b/>
          <w:bCs/>
        </w:rPr>
        <w:t>3</w:t>
      </w:r>
      <w:r w:rsidRPr="00C92CEA">
        <w:t xml:space="preserve">. </w:t>
      </w:r>
      <w:r>
        <w:t>A spectral example of 20+40 MHz CA with 20 MHz gap showing the I/Q image (highlighted with red “x”) falling on the ACLR band.</w:t>
      </w:r>
    </w:p>
    <w:p w14:paraId="25C9D002" w14:textId="7AEB4CE9" w:rsidR="00474912" w:rsidRDefault="00CA336E" w:rsidP="002C5FC3">
      <w:r>
        <w:t>Other than the IQ image behaviour, both 20+20 MHz and 20+40 MHz scenarios result in similar backoff behaviour</w:t>
      </w:r>
      <w:r w:rsidR="00F7348E">
        <w:t xml:space="preserve"> pattern</w:t>
      </w:r>
      <w:r>
        <w:t>.</w:t>
      </w:r>
    </w:p>
    <w:p w14:paraId="7B845ED2" w14:textId="7A704E25" w:rsidR="008D3AD6" w:rsidRDefault="00435A51" w:rsidP="00BF40C1">
      <w:pPr>
        <w:pStyle w:val="Heading1"/>
      </w:pPr>
      <w:r>
        <w:t>4</w:t>
      </w:r>
      <w:r w:rsidR="008D3AD6">
        <w:tab/>
      </w:r>
      <w:r w:rsidR="008D3AD6" w:rsidRPr="00BF40C1">
        <w:t>Conclusion</w:t>
      </w:r>
    </w:p>
    <w:p w14:paraId="179B88A4" w14:textId="6D1BD5A2" w:rsidR="00947B31" w:rsidRDefault="00F7348E" w:rsidP="00947B31">
      <w:r>
        <w:t xml:space="preserve">We </w:t>
      </w:r>
      <w:r w:rsidRPr="00F7348E">
        <w:t>present</w:t>
      </w:r>
      <w:r>
        <w:t>ed</w:t>
      </w:r>
      <w:r w:rsidRPr="00F7348E">
        <w:t xml:space="preserve"> simulated PC2 1PA intra-band UL non-contiguous </w:t>
      </w:r>
      <w:r w:rsidR="00CE413C">
        <w:t xml:space="preserve">carrier aggregation </w:t>
      </w:r>
      <w:r w:rsidRPr="00F7348E">
        <w:t>backoff results.</w:t>
      </w:r>
    </w:p>
    <w:p w14:paraId="561E3900" w14:textId="4EFD09F9" w:rsidR="00165DA2" w:rsidRDefault="00435A51" w:rsidP="00BF40C1">
      <w:pPr>
        <w:pStyle w:val="Heading1"/>
      </w:pPr>
      <w:r>
        <w:t>5</w:t>
      </w:r>
      <w:r w:rsidR="00165DA2">
        <w:tab/>
      </w:r>
      <w:r w:rsidR="00165DA2" w:rsidRPr="00BF40C1">
        <w:t>Reference</w:t>
      </w:r>
      <w:r w:rsidRPr="00BF40C1">
        <w:t>s</w:t>
      </w:r>
    </w:p>
    <w:p w14:paraId="52507BB6" w14:textId="31579F0E" w:rsidR="00D8365E" w:rsidRDefault="00E10098" w:rsidP="00BF40C1">
      <w:r w:rsidRPr="00A412D5">
        <w:t xml:space="preserve">[1] </w:t>
      </w:r>
      <w:r w:rsidR="00C92CEA">
        <w:t>R4-210</w:t>
      </w:r>
      <w:r w:rsidR="00F7348E">
        <w:t>5389</w:t>
      </w:r>
      <w:r w:rsidR="00C92CEA">
        <w:t xml:space="preserve">, </w:t>
      </w:r>
      <w:r w:rsidR="00C92CEA" w:rsidRPr="00C92CEA">
        <w:rPr>
          <w:lang w:val="en-US"/>
        </w:rPr>
        <w:t>WF on RF architecture options handling for PC2 intra-band UL NC CA</w:t>
      </w:r>
      <w:r w:rsidR="00C92CEA">
        <w:rPr>
          <w:lang w:val="en-US"/>
        </w:rPr>
        <w:t>, Huawei, HiSilicon, Skyworks</w:t>
      </w:r>
    </w:p>
    <w:sectPr w:rsidR="00D8365E" w:rsidSect="0053247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425"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791CA4" w14:textId="77777777" w:rsidR="00B46BB0" w:rsidRDefault="00B46BB0" w:rsidP="002B3503">
      <w:pPr>
        <w:spacing w:after="0"/>
      </w:pPr>
      <w:r>
        <w:separator/>
      </w:r>
    </w:p>
  </w:endnote>
  <w:endnote w:type="continuationSeparator" w:id="0">
    <w:p w14:paraId="5DEECED7" w14:textId="77777777" w:rsidR="00B46BB0" w:rsidRDefault="00B46BB0"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5C13B" w14:textId="77777777" w:rsidR="00CB50D4" w:rsidRDefault="00CB50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E37D6" w14:textId="77777777" w:rsidR="00CB50D4" w:rsidRDefault="00CB50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3CD24" w14:textId="77777777" w:rsidR="00CB50D4" w:rsidRDefault="00CB50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6ACD97" w14:textId="77777777" w:rsidR="00B46BB0" w:rsidRDefault="00B46BB0" w:rsidP="002B3503">
      <w:pPr>
        <w:spacing w:after="0"/>
      </w:pPr>
      <w:r>
        <w:separator/>
      </w:r>
    </w:p>
  </w:footnote>
  <w:footnote w:type="continuationSeparator" w:id="0">
    <w:p w14:paraId="56639075" w14:textId="77777777" w:rsidR="00B46BB0" w:rsidRDefault="00B46BB0"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CB50D4" w:rsidRDefault="00CB50D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5B140" w14:textId="77777777" w:rsidR="00CB50D4" w:rsidRDefault="00CB50D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999EF" w14:textId="77777777" w:rsidR="00CB50D4" w:rsidRDefault="00CB50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F0F3D"/>
    <w:multiLevelType w:val="hybridMultilevel"/>
    <w:tmpl w:val="73F26BA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7D94CE8"/>
    <w:multiLevelType w:val="hybridMultilevel"/>
    <w:tmpl w:val="37B692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382405BA"/>
    <w:multiLevelType w:val="hybridMultilevel"/>
    <w:tmpl w:val="A39AE4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4DD53528"/>
    <w:multiLevelType w:val="hybridMultilevel"/>
    <w:tmpl w:val="FDFE999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5C696FF1"/>
    <w:multiLevelType w:val="hybridMultilevel"/>
    <w:tmpl w:val="78B2D27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3"/>
  </w:num>
  <w:num w:numId="4">
    <w:abstractNumId w:val="6"/>
  </w:num>
  <w:num w:numId="5">
    <w:abstractNumId w:val="4"/>
  </w:num>
  <w:num w:numId="6">
    <w:abstractNumId w:val="7"/>
  </w:num>
  <w:num w:numId="7">
    <w:abstractNumId w:val="0"/>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953"/>
    <w:rsid w:val="00001871"/>
    <w:rsid w:val="00056531"/>
    <w:rsid w:val="00056BDC"/>
    <w:rsid w:val="00071E0D"/>
    <w:rsid w:val="00091F0B"/>
    <w:rsid w:val="000A42E4"/>
    <w:rsid w:val="000A6473"/>
    <w:rsid w:val="000B4E56"/>
    <w:rsid w:val="000B5E8E"/>
    <w:rsid w:val="000B7337"/>
    <w:rsid w:val="000B7507"/>
    <w:rsid w:val="000F2546"/>
    <w:rsid w:val="000F50EC"/>
    <w:rsid w:val="00101626"/>
    <w:rsid w:val="001049CA"/>
    <w:rsid w:val="00111B4F"/>
    <w:rsid w:val="00131B06"/>
    <w:rsid w:val="001354E3"/>
    <w:rsid w:val="001364A1"/>
    <w:rsid w:val="0015000E"/>
    <w:rsid w:val="00150207"/>
    <w:rsid w:val="00152947"/>
    <w:rsid w:val="00160C85"/>
    <w:rsid w:val="0016131F"/>
    <w:rsid w:val="00161A3D"/>
    <w:rsid w:val="00165DA2"/>
    <w:rsid w:val="001953B8"/>
    <w:rsid w:val="001A37B5"/>
    <w:rsid w:val="001B77A6"/>
    <w:rsid w:val="001C2855"/>
    <w:rsid w:val="001F083D"/>
    <w:rsid w:val="00207C42"/>
    <w:rsid w:val="002127E2"/>
    <w:rsid w:val="00214C87"/>
    <w:rsid w:val="00215035"/>
    <w:rsid w:val="00270309"/>
    <w:rsid w:val="00291DDD"/>
    <w:rsid w:val="002A54C5"/>
    <w:rsid w:val="002A7181"/>
    <w:rsid w:val="002B3503"/>
    <w:rsid w:val="002B7A24"/>
    <w:rsid w:val="002C5FC3"/>
    <w:rsid w:val="002F6A38"/>
    <w:rsid w:val="00312FD1"/>
    <w:rsid w:val="00331118"/>
    <w:rsid w:val="0034274F"/>
    <w:rsid w:val="00347DEA"/>
    <w:rsid w:val="00353ADB"/>
    <w:rsid w:val="003777FE"/>
    <w:rsid w:val="00403EF4"/>
    <w:rsid w:val="00415412"/>
    <w:rsid w:val="00416EE9"/>
    <w:rsid w:val="0042109F"/>
    <w:rsid w:val="00426A90"/>
    <w:rsid w:val="0043450E"/>
    <w:rsid w:val="004353CD"/>
    <w:rsid w:val="00435A51"/>
    <w:rsid w:val="00453BA5"/>
    <w:rsid w:val="00454E53"/>
    <w:rsid w:val="00464BAD"/>
    <w:rsid w:val="00470375"/>
    <w:rsid w:val="0047269F"/>
    <w:rsid w:val="00474912"/>
    <w:rsid w:val="00482477"/>
    <w:rsid w:val="00491386"/>
    <w:rsid w:val="00493B83"/>
    <w:rsid w:val="00494F18"/>
    <w:rsid w:val="004A41DA"/>
    <w:rsid w:val="004C0103"/>
    <w:rsid w:val="004C58F9"/>
    <w:rsid w:val="004D0C67"/>
    <w:rsid w:val="004D38A8"/>
    <w:rsid w:val="004D3D81"/>
    <w:rsid w:val="004E4BF3"/>
    <w:rsid w:val="00532474"/>
    <w:rsid w:val="00545B26"/>
    <w:rsid w:val="00553FC9"/>
    <w:rsid w:val="00560A63"/>
    <w:rsid w:val="00564B2E"/>
    <w:rsid w:val="0056504C"/>
    <w:rsid w:val="00566E4B"/>
    <w:rsid w:val="00570B14"/>
    <w:rsid w:val="00585E98"/>
    <w:rsid w:val="00593AEE"/>
    <w:rsid w:val="00594743"/>
    <w:rsid w:val="005A4AB9"/>
    <w:rsid w:val="005B2640"/>
    <w:rsid w:val="005C12BE"/>
    <w:rsid w:val="005C48EA"/>
    <w:rsid w:val="005F6CE3"/>
    <w:rsid w:val="00602EB6"/>
    <w:rsid w:val="00606EF4"/>
    <w:rsid w:val="00614533"/>
    <w:rsid w:val="006376BE"/>
    <w:rsid w:val="00641C2E"/>
    <w:rsid w:val="00641E1F"/>
    <w:rsid w:val="006531E4"/>
    <w:rsid w:val="00664DF6"/>
    <w:rsid w:val="00676A68"/>
    <w:rsid w:val="006919C7"/>
    <w:rsid w:val="006A3399"/>
    <w:rsid w:val="006A3650"/>
    <w:rsid w:val="006A6B9C"/>
    <w:rsid w:val="006C198A"/>
    <w:rsid w:val="006C6840"/>
    <w:rsid w:val="006E0AFE"/>
    <w:rsid w:val="006E6862"/>
    <w:rsid w:val="006E7DBE"/>
    <w:rsid w:val="00715E6E"/>
    <w:rsid w:val="0072141E"/>
    <w:rsid w:val="00726265"/>
    <w:rsid w:val="00730F90"/>
    <w:rsid w:val="00734EBD"/>
    <w:rsid w:val="007A0711"/>
    <w:rsid w:val="007B2B10"/>
    <w:rsid w:val="007B2E62"/>
    <w:rsid w:val="007D20DF"/>
    <w:rsid w:val="007E0B9E"/>
    <w:rsid w:val="007F3181"/>
    <w:rsid w:val="007F4A42"/>
    <w:rsid w:val="00803C45"/>
    <w:rsid w:val="008236E4"/>
    <w:rsid w:val="00850296"/>
    <w:rsid w:val="00860A01"/>
    <w:rsid w:val="00874193"/>
    <w:rsid w:val="00897104"/>
    <w:rsid w:val="008A4493"/>
    <w:rsid w:val="008B10F5"/>
    <w:rsid w:val="008D10E7"/>
    <w:rsid w:val="008D3AD6"/>
    <w:rsid w:val="008E41BB"/>
    <w:rsid w:val="008E57B1"/>
    <w:rsid w:val="0091383D"/>
    <w:rsid w:val="009159AA"/>
    <w:rsid w:val="00940559"/>
    <w:rsid w:val="00947B31"/>
    <w:rsid w:val="00996062"/>
    <w:rsid w:val="009B1E68"/>
    <w:rsid w:val="00A21B5B"/>
    <w:rsid w:val="00A2770A"/>
    <w:rsid w:val="00A41675"/>
    <w:rsid w:val="00A451E8"/>
    <w:rsid w:val="00A51ACB"/>
    <w:rsid w:val="00A6018C"/>
    <w:rsid w:val="00A7317E"/>
    <w:rsid w:val="00AB24AA"/>
    <w:rsid w:val="00AB55F9"/>
    <w:rsid w:val="00AE3616"/>
    <w:rsid w:val="00AE6327"/>
    <w:rsid w:val="00AF7CB0"/>
    <w:rsid w:val="00B029EE"/>
    <w:rsid w:val="00B4385F"/>
    <w:rsid w:val="00B46BB0"/>
    <w:rsid w:val="00B65B59"/>
    <w:rsid w:val="00B7292B"/>
    <w:rsid w:val="00BA4205"/>
    <w:rsid w:val="00BA7DDF"/>
    <w:rsid w:val="00BC764C"/>
    <w:rsid w:val="00BE37F6"/>
    <w:rsid w:val="00BF40C1"/>
    <w:rsid w:val="00BF4B17"/>
    <w:rsid w:val="00C07117"/>
    <w:rsid w:val="00C21554"/>
    <w:rsid w:val="00C22231"/>
    <w:rsid w:val="00C22DCD"/>
    <w:rsid w:val="00C3512C"/>
    <w:rsid w:val="00C613BD"/>
    <w:rsid w:val="00C74380"/>
    <w:rsid w:val="00C81190"/>
    <w:rsid w:val="00C92CEA"/>
    <w:rsid w:val="00CA0229"/>
    <w:rsid w:val="00CA324A"/>
    <w:rsid w:val="00CA336E"/>
    <w:rsid w:val="00CB50D4"/>
    <w:rsid w:val="00CD5859"/>
    <w:rsid w:val="00CE413C"/>
    <w:rsid w:val="00CF138C"/>
    <w:rsid w:val="00CF4404"/>
    <w:rsid w:val="00D275CC"/>
    <w:rsid w:val="00D31141"/>
    <w:rsid w:val="00D602F1"/>
    <w:rsid w:val="00D767C4"/>
    <w:rsid w:val="00D77CF5"/>
    <w:rsid w:val="00D8365E"/>
    <w:rsid w:val="00DC1586"/>
    <w:rsid w:val="00E10098"/>
    <w:rsid w:val="00E32B5A"/>
    <w:rsid w:val="00E33B68"/>
    <w:rsid w:val="00E355CC"/>
    <w:rsid w:val="00E402BB"/>
    <w:rsid w:val="00E86C8F"/>
    <w:rsid w:val="00E962C5"/>
    <w:rsid w:val="00EA0331"/>
    <w:rsid w:val="00EA3488"/>
    <w:rsid w:val="00EA5C2C"/>
    <w:rsid w:val="00EB5F7D"/>
    <w:rsid w:val="00EC2764"/>
    <w:rsid w:val="00EC52B4"/>
    <w:rsid w:val="00EC589F"/>
    <w:rsid w:val="00EC5E34"/>
    <w:rsid w:val="00EE5A9C"/>
    <w:rsid w:val="00EF20E6"/>
    <w:rsid w:val="00F07FED"/>
    <w:rsid w:val="00F26BE6"/>
    <w:rsid w:val="00F579B5"/>
    <w:rsid w:val="00F7348E"/>
    <w:rsid w:val="00F7460F"/>
    <w:rsid w:val="00F93A40"/>
    <w:rsid w:val="00F96CA4"/>
    <w:rsid w:val="00F97D64"/>
    <w:rsid w:val="00FA58F7"/>
    <w:rsid w:val="00FD085A"/>
    <w:rsid w:val="00FD3526"/>
    <w:rsid w:val="00FD543C"/>
    <w:rsid w:val="00FE374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F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53F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553FC9"/>
    <w:pPr>
      <w:pBdr>
        <w:top w:val="none" w:sz="0" w:space="0" w:color="auto"/>
      </w:pBdr>
      <w:spacing w:before="180"/>
      <w:outlineLvl w:val="1"/>
    </w:pPr>
    <w:rPr>
      <w:sz w:val="32"/>
    </w:rPr>
  </w:style>
  <w:style w:type="paragraph" w:styleId="Heading3">
    <w:name w:val="heading 3"/>
    <w:basedOn w:val="Heading2"/>
    <w:next w:val="Normal"/>
    <w:qFormat/>
    <w:rsid w:val="00553FC9"/>
    <w:pPr>
      <w:spacing w:before="120"/>
      <w:outlineLvl w:val="2"/>
    </w:pPr>
    <w:rPr>
      <w:sz w:val="28"/>
    </w:rPr>
  </w:style>
  <w:style w:type="paragraph" w:styleId="Heading4">
    <w:name w:val="heading 4"/>
    <w:basedOn w:val="Heading3"/>
    <w:next w:val="Normal"/>
    <w:qFormat/>
    <w:rsid w:val="00553FC9"/>
    <w:pPr>
      <w:ind w:left="1418" w:hanging="1418"/>
      <w:outlineLvl w:val="3"/>
    </w:pPr>
    <w:rPr>
      <w:sz w:val="24"/>
    </w:rPr>
  </w:style>
  <w:style w:type="paragraph" w:styleId="Heading5">
    <w:name w:val="heading 5"/>
    <w:basedOn w:val="Heading4"/>
    <w:next w:val="Normal"/>
    <w:qFormat/>
    <w:rsid w:val="00553FC9"/>
    <w:pPr>
      <w:ind w:left="1701" w:hanging="1701"/>
      <w:outlineLvl w:val="4"/>
    </w:pPr>
    <w:rPr>
      <w:sz w:val="22"/>
    </w:rPr>
  </w:style>
  <w:style w:type="paragraph" w:styleId="Heading6">
    <w:name w:val="heading 6"/>
    <w:basedOn w:val="H6"/>
    <w:next w:val="Normal"/>
    <w:qFormat/>
    <w:rsid w:val="00553FC9"/>
    <w:pPr>
      <w:outlineLvl w:val="5"/>
    </w:pPr>
  </w:style>
  <w:style w:type="paragraph" w:styleId="Heading7">
    <w:name w:val="heading 7"/>
    <w:basedOn w:val="H6"/>
    <w:next w:val="Normal"/>
    <w:qFormat/>
    <w:rsid w:val="00553FC9"/>
    <w:pPr>
      <w:outlineLvl w:val="6"/>
    </w:pPr>
  </w:style>
  <w:style w:type="paragraph" w:styleId="Heading8">
    <w:name w:val="heading 8"/>
    <w:basedOn w:val="Heading1"/>
    <w:next w:val="Normal"/>
    <w:qFormat/>
    <w:rsid w:val="00553FC9"/>
    <w:pPr>
      <w:ind w:left="0" w:firstLine="0"/>
      <w:outlineLvl w:val="7"/>
    </w:pPr>
  </w:style>
  <w:style w:type="paragraph" w:styleId="Heading9">
    <w:name w:val="heading 9"/>
    <w:basedOn w:val="Heading8"/>
    <w:next w:val="Normal"/>
    <w:qFormat/>
    <w:rsid w:val="00553F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53FC9"/>
    <w:pPr>
      <w:spacing w:before="180"/>
      <w:ind w:left="2693" w:hanging="2693"/>
    </w:pPr>
    <w:rPr>
      <w:b/>
    </w:rPr>
  </w:style>
  <w:style w:type="paragraph" w:styleId="TOC1">
    <w:name w:val="toc 1"/>
    <w:semiHidden/>
    <w:rsid w:val="00553F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553F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553FC9"/>
    <w:pPr>
      <w:ind w:left="1701" w:hanging="1701"/>
    </w:pPr>
  </w:style>
  <w:style w:type="paragraph" w:styleId="TOC4">
    <w:name w:val="toc 4"/>
    <w:basedOn w:val="TOC3"/>
    <w:semiHidden/>
    <w:rsid w:val="00553FC9"/>
    <w:pPr>
      <w:ind w:left="1418" w:hanging="1418"/>
    </w:pPr>
  </w:style>
  <w:style w:type="paragraph" w:styleId="TOC3">
    <w:name w:val="toc 3"/>
    <w:basedOn w:val="TOC2"/>
    <w:semiHidden/>
    <w:rsid w:val="00553FC9"/>
    <w:pPr>
      <w:ind w:left="1134" w:hanging="1134"/>
    </w:pPr>
  </w:style>
  <w:style w:type="paragraph" w:styleId="TOC2">
    <w:name w:val="toc 2"/>
    <w:basedOn w:val="TOC1"/>
    <w:semiHidden/>
    <w:rsid w:val="00553FC9"/>
    <w:pPr>
      <w:keepNext w:val="0"/>
      <w:spacing w:before="0"/>
      <w:ind w:left="851" w:hanging="851"/>
    </w:pPr>
    <w:rPr>
      <w:sz w:val="20"/>
    </w:rPr>
  </w:style>
  <w:style w:type="paragraph" w:styleId="Index2">
    <w:name w:val="index 2"/>
    <w:basedOn w:val="Index1"/>
    <w:semiHidden/>
    <w:rsid w:val="00553FC9"/>
    <w:pPr>
      <w:ind w:left="284"/>
    </w:pPr>
  </w:style>
  <w:style w:type="paragraph" w:styleId="Index1">
    <w:name w:val="index 1"/>
    <w:basedOn w:val="Normal"/>
    <w:semiHidden/>
    <w:rsid w:val="00553FC9"/>
    <w:pPr>
      <w:keepLines/>
      <w:spacing w:after="0"/>
    </w:pPr>
  </w:style>
  <w:style w:type="paragraph" w:customStyle="1" w:styleId="ZH">
    <w:name w:val="ZH"/>
    <w:rsid w:val="00553FC9"/>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553FC9"/>
    <w:pPr>
      <w:outlineLvl w:val="9"/>
    </w:pPr>
  </w:style>
  <w:style w:type="paragraph" w:styleId="ListNumber2">
    <w:name w:val="List Number 2"/>
    <w:basedOn w:val="ListNumber"/>
    <w:semiHidden/>
    <w:rsid w:val="00553FC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53FC9"/>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553FC9"/>
    <w:rPr>
      <w:b/>
      <w:position w:val="6"/>
      <w:sz w:val="16"/>
    </w:rPr>
  </w:style>
  <w:style w:type="paragraph" w:styleId="FootnoteText">
    <w:name w:val="footnote text"/>
    <w:basedOn w:val="Normal"/>
    <w:semiHidden/>
    <w:rsid w:val="00553FC9"/>
    <w:pPr>
      <w:keepLines/>
      <w:spacing w:after="0"/>
      <w:ind w:left="454" w:hanging="454"/>
    </w:pPr>
    <w:rPr>
      <w:sz w:val="16"/>
    </w:rPr>
  </w:style>
  <w:style w:type="paragraph" w:customStyle="1" w:styleId="TAH">
    <w:name w:val="TAH"/>
    <w:basedOn w:val="TAC"/>
    <w:link w:val="TAHCar"/>
    <w:qFormat/>
    <w:rsid w:val="00553FC9"/>
    <w:rPr>
      <w:b/>
    </w:rPr>
  </w:style>
  <w:style w:type="paragraph" w:customStyle="1" w:styleId="TAC">
    <w:name w:val="TAC"/>
    <w:basedOn w:val="TAL"/>
    <w:link w:val="TACChar"/>
    <w:qFormat/>
    <w:rsid w:val="00553FC9"/>
    <w:pPr>
      <w:jc w:val="center"/>
    </w:pPr>
  </w:style>
  <w:style w:type="paragraph" w:customStyle="1" w:styleId="TF">
    <w:name w:val="TF"/>
    <w:basedOn w:val="TH"/>
    <w:rsid w:val="00553FC9"/>
    <w:pPr>
      <w:keepNext w:val="0"/>
      <w:spacing w:before="0" w:after="240"/>
    </w:pPr>
  </w:style>
  <w:style w:type="paragraph" w:customStyle="1" w:styleId="NO">
    <w:name w:val="NO"/>
    <w:basedOn w:val="Normal"/>
    <w:rsid w:val="00553FC9"/>
    <w:pPr>
      <w:keepLines/>
      <w:ind w:left="1135" w:hanging="851"/>
    </w:pPr>
  </w:style>
  <w:style w:type="paragraph" w:styleId="TOC9">
    <w:name w:val="toc 9"/>
    <w:basedOn w:val="TOC8"/>
    <w:semiHidden/>
    <w:rsid w:val="00553FC9"/>
    <w:pPr>
      <w:ind w:left="1418" w:hanging="1418"/>
    </w:pPr>
  </w:style>
  <w:style w:type="paragraph" w:customStyle="1" w:styleId="EX">
    <w:name w:val="EX"/>
    <w:basedOn w:val="Normal"/>
    <w:rsid w:val="00553FC9"/>
    <w:pPr>
      <w:keepLines/>
      <w:ind w:left="1702" w:hanging="1418"/>
    </w:pPr>
  </w:style>
  <w:style w:type="paragraph" w:customStyle="1" w:styleId="FP">
    <w:name w:val="FP"/>
    <w:basedOn w:val="Normal"/>
    <w:rsid w:val="00553FC9"/>
    <w:pPr>
      <w:spacing w:after="0"/>
    </w:pPr>
  </w:style>
  <w:style w:type="paragraph" w:customStyle="1" w:styleId="LD">
    <w:name w:val="LD"/>
    <w:rsid w:val="00553FC9"/>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553FC9"/>
    <w:pPr>
      <w:spacing w:after="0"/>
    </w:pPr>
  </w:style>
  <w:style w:type="paragraph" w:customStyle="1" w:styleId="EW">
    <w:name w:val="EW"/>
    <w:basedOn w:val="EX"/>
    <w:rsid w:val="00553FC9"/>
    <w:pPr>
      <w:spacing w:after="0"/>
    </w:pPr>
  </w:style>
  <w:style w:type="paragraph" w:styleId="TOC6">
    <w:name w:val="toc 6"/>
    <w:basedOn w:val="TOC5"/>
    <w:next w:val="Normal"/>
    <w:semiHidden/>
    <w:rsid w:val="00553FC9"/>
    <w:pPr>
      <w:ind w:left="1985" w:hanging="1985"/>
    </w:pPr>
  </w:style>
  <w:style w:type="paragraph" w:styleId="TOC7">
    <w:name w:val="toc 7"/>
    <w:basedOn w:val="TOC6"/>
    <w:next w:val="Normal"/>
    <w:semiHidden/>
    <w:rsid w:val="00553FC9"/>
    <w:pPr>
      <w:ind w:left="2268" w:hanging="2268"/>
    </w:pPr>
  </w:style>
  <w:style w:type="paragraph" w:styleId="ListBullet2">
    <w:name w:val="List Bullet 2"/>
    <w:basedOn w:val="ListBullet"/>
    <w:semiHidden/>
    <w:rsid w:val="00553FC9"/>
    <w:pPr>
      <w:ind w:left="851"/>
    </w:pPr>
  </w:style>
  <w:style w:type="paragraph" w:styleId="ListBullet3">
    <w:name w:val="List Bullet 3"/>
    <w:basedOn w:val="ListBullet2"/>
    <w:semiHidden/>
    <w:rsid w:val="00553FC9"/>
    <w:pPr>
      <w:ind w:left="1135"/>
    </w:pPr>
  </w:style>
  <w:style w:type="paragraph" w:styleId="ListNumber">
    <w:name w:val="List Number"/>
    <w:basedOn w:val="List"/>
    <w:semiHidden/>
    <w:rsid w:val="00553FC9"/>
  </w:style>
  <w:style w:type="paragraph" w:customStyle="1" w:styleId="EQ">
    <w:name w:val="EQ"/>
    <w:basedOn w:val="Normal"/>
    <w:next w:val="Normal"/>
    <w:link w:val="EQChar"/>
    <w:rsid w:val="00553FC9"/>
    <w:pPr>
      <w:keepLines/>
      <w:tabs>
        <w:tab w:val="center" w:pos="4536"/>
        <w:tab w:val="right" w:pos="9072"/>
      </w:tabs>
    </w:pPr>
    <w:rPr>
      <w:noProof/>
    </w:rPr>
  </w:style>
  <w:style w:type="paragraph" w:customStyle="1" w:styleId="TH">
    <w:name w:val="TH"/>
    <w:basedOn w:val="Normal"/>
    <w:link w:val="THChar"/>
    <w:rsid w:val="00553FC9"/>
    <w:pPr>
      <w:keepNext/>
      <w:keepLines/>
      <w:spacing w:before="60"/>
      <w:jc w:val="center"/>
    </w:pPr>
    <w:rPr>
      <w:rFonts w:ascii="Arial" w:hAnsi="Arial"/>
      <w:b/>
    </w:rPr>
  </w:style>
  <w:style w:type="paragraph" w:customStyle="1" w:styleId="NF">
    <w:name w:val="NF"/>
    <w:basedOn w:val="NO"/>
    <w:rsid w:val="00553FC9"/>
    <w:pPr>
      <w:keepNext/>
      <w:spacing w:after="0"/>
    </w:pPr>
    <w:rPr>
      <w:rFonts w:ascii="Arial" w:hAnsi="Arial"/>
      <w:sz w:val="18"/>
    </w:rPr>
  </w:style>
  <w:style w:type="paragraph" w:customStyle="1" w:styleId="PL">
    <w:name w:val="PL"/>
    <w:rsid w:val="00553F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53FC9"/>
    <w:pPr>
      <w:jc w:val="right"/>
    </w:pPr>
  </w:style>
  <w:style w:type="paragraph" w:customStyle="1" w:styleId="H6">
    <w:name w:val="H6"/>
    <w:basedOn w:val="Heading5"/>
    <w:next w:val="Normal"/>
    <w:rsid w:val="00553FC9"/>
    <w:pPr>
      <w:ind w:left="1985" w:hanging="1985"/>
      <w:outlineLvl w:val="9"/>
    </w:pPr>
    <w:rPr>
      <w:sz w:val="20"/>
    </w:rPr>
  </w:style>
  <w:style w:type="paragraph" w:customStyle="1" w:styleId="TAN">
    <w:name w:val="TAN"/>
    <w:basedOn w:val="TAL"/>
    <w:link w:val="TANChar"/>
    <w:rsid w:val="00553FC9"/>
    <w:pPr>
      <w:ind w:left="851" w:hanging="851"/>
    </w:pPr>
  </w:style>
  <w:style w:type="paragraph" w:customStyle="1" w:styleId="TAL">
    <w:name w:val="TAL"/>
    <w:basedOn w:val="Normal"/>
    <w:rsid w:val="00553FC9"/>
    <w:pPr>
      <w:keepNext/>
      <w:keepLines/>
      <w:spacing w:after="0"/>
    </w:pPr>
    <w:rPr>
      <w:rFonts w:ascii="Arial" w:hAnsi="Arial"/>
      <w:sz w:val="18"/>
    </w:rPr>
  </w:style>
  <w:style w:type="paragraph" w:customStyle="1" w:styleId="ZA">
    <w:name w:val="ZA"/>
    <w:rsid w:val="00553F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53F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553FC9"/>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553F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553FC9"/>
    <w:pPr>
      <w:framePr w:wrap="notBeside" w:y="16161"/>
    </w:pPr>
  </w:style>
  <w:style w:type="character" w:customStyle="1" w:styleId="ZGSM">
    <w:name w:val="ZGSM"/>
    <w:rsid w:val="00553FC9"/>
  </w:style>
  <w:style w:type="paragraph" w:styleId="List2">
    <w:name w:val="List 2"/>
    <w:basedOn w:val="List"/>
    <w:semiHidden/>
    <w:rsid w:val="00553FC9"/>
    <w:pPr>
      <w:ind w:left="851"/>
    </w:pPr>
  </w:style>
  <w:style w:type="paragraph" w:customStyle="1" w:styleId="ZG">
    <w:name w:val="ZG"/>
    <w:rsid w:val="00553F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553FC9"/>
    <w:pPr>
      <w:ind w:left="1135"/>
    </w:pPr>
  </w:style>
  <w:style w:type="paragraph" w:styleId="List4">
    <w:name w:val="List 4"/>
    <w:basedOn w:val="List3"/>
    <w:semiHidden/>
    <w:rsid w:val="00553FC9"/>
    <w:pPr>
      <w:ind w:left="1418"/>
    </w:pPr>
  </w:style>
  <w:style w:type="paragraph" w:styleId="List5">
    <w:name w:val="List 5"/>
    <w:basedOn w:val="List4"/>
    <w:semiHidden/>
    <w:rsid w:val="00553FC9"/>
    <w:pPr>
      <w:ind w:left="1702"/>
    </w:pPr>
  </w:style>
  <w:style w:type="paragraph" w:customStyle="1" w:styleId="EditorsNote">
    <w:name w:val="Editor's Note"/>
    <w:basedOn w:val="NO"/>
    <w:rsid w:val="00553FC9"/>
    <w:rPr>
      <w:color w:val="FF0000"/>
    </w:rPr>
  </w:style>
  <w:style w:type="paragraph" w:styleId="List">
    <w:name w:val="List"/>
    <w:basedOn w:val="Normal"/>
    <w:semiHidden/>
    <w:rsid w:val="00553FC9"/>
    <w:pPr>
      <w:ind w:left="568" w:hanging="284"/>
    </w:pPr>
  </w:style>
  <w:style w:type="paragraph" w:styleId="ListBullet">
    <w:name w:val="List Bullet"/>
    <w:basedOn w:val="List"/>
    <w:semiHidden/>
    <w:rsid w:val="00553FC9"/>
  </w:style>
  <w:style w:type="paragraph" w:styleId="ListBullet4">
    <w:name w:val="List Bullet 4"/>
    <w:basedOn w:val="ListBullet3"/>
    <w:semiHidden/>
    <w:rsid w:val="00553FC9"/>
    <w:pPr>
      <w:ind w:left="1418"/>
    </w:pPr>
  </w:style>
  <w:style w:type="paragraph" w:styleId="ListBullet5">
    <w:name w:val="List Bullet 5"/>
    <w:basedOn w:val="ListBullet4"/>
    <w:semiHidden/>
    <w:rsid w:val="00553FC9"/>
    <w:pPr>
      <w:ind w:left="1702"/>
    </w:pPr>
  </w:style>
  <w:style w:type="paragraph" w:customStyle="1" w:styleId="B1">
    <w:name w:val="B1"/>
    <w:basedOn w:val="List"/>
    <w:rsid w:val="00553FC9"/>
  </w:style>
  <w:style w:type="paragraph" w:customStyle="1" w:styleId="B2">
    <w:name w:val="B2"/>
    <w:basedOn w:val="List2"/>
    <w:rsid w:val="00553FC9"/>
  </w:style>
  <w:style w:type="paragraph" w:customStyle="1" w:styleId="B3">
    <w:name w:val="B3"/>
    <w:basedOn w:val="List3"/>
    <w:rsid w:val="00553FC9"/>
  </w:style>
  <w:style w:type="paragraph" w:customStyle="1" w:styleId="B4">
    <w:name w:val="B4"/>
    <w:basedOn w:val="List4"/>
    <w:rsid w:val="00553FC9"/>
  </w:style>
  <w:style w:type="paragraph" w:customStyle="1" w:styleId="B5">
    <w:name w:val="B5"/>
    <w:basedOn w:val="List5"/>
    <w:rsid w:val="00553FC9"/>
  </w:style>
  <w:style w:type="paragraph" w:styleId="Footer">
    <w:name w:val="footer"/>
    <w:basedOn w:val="Header"/>
    <w:semiHidden/>
    <w:rsid w:val="00553FC9"/>
    <w:pPr>
      <w:jc w:val="center"/>
    </w:pPr>
    <w:rPr>
      <w:i/>
    </w:rPr>
  </w:style>
  <w:style w:type="paragraph" w:customStyle="1" w:styleId="ZTD">
    <w:name w:val="ZTD"/>
    <w:basedOn w:val="ZB"/>
    <w:rsid w:val="00553FC9"/>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DC1586"/>
    <w:rPr>
      <w:rFonts w:ascii="Arial" w:hAnsi="Arial"/>
      <w:b/>
      <w:lang w:val="en-GB" w:eastAsia="en-US"/>
    </w:rPr>
  </w:style>
  <w:style w:type="character" w:customStyle="1" w:styleId="TANChar">
    <w:name w:val="TAN Char"/>
    <w:link w:val="TAN"/>
    <w:rsid w:val="00DC1586"/>
    <w:rPr>
      <w:rFonts w:ascii="Arial" w:hAnsi="Arial"/>
      <w:sz w:val="18"/>
      <w:lang w:val="en-GB" w:eastAsia="en-US"/>
    </w:rPr>
  </w:style>
  <w:style w:type="character" w:customStyle="1" w:styleId="EQChar">
    <w:name w:val="EQ Char"/>
    <w:link w:val="EQ"/>
    <w:rsid w:val="00532474"/>
    <w:rPr>
      <w:rFonts w:ascii="Times New Roman" w:hAnsi="Times New Roman"/>
      <w:noProof/>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353ADB"/>
    <w:rPr>
      <w:rFonts w:ascii="Times New Roman" w:hAnsi="Times New Roman"/>
      <w:lang w:val="en-GB" w:eastAsia="en-US"/>
    </w:rPr>
  </w:style>
  <w:style w:type="paragraph" w:customStyle="1" w:styleId="TableText">
    <w:name w:val="TableText"/>
    <w:basedOn w:val="BodyTextIndent"/>
    <w:qFormat/>
    <w:rsid w:val="00403EF4"/>
    <w:pPr>
      <w:spacing w:after="180"/>
      <w:ind w:leftChars="400" w:left="851"/>
    </w:pPr>
    <w:rPr>
      <w:rFonts w:eastAsia="Malgun Gothic"/>
    </w:rPr>
  </w:style>
  <w:style w:type="paragraph" w:styleId="BodyTextIndent">
    <w:name w:val="Body Text Indent"/>
    <w:basedOn w:val="Normal"/>
    <w:link w:val="BodyTextIndentChar"/>
    <w:uiPriority w:val="99"/>
    <w:semiHidden/>
    <w:unhideWhenUsed/>
    <w:rsid w:val="00403EF4"/>
    <w:pPr>
      <w:spacing w:after="120"/>
      <w:ind w:left="283"/>
    </w:pPr>
  </w:style>
  <w:style w:type="character" w:customStyle="1" w:styleId="BodyTextIndentChar">
    <w:name w:val="Body Text Indent Char"/>
    <w:basedOn w:val="DefaultParagraphFont"/>
    <w:link w:val="BodyTextIndent"/>
    <w:uiPriority w:val="99"/>
    <w:semiHidden/>
    <w:rsid w:val="00403E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28879526">
      <w:bodyDiv w:val="1"/>
      <w:marLeft w:val="0"/>
      <w:marRight w:val="0"/>
      <w:marTop w:val="0"/>
      <w:marBottom w:val="0"/>
      <w:divBdr>
        <w:top w:val="none" w:sz="0" w:space="0" w:color="auto"/>
        <w:left w:val="none" w:sz="0" w:space="0" w:color="auto"/>
        <w:bottom w:val="none" w:sz="0" w:space="0" w:color="auto"/>
        <w:right w:val="none" w:sz="0" w:space="0" w:color="auto"/>
      </w:divBdr>
    </w:div>
    <w:div w:id="541331405">
      <w:bodyDiv w:val="1"/>
      <w:marLeft w:val="0"/>
      <w:marRight w:val="0"/>
      <w:marTop w:val="0"/>
      <w:marBottom w:val="0"/>
      <w:divBdr>
        <w:top w:val="none" w:sz="0" w:space="0" w:color="auto"/>
        <w:left w:val="none" w:sz="0" w:space="0" w:color="auto"/>
        <w:bottom w:val="none" w:sz="0" w:space="0" w:color="auto"/>
        <w:right w:val="none" w:sz="0" w:space="0" w:color="auto"/>
      </w:divBdr>
    </w:div>
    <w:div w:id="612857317">
      <w:bodyDiv w:val="1"/>
      <w:marLeft w:val="0"/>
      <w:marRight w:val="0"/>
      <w:marTop w:val="0"/>
      <w:marBottom w:val="0"/>
      <w:divBdr>
        <w:top w:val="none" w:sz="0" w:space="0" w:color="auto"/>
        <w:left w:val="none" w:sz="0" w:space="0" w:color="auto"/>
        <w:bottom w:val="none" w:sz="0" w:space="0" w:color="auto"/>
        <w:right w:val="none" w:sz="0" w:space="0" w:color="auto"/>
      </w:divBdr>
    </w:div>
    <w:div w:id="815102240">
      <w:bodyDiv w:val="1"/>
      <w:marLeft w:val="0"/>
      <w:marRight w:val="0"/>
      <w:marTop w:val="0"/>
      <w:marBottom w:val="0"/>
      <w:divBdr>
        <w:top w:val="none" w:sz="0" w:space="0" w:color="auto"/>
        <w:left w:val="none" w:sz="0" w:space="0" w:color="auto"/>
        <w:bottom w:val="none" w:sz="0" w:space="0" w:color="auto"/>
        <w:right w:val="none" w:sz="0" w:space="0" w:color="auto"/>
      </w:divBdr>
    </w:div>
    <w:div w:id="822627964">
      <w:bodyDiv w:val="1"/>
      <w:marLeft w:val="0"/>
      <w:marRight w:val="0"/>
      <w:marTop w:val="0"/>
      <w:marBottom w:val="0"/>
      <w:divBdr>
        <w:top w:val="none" w:sz="0" w:space="0" w:color="auto"/>
        <w:left w:val="none" w:sz="0" w:space="0" w:color="auto"/>
        <w:bottom w:val="none" w:sz="0" w:space="0" w:color="auto"/>
        <w:right w:val="none" w:sz="0" w:space="0" w:color="auto"/>
      </w:divBdr>
    </w:div>
    <w:div w:id="953823760">
      <w:bodyDiv w:val="1"/>
      <w:marLeft w:val="0"/>
      <w:marRight w:val="0"/>
      <w:marTop w:val="0"/>
      <w:marBottom w:val="0"/>
      <w:divBdr>
        <w:top w:val="none" w:sz="0" w:space="0" w:color="auto"/>
        <w:left w:val="none" w:sz="0" w:space="0" w:color="auto"/>
        <w:bottom w:val="none" w:sz="0" w:space="0" w:color="auto"/>
        <w:right w:val="none" w:sz="0" w:space="0" w:color="auto"/>
      </w:divBdr>
    </w:div>
    <w:div w:id="989092683">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3110786">
      <w:bodyDiv w:val="1"/>
      <w:marLeft w:val="0"/>
      <w:marRight w:val="0"/>
      <w:marTop w:val="0"/>
      <w:marBottom w:val="0"/>
      <w:divBdr>
        <w:top w:val="none" w:sz="0" w:space="0" w:color="auto"/>
        <w:left w:val="none" w:sz="0" w:space="0" w:color="auto"/>
        <w:bottom w:val="none" w:sz="0" w:space="0" w:color="auto"/>
        <w:right w:val="none" w:sz="0" w:space="0" w:color="auto"/>
      </w:divBdr>
    </w:div>
    <w:div w:id="1860701434">
      <w:bodyDiv w:val="1"/>
      <w:marLeft w:val="0"/>
      <w:marRight w:val="0"/>
      <w:marTop w:val="0"/>
      <w:marBottom w:val="0"/>
      <w:divBdr>
        <w:top w:val="none" w:sz="0" w:space="0" w:color="auto"/>
        <w:left w:val="none" w:sz="0" w:space="0" w:color="auto"/>
        <w:bottom w:val="none" w:sz="0" w:space="0" w:color="auto"/>
        <w:right w:val="none" w:sz="0" w:space="0" w:color="auto"/>
      </w:divBdr>
    </w:div>
    <w:div w:id="1864047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1885</TotalTime>
  <Pages>2</Pages>
  <Words>290</Words>
  <Characters>2358</Characters>
  <Application>Microsoft Office Word</Application>
  <DocSecurity>0</DocSecurity>
  <Lines>19</Lines>
  <Paragraphs>5</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2643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Marttila, Jaakko (Nokia - FI/Tampere)</cp:lastModifiedBy>
  <cp:revision>39</cp:revision>
  <cp:lastPrinted>1899-12-31T22:00:00Z</cp:lastPrinted>
  <dcterms:created xsi:type="dcterms:W3CDTF">2020-05-15T10:02:00Z</dcterms:created>
  <dcterms:modified xsi:type="dcterms:W3CDTF">2021-05-11T09:52:00Z</dcterms:modified>
</cp:coreProperties>
</file>